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ANTI-BRIBERY AND CORRUPTION POLICY</w:t>
      </w:r>
    </w:p>
    <w:p>
      <w:pPr>
        <w:jc w:val="center"/>
      </w:pPr>
      <w:r>
        <w:t>Veridian Global Industries plc - Version 4.0 - Effective 1 January 2024 - Owner: Group Compliance</w:t>
      </w:r>
    </w:p>
    <w:p>
      <w:r>
        <w:rPr>
          <w:b/>
        </w:rPr>
        <w:t>1. Purpose and scope</w:t>
      </w:r>
    </w:p>
    <w:p>
      <w:r>
        <w:t>This Policy applies to all directors, officers, employees and contractors of Veridian and its subsidiaries worldwide, and to third parties acting on our behalf. It supports compliance with the UK Bribery Act 2010, the US Foreign Corrupt Practices Act and equivalent laws.</w:t>
      </w:r>
    </w:p>
    <w:p>
      <w:r>
        <w:rPr>
          <w:b/>
        </w:rPr>
        <w:t>2. Core prohibition</w:t>
      </w:r>
    </w:p>
    <w:p>
      <w:r>
        <w:t>We do not offer, give, request or accept bribes in any form. Facilitation payments are prohibited without exception. Gifts, hospitality or anything of value must never be offered to influence a business or official decision.</w:t>
      </w:r>
    </w:p>
    <w:p>
      <w:r>
        <w:rPr>
          <w:b/>
        </w:rPr>
        <w:t>3. Gifts and hospitality</w:t>
      </w:r>
    </w:p>
    <w:p>
      <w:r>
        <w:t>3.1 Any gift or item of value exceeding GBP 75 (or local equivalent) given or received must be pre-approved by the employee's line manager and recorded in the Gifts and Hospitality Register within 5 working days. 3.2 Hospitality exceeding GBP 200 per person requires pre-approval from Group Compliance. 3.3 Gifts, hospitality or other benefits to public or government officials of any value require prior written approval from the Chief Compliance Officer. 3.4 Cash or cash equivalents may never be given or accepted.</w:t>
      </w:r>
    </w:p>
    <w:tbl>
      <w:tblPr>
        <w:tblStyle w:val="TableGrid"/>
        <w:tblW w:type="auto" w:w="0"/>
        <w:tblLook w:firstColumn="1" w:firstRow="1" w:lastColumn="0" w:lastRow="0" w:noHBand="0" w:noVBand="1" w:val="04A0"/>
      </w:tblPr>
      <w:tblGrid>
        <w:gridCol w:w="3211"/>
        <w:gridCol w:w="3211"/>
        <w:gridCol w:w="3211"/>
      </w:tblGrid>
      <w:tr>
        <w:tc>
          <w:tcPr>
            <w:tcW w:type="dxa" w:w="3211"/>
          </w:tcPr>
          <w:p>
            <w:r>
              <w:rPr>
                <w:b/>
              </w:rPr>
              <w:t>Category</w:t>
            </w:r>
          </w:p>
        </w:tc>
        <w:tc>
          <w:tcPr>
            <w:tcW w:type="dxa" w:w="3211"/>
          </w:tcPr>
          <w:p>
            <w:r>
              <w:rPr>
                <w:b/>
              </w:rPr>
              <w:t>Threshold</w:t>
            </w:r>
          </w:p>
        </w:tc>
        <w:tc>
          <w:tcPr>
            <w:tcW w:type="dxa" w:w="3211"/>
          </w:tcPr>
          <w:p>
            <w:r>
              <w:rPr>
                <w:b/>
              </w:rPr>
              <w:t>Approval required</w:t>
            </w:r>
          </w:p>
        </w:tc>
      </w:tr>
      <w:tr>
        <w:tc>
          <w:tcPr>
            <w:tcW w:type="dxa" w:w="3211"/>
          </w:tcPr>
          <w:p>
            <w:r>
              <w:t>Gift (private sector)</w:t>
            </w:r>
          </w:p>
        </w:tc>
        <w:tc>
          <w:tcPr>
            <w:tcW w:type="dxa" w:w="3211"/>
          </w:tcPr>
          <w:p>
            <w:r>
              <w:t>&gt; GBP 75</w:t>
            </w:r>
          </w:p>
        </w:tc>
        <w:tc>
          <w:tcPr>
            <w:tcW w:type="dxa" w:w="3211"/>
          </w:tcPr>
          <w:p>
            <w:r>
              <w:t>Line manager + register</w:t>
            </w:r>
          </w:p>
        </w:tc>
      </w:tr>
      <w:tr>
        <w:tc>
          <w:tcPr>
            <w:tcW w:type="dxa" w:w="3211"/>
          </w:tcPr>
          <w:p>
            <w:r>
              <w:t>Hospitality (private sector)</w:t>
            </w:r>
          </w:p>
        </w:tc>
        <w:tc>
          <w:tcPr>
            <w:tcW w:type="dxa" w:w="3211"/>
          </w:tcPr>
          <w:p>
            <w:r>
              <w:t>&gt; GBP 200 per person</w:t>
            </w:r>
          </w:p>
        </w:tc>
        <w:tc>
          <w:tcPr>
            <w:tcW w:type="dxa" w:w="3211"/>
          </w:tcPr>
          <w:p>
            <w:r>
              <w:t>Group Compliance</w:t>
            </w:r>
          </w:p>
        </w:tc>
      </w:tr>
      <w:tr>
        <w:tc>
          <w:tcPr>
            <w:tcW w:type="dxa" w:w="3211"/>
          </w:tcPr>
          <w:p>
            <w:r>
              <w:t>Any benefit to a public official</w:t>
            </w:r>
          </w:p>
        </w:tc>
        <w:tc>
          <w:tcPr>
            <w:tcW w:type="dxa" w:w="3211"/>
          </w:tcPr>
          <w:p>
            <w:r>
              <w:t>Any value</w:t>
            </w:r>
          </w:p>
        </w:tc>
        <w:tc>
          <w:tcPr>
            <w:tcW w:type="dxa" w:w="3211"/>
          </w:tcPr>
          <w:p>
            <w:r>
              <w:t>Chief Compliance Officer (prior written)</w:t>
            </w:r>
          </w:p>
        </w:tc>
      </w:tr>
    </w:tbl>
    <w:p/>
    <w:p>
      <w:r>
        <w:rPr>
          <w:b/>
        </w:rPr>
        <w:t>4. Third parties</w:t>
      </w:r>
    </w:p>
    <w:p>
      <w:r>
        <w:t>Risk-based due diligence must be completed before engaging any agent, distributor, consultant or other intermediary. Contracts with all intermediaries must contain anti-corruption warranties and audit rights.</w:t>
      </w:r>
    </w:p>
    <w:p>
      <w:r>
        <w:rPr>
          <w:b/>
        </w:rPr>
        <w:t>5. Training and certification</w:t>
      </w:r>
    </w:p>
    <w:p>
      <w:r>
        <w:t>All employees complete anti-bribery training annually. Employees in high-risk roles (Sales, Procurement, Government Affairs) also complete targeted live training.</w:t>
      </w:r>
    </w:p>
    <w:p>
      <w:r>
        <w:rPr>
          <w:b/>
        </w:rPr>
        <w:t>6. Speaking up</w:t>
      </w:r>
    </w:p>
    <w:p>
      <w:r>
        <w:t>Concerns may be reported to your manager, Group Compliance or the independent Speak-Up Line (24/7, anonymous where permitted by law). Retaliation against anyone raising a concern in good faith is prohibited.</w:t>
      </w:r>
    </w:p>
    <w:p>
      <w:r>
        <w:rPr>
          <w:b/>
        </w:rPr>
        <w:t>7. Records</w:t>
      </w:r>
    </w:p>
    <w:p>
      <w:r>
        <w:t>Accurate books and records must be kept. Compliance records, including the Register, are retained for seven (7) years.</w:t>
      </w:r>
    </w:p>
    <w:p>
      <w:r>
        <w:rPr>
          <w:b/>
        </w:rPr>
        <w:t>Version history</w:t>
      </w:r>
    </w:p>
    <w:tbl>
      <w:tblPr>
        <w:tblStyle w:val="TableGrid"/>
        <w:tblW w:type="auto" w:w="0"/>
        <w:tblLook w:firstColumn="1" w:firstRow="1" w:lastColumn="0" w:lastRow="0" w:noHBand="0" w:noVBand="1" w:val="04A0"/>
      </w:tblPr>
      <w:tblGrid>
        <w:gridCol w:w="3211"/>
        <w:gridCol w:w="3211"/>
        <w:gridCol w:w="3211"/>
      </w:tblGrid>
      <w:tr>
        <w:tc>
          <w:tcPr>
            <w:tcW w:type="dxa" w:w="3211"/>
          </w:tcPr>
          <w:p>
            <w:r>
              <w:rPr>
                <w:b/>
              </w:rPr>
              <w:t>Version</w:t>
            </w:r>
          </w:p>
        </w:tc>
        <w:tc>
          <w:tcPr>
            <w:tcW w:type="dxa" w:w="3211"/>
          </w:tcPr>
          <w:p>
            <w:r>
              <w:rPr>
                <w:b/>
              </w:rPr>
              <w:t>Date</w:t>
            </w:r>
          </w:p>
        </w:tc>
        <w:tc>
          <w:tcPr>
            <w:tcW w:type="dxa" w:w="3211"/>
          </w:tcPr>
          <w:p>
            <w:r>
              <w:rPr>
                <w:b/>
              </w:rPr>
              <w:t>Summary of change</w:t>
            </w:r>
          </w:p>
        </w:tc>
      </w:tr>
      <w:tr>
        <w:tc>
          <w:tcPr>
            <w:tcW w:type="dxa" w:w="3211"/>
          </w:tcPr>
          <w:p>
            <w:r>
              <w:t>3.1</w:t>
            </w:r>
          </w:p>
        </w:tc>
        <w:tc>
          <w:tcPr>
            <w:tcW w:type="dxa" w:w="3211"/>
          </w:tcPr>
          <w:p>
            <w:r>
              <w:t>1 Jan 2021</w:t>
            </w:r>
          </w:p>
        </w:tc>
        <w:tc>
          <w:tcPr>
            <w:tcW w:type="dxa" w:w="3211"/>
          </w:tcPr>
          <w:p>
            <w:r>
              <w:t>Previous version (superseded)</w:t>
            </w:r>
          </w:p>
        </w:tc>
      </w:tr>
      <w:tr>
        <w:tc>
          <w:tcPr>
            <w:tcW w:type="dxa" w:w="3211"/>
          </w:tcPr>
          <w:p>
            <w:r>
              <w:t>4.0</w:t>
            </w:r>
          </w:p>
        </w:tc>
        <w:tc>
          <w:tcPr>
            <w:tcW w:type="dxa" w:w="3211"/>
          </w:tcPr>
          <w:p>
            <w:r>
              <w:t>1 Jan 2024</w:t>
            </w:r>
          </w:p>
        </w:tc>
        <w:tc>
          <w:tcPr>
            <w:tcW w:type="dxa" w:w="3211"/>
          </w:tcPr>
          <w:p>
            <w:r>
              <w:t>Lowered gift and hospitality thresholds; removed safety exception for facilitation payments; annual training; DD for all intermediaries</w:t>
            </w:r>
          </w:p>
        </w:tc>
      </w:tr>
    </w:tbl>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