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references: </w:t>
      </w:r>
      <w:r>
        <w:rPr>
          <w:rFonts w:ascii="Consolas" w:cs="Consolas" w:eastAsia="Consolas" w:hAnsi="Consolas"/>
        </w:rPr>
        <w:t xml:space="preserve">ABC123 … ABC134</w:t>
      </w:r>
      <w:r>
        <w:t xml:space="preserve">  (Shivam Sharma) — 12 identical bookings; use a fresh one per demo/tester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 ref for the price-delta baseline. Omit for callers with no booking — cheapest is still the lowest fare.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(excludes current flight when p_ref given)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Fare of that cheapest flight (e.g. 190)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delta (e.g. -60);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Per-flight delta;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p_summary_only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true = omit the seats array (agent). Default false = full grid (UI).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 only,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(A/F) / aisle (C/D) / middle (B/E)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4b. Seat options (voice agent)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THIS (not get_seat_map) to offer seats on a call. Returns only the summary lists — no 180-seat array — so the reply is tiny and the agent reliably reads the fields.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https://ogxttimsdjgahwpzzjyv.supabase.co/rest/v1/rpc/get_seat_options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seats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ALL demo bookings (ABC123..ABC134) to the starting state (each on NS1142, its own aisle seat,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reset_count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bookings were reset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The reset refs, e.g. ["ABC123", ... "ABC134"]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ABC123 restored (same shape as Get booking)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2026-10-08T05:49:04.744Z</dcterms:created>
  <dcterms:modified xsi:type="dcterms:W3CDTF">2026-10-08T05:49:04.744Z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