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F3864"/>
          <w:sz w:val="44"/>
          <w:szCs w:val="44"/>
        </w:rPr>
        <w:t xml:space="preserve">Test Plan</w:t>
      </w:r>
    </w:p>
    <w:p>
      <w:pPr>
        <w:spacing w:after="260"/>
        <w:jc w:val="center"/>
      </w:pPr>
      <w:r>
        <w:rPr>
          <w:rFonts w:ascii="Calibri" w:cs="Calibri" w:eastAsia="Calibri" w:hAnsi="Calibri"/>
          <w:b/>
          <w:bCs/>
          <w:color w:val="2E5C8A"/>
          <w:sz w:val="24"/>
          <w:szCs w:val="24"/>
        </w:rPr>
        <w:t xml:space="preserve">DemoBlaze E-Commerce Application — QA Mini Project, Week 2</w:t>
      </w:r>
    </w:p>
    <w:tbl>
      <w:tblPr>
        <w:tblW w:type="dxa" w:w="9746"/>
        <w:tblBorders>
          <w:top w:val="single" w:color="AAAAAA" w:sz="4"/>
          <w:left w:val="single" w:color="AAAAAA" w:sz="4"/>
          <w:bottom w:val="single" w:color="AAAAAA" w:sz="4"/>
          <w:right w:val="single" w:color="AAAAAA" w:sz="4"/>
          <w:insideH w:val="single" w:color="C9C9C9" w:sz="2"/>
          <w:insideV w:val="single" w:color="C9C9C9" w:sz="2"/>
        </w:tblBorders>
      </w:tblPr>
      <w:tblGrid>
        <w:gridCol w:w="2400"/>
        <w:gridCol w:w="7346"/>
      </w:tblGrid>
      <w:tr>
        <w:trPr>
          <w:cantSplit w:val="false"/>
          <w:tblHeader/>
        </w:trPr>
        <w:tc>
          <w:tcPr>
            <w:tcW w:type="dxa" w:w="2400"/>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Field</w:t>
            </w:r>
          </w:p>
        </w:tc>
        <w:tc>
          <w:tcPr>
            <w:tcW w:type="dxa" w:w="734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Detail</w:t>
            </w:r>
          </w:p>
        </w:tc>
      </w:tr>
      <w:tr>
        <w:trPr>
          <w:cantSplit w:val="false"/>
          <w:tblHeader w:val="false"/>
        </w:trPr>
        <w:tc>
          <w:tcPr>
            <w:tcW w:type="dxa" w:w="24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Prepared By</w:t>
            </w:r>
          </w:p>
        </w:tc>
        <w:tc>
          <w:tcPr>
            <w:tcW w:type="dxa" w:w="734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Jayant Bansal — QA Engineer (Intern)</w:t>
            </w:r>
          </w:p>
        </w:tc>
      </w:tr>
      <w:tr>
        <w:trPr>
          <w:cantSplit w:val="false"/>
          <w:tblHeader w:val="false"/>
        </w:trPr>
        <w:tc>
          <w:tcPr>
            <w:tcW w:type="dxa" w:w="24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Application Under Test</w:t>
            </w:r>
          </w:p>
        </w:tc>
        <w:tc>
          <w:tcPr>
            <w:tcW w:type="dxa" w:w="7346"/>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DemoBlaze Product Store — https://www.demoblaze.com</w:t>
            </w:r>
          </w:p>
        </w:tc>
      </w:tr>
      <w:tr>
        <w:trPr>
          <w:cantSplit w:val="false"/>
          <w:tblHeader w:val="false"/>
        </w:trPr>
        <w:tc>
          <w:tcPr>
            <w:tcW w:type="dxa" w:w="24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Document Version</w:t>
            </w:r>
          </w:p>
        </w:tc>
        <w:tc>
          <w:tcPr>
            <w:tcW w:type="dxa" w:w="734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1.0</w:t>
            </w:r>
          </w:p>
        </w:tc>
      </w:tr>
      <w:tr>
        <w:trPr>
          <w:cantSplit w:val="false"/>
          <w:tblHeader w:val="false"/>
        </w:trPr>
        <w:tc>
          <w:tcPr>
            <w:tcW w:type="dxa" w:w="24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Date</w:t>
            </w:r>
          </w:p>
        </w:tc>
        <w:tc>
          <w:tcPr>
            <w:tcW w:type="dxa" w:w="7346"/>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17 September 2026</w:t>
            </w:r>
          </w:p>
        </w:tc>
      </w:tr>
    </w:tbl>
    <w:p>
      <w:pPr>
        <w:spacing w:after="200"/>
      </w:pPr>
    </w:p>
    <w:p>
      <w:pPr>
        <w:pStyle w:val="Heading1"/>
        <w:pBdr>
          <w:bottom w:val="single" w:color="1F3864" w:sz="10" w:space="4"/>
        </w:pBdr>
        <w:spacing w:after="160" w:before="300"/>
      </w:pPr>
      <w:r>
        <w:rPr>
          <w:rFonts w:ascii="Calibri" w:cs="Calibri" w:eastAsia="Calibri" w:hAnsi="Calibri"/>
          <w:b/>
          <w:bCs/>
          <w:color w:val="1F3864"/>
          <w:sz w:val="30"/>
          <w:szCs w:val="30"/>
        </w:rPr>
        <w:t xml:space="preserve">1. Objective</w:t>
      </w:r>
    </w:p>
    <w:p>
      <w:pPr>
        <w:keepNext w:val="false"/>
        <w:spacing w:after="120" w:before="0" w:line="276"/>
        <w:jc w:val="both"/>
      </w:pPr>
      <w:r>
        <w:rPr>
          <w:rFonts w:ascii="Calibri" w:cs="Calibri" w:eastAsia="Calibri" w:hAnsi="Calibri"/>
          <w:b w:val="false"/>
          <w:bCs w:val="false"/>
          <w:i w:val="false"/>
          <w:iCs w:val="false"/>
          <w:color w:val="000000"/>
          <w:sz w:val="21"/>
          <w:szCs w:val="21"/>
        </w:rPr>
        <w:t xml:space="preserve">This plan defines the approach for testing the core end-to-end flows of the DemoBlaze demo storefront: registration, login, product browsing, cart, checkout and the contact form. The goal is to identify functional and usability defects before a simulated release, log them with severity and priority, and track each one through its lifecycle from Open to Closed.</w:t>
      </w:r>
    </w:p>
    <w:p>
      <w:pPr>
        <w:pStyle w:val="Heading1"/>
        <w:pBdr>
          <w:bottom w:val="single" w:color="1F3864" w:sz="10" w:space="4"/>
        </w:pBdr>
        <w:spacing w:after="160" w:before="300"/>
      </w:pPr>
      <w:r>
        <w:rPr>
          <w:rFonts w:ascii="Calibri" w:cs="Calibri" w:eastAsia="Calibri" w:hAnsi="Calibri"/>
          <w:b/>
          <w:bCs/>
          <w:color w:val="1F3864"/>
          <w:sz w:val="30"/>
          <w:szCs w:val="30"/>
        </w:rPr>
        <w:t xml:space="preserve">2. Scope</w:t>
      </w:r>
    </w:p>
    <w:p>
      <w:pPr>
        <w:keepNext w:val="false"/>
        <w:spacing w:after="60" w:before="0" w:line="276"/>
        <w:jc w:val="both"/>
      </w:pPr>
      <w:r>
        <w:rPr>
          <w:rFonts w:ascii="Calibri" w:cs="Calibri" w:eastAsia="Calibri" w:hAnsi="Calibri"/>
          <w:b/>
          <w:bCs/>
          <w:i w:val="false"/>
          <w:iCs w:val="false"/>
          <w:color w:val="000000"/>
          <w:sz w:val="21"/>
          <w:szCs w:val="21"/>
        </w:rPr>
        <w:t xml:space="preserve">In scope:</w:t>
      </w:r>
    </w:p>
    <w:p>
      <w:pPr>
        <w:pStyle w:val="ListParagraph"/>
        <w:numPr>
          <w:ilvl w:val="0"/>
          <w:numId w:val="2"/>
        </w:numPr>
        <w:spacing w:after="70" w:line="276"/>
        <w:jc w:val="both"/>
      </w:pPr>
      <w:r>
        <w:rPr>
          <w:rFonts w:ascii="Calibri" w:cs="Calibri" w:eastAsia="Calibri" w:hAnsi="Calibri"/>
          <w:sz w:val="21"/>
          <w:szCs w:val="21"/>
        </w:rPr>
        <w:t xml:space="preserve">Registration and login, including validation and session handling</w:t>
      </w:r>
    </w:p>
    <w:p>
      <w:pPr>
        <w:pStyle w:val="ListParagraph"/>
        <w:numPr>
          <w:ilvl w:val="0"/>
          <w:numId w:val="2"/>
        </w:numPr>
        <w:spacing w:after="70" w:line="276"/>
        <w:jc w:val="both"/>
      </w:pPr>
      <w:r>
        <w:rPr>
          <w:rFonts w:ascii="Calibri" w:cs="Calibri" w:eastAsia="Calibri" w:hAnsi="Calibri"/>
          <w:sz w:val="21"/>
          <w:szCs w:val="21"/>
        </w:rPr>
        <w:t xml:space="preserve">Product catalogue — category browsing, filtering and pagination</w:t>
      </w:r>
    </w:p>
    <w:p>
      <w:pPr>
        <w:pStyle w:val="ListParagraph"/>
        <w:numPr>
          <w:ilvl w:val="0"/>
          <w:numId w:val="2"/>
        </w:numPr>
        <w:spacing w:after="70" w:line="276"/>
        <w:jc w:val="both"/>
      </w:pPr>
      <w:r>
        <w:rPr>
          <w:rFonts w:ascii="Calibri" w:cs="Calibri" w:eastAsia="Calibri" w:hAnsi="Calibri"/>
          <w:sz w:val="21"/>
          <w:szCs w:val="21"/>
        </w:rPr>
        <w:t xml:space="preserve">Product detail pages and the add-to-cart flow</w:t>
      </w:r>
    </w:p>
    <w:p>
      <w:pPr>
        <w:pStyle w:val="ListParagraph"/>
        <w:numPr>
          <w:ilvl w:val="0"/>
          <w:numId w:val="2"/>
        </w:numPr>
        <w:spacing w:after="70" w:line="276"/>
        <w:jc w:val="both"/>
      </w:pPr>
      <w:r>
        <w:rPr>
          <w:rFonts w:ascii="Calibri" w:cs="Calibri" w:eastAsia="Calibri" w:hAnsi="Calibri"/>
          <w:sz w:val="21"/>
          <w:szCs w:val="21"/>
        </w:rPr>
        <w:t xml:space="preserve">Shopping cart — add, remove, quantity and totals</w:t>
      </w:r>
    </w:p>
    <w:p>
      <w:pPr>
        <w:pStyle w:val="ListParagraph"/>
        <w:numPr>
          <w:ilvl w:val="0"/>
          <w:numId w:val="2"/>
        </w:numPr>
        <w:spacing w:after="70" w:line="276"/>
        <w:jc w:val="both"/>
      </w:pPr>
      <w:r>
        <w:rPr>
          <w:rFonts w:ascii="Calibri" w:cs="Calibri" w:eastAsia="Calibri" w:hAnsi="Calibri"/>
          <w:sz w:val="21"/>
          <w:szCs w:val="21"/>
        </w:rPr>
        <w:t xml:space="preserve">Checkout and order placement, including the payment form</w:t>
      </w:r>
    </w:p>
    <w:p>
      <w:pPr>
        <w:pStyle w:val="ListParagraph"/>
        <w:numPr>
          <w:ilvl w:val="0"/>
          <w:numId w:val="2"/>
        </w:numPr>
        <w:spacing w:after="70" w:line="276"/>
        <w:jc w:val="both"/>
      </w:pPr>
      <w:r>
        <w:rPr>
          <w:rFonts w:ascii="Calibri" w:cs="Calibri" w:eastAsia="Calibri" w:hAnsi="Calibri"/>
          <w:sz w:val="21"/>
          <w:szCs w:val="21"/>
        </w:rPr>
        <w:t xml:space="preserve">Contact Us form</w:t>
      </w:r>
    </w:p>
    <w:p>
      <w:pPr>
        <w:pStyle w:val="ListParagraph"/>
        <w:numPr>
          <w:ilvl w:val="0"/>
          <w:numId w:val="2"/>
        </w:numPr>
        <w:spacing w:after="70" w:line="276"/>
        <w:jc w:val="both"/>
      </w:pPr>
      <w:r>
        <w:rPr>
          <w:rFonts w:ascii="Calibri" w:cs="Calibri" w:eastAsia="Calibri" w:hAnsi="Calibri"/>
          <w:sz w:val="21"/>
          <w:szCs w:val="21"/>
        </w:rPr>
        <w:t xml:space="preserve">Cross-browser check on Chrome, Firefox and Edge</w:t>
      </w:r>
    </w:p>
    <w:p>
      <w:pPr>
        <w:pStyle w:val="ListParagraph"/>
        <w:numPr>
          <w:ilvl w:val="0"/>
          <w:numId w:val="2"/>
        </w:numPr>
        <w:spacing w:after="70" w:line="276"/>
        <w:jc w:val="both"/>
      </w:pPr>
      <w:r>
        <w:rPr>
          <w:rFonts w:ascii="Calibri" w:cs="Calibri" w:eastAsia="Calibri" w:hAnsi="Calibri"/>
          <w:sz w:val="21"/>
          <w:szCs w:val="21"/>
        </w:rPr>
        <w:t xml:space="preserve">A basic page-load performance check on the home page</w:t>
      </w:r>
    </w:p>
    <w:p>
      <w:pPr>
        <w:keepNext w:val="false"/>
        <w:spacing w:after="60" w:before="120" w:line="276"/>
        <w:jc w:val="both"/>
      </w:pPr>
      <w:r>
        <w:rPr>
          <w:rFonts w:ascii="Calibri" w:cs="Calibri" w:eastAsia="Calibri" w:hAnsi="Calibri"/>
          <w:b/>
          <w:bCs/>
          <w:i w:val="false"/>
          <w:iCs w:val="false"/>
          <w:color w:val="000000"/>
          <w:sz w:val="21"/>
          <w:szCs w:val="21"/>
        </w:rPr>
        <w:t xml:space="preserve">Out of scope:</w:t>
      </w:r>
    </w:p>
    <w:p>
      <w:pPr>
        <w:pStyle w:val="ListParagraph"/>
        <w:numPr>
          <w:ilvl w:val="0"/>
          <w:numId w:val="2"/>
        </w:numPr>
        <w:spacing w:after="70" w:line="276"/>
        <w:jc w:val="both"/>
      </w:pPr>
      <w:r>
        <w:rPr>
          <w:rFonts w:ascii="Calibri" w:cs="Calibri" w:eastAsia="Calibri" w:hAnsi="Calibri"/>
          <w:sz w:val="21"/>
          <w:szCs w:val="21"/>
        </w:rPr>
        <w:t xml:space="preserve">Real payment gateway integration (DemoBlaze simulates payment only)</w:t>
      </w:r>
    </w:p>
    <w:p>
      <w:pPr>
        <w:pStyle w:val="ListParagraph"/>
        <w:numPr>
          <w:ilvl w:val="0"/>
          <w:numId w:val="2"/>
        </w:numPr>
        <w:spacing w:after="70" w:line="276"/>
        <w:jc w:val="both"/>
      </w:pPr>
      <w:r>
        <w:rPr>
          <w:rFonts w:ascii="Calibri" w:cs="Calibri" w:eastAsia="Calibri" w:hAnsi="Calibri"/>
          <w:sz w:val="21"/>
          <w:szCs w:val="21"/>
        </w:rPr>
        <w:t xml:space="preserve">Load, stress or endurance testing</w:t>
      </w:r>
    </w:p>
    <w:p>
      <w:pPr>
        <w:pStyle w:val="ListParagraph"/>
        <w:numPr>
          <w:ilvl w:val="0"/>
          <w:numId w:val="2"/>
        </w:numPr>
        <w:spacing w:after="70" w:line="276"/>
        <w:jc w:val="both"/>
      </w:pPr>
      <w:r>
        <w:rPr>
          <w:rFonts w:ascii="Calibri" w:cs="Calibri" w:eastAsia="Calibri" w:hAnsi="Calibri"/>
          <w:sz w:val="21"/>
          <w:szCs w:val="21"/>
        </w:rPr>
        <w:t xml:space="preserve">Backend, database and API-level validation</w:t>
      </w:r>
    </w:p>
    <w:p>
      <w:pPr>
        <w:pStyle w:val="ListParagraph"/>
        <w:numPr>
          <w:ilvl w:val="0"/>
          <w:numId w:val="2"/>
        </w:numPr>
        <w:spacing w:after="70" w:line="276"/>
        <w:jc w:val="both"/>
      </w:pPr>
      <w:r>
        <w:rPr>
          <w:rFonts w:ascii="Calibri" w:cs="Calibri" w:eastAsia="Calibri" w:hAnsi="Calibri"/>
          <w:sz w:val="21"/>
          <w:szCs w:val="21"/>
        </w:rPr>
        <w:t xml:space="preserve">A full WCAG accessibility audit</w:t>
      </w:r>
    </w:p>
    <w:p>
      <w:pPr>
        <w:pStyle w:val="Heading1"/>
        <w:pBdr>
          <w:bottom w:val="single" w:color="1F3864" w:sz="10" w:space="4"/>
        </w:pBdr>
        <w:spacing w:after="160" w:before="300"/>
      </w:pPr>
      <w:r>
        <w:rPr>
          <w:rFonts w:ascii="Calibri" w:cs="Calibri" w:eastAsia="Calibri" w:hAnsi="Calibri"/>
          <w:b/>
          <w:bCs/>
          <w:color w:val="1F3864"/>
          <w:sz w:val="30"/>
          <w:szCs w:val="30"/>
        </w:rPr>
        <w:t xml:space="preserve">3. Test Approach</w:t>
      </w:r>
    </w:p>
    <w:p>
      <w:pPr>
        <w:keepNext w:val="false"/>
        <w:spacing w:after="120" w:before="0" w:line="276"/>
        <w:jc w:val="both"/>
      </w:pPr>
      <w:r>
        <w:rPr>
          <w:rFonts w:ascii="Calibri" w:cs="Calibri" w:eastAsia="Calibri" w:hAnsi="Calibri"/>
          <w:b w:val="false"/>
          <w:bCs w:val="false"/>
          <w:i w:val="false"/>
          <w:iCs w:val="false"/>
          <w:color w:val="000000"/>
          <w:sz w:val="21"/>
          <w:szCs w:val="21"/>
        </w:rPr>
        <w:t xml:space="preserve">Testing is manual and black-box, using equivalence partitioning, boundary value analysis and exploratory testing to design cases, supplemented by error guessing around the payment and cart forms where DemoBlaze is known to be permissive. Each test case is executed against the live site and marked Pass, Fail, Blocked or Not Executed. Every failure is logged as a defect with a severity and a priority, and its status is tracked from Open through to Closed (or Deferred / Rejected where applicable) in the Bug Log.</w:t>
      </w:r>
    </w:p>
    <w:p>
      <w:pPr>
        <w:pStyle w:val="Heading1"/>
        <w:pBdr>
          <w:bottom w:val="single" w:color="1F3864" w:sz="10" w:space="4"/>
        </w:pBdr>
        <w:spacing w:after="160" w:before="300"/>
      </w:pPr>
      <w:r>
        <w:rPr>
          <w:rFonts w:ascii="Calibri" w:cs="Calibri" w:eastAsia="Calibri" w:hAnsi="Calibri"/>
          <w:b/>
          <w:bCs/>
          <w:color w:val="1F3864"/>
          <w:sz w:val="30"/>
          <w:szCs w:val="30"/>
        </w:rPr>
        <w:t xml:space="preserve">4. Test Environment</w:t>
      </w:r>
    </w:p>
    <w:tbl>
      <w:tblPr>
        <w:tblW w:type="dxa" w:w="9746"/>
        <w:tblBorders>
          <w:top w:val="single" w:color="AAAAAA" w:sz="4"/>
          <w:left w:val="single" w:color="AAAAAA" w:sz="4"/>
          <w:bottom w:val="single" w:color="AAAAAA" w:sz="4"/>
          <w:right w:val="single" w:color="AAAAAA" w:sz="4"/>
          <w:insideH w:val="single" w:color="C9C9C9" w:sz="2"/>
          <w:insideV w:val="single" w:color="C9C9C9" w:sz="2"/>
        </w:tblBorders>
      </w:tblPr>
      <w:tblGrid>
        <w:gridCol w:w="2400"/>
        <w:gridCol w:w="7346"/>
      </w:tblGrid>
      <w:tr>
        <w:trPr>
          <w:cantSplit w:val="false"/>
          <w:tblHeader/>
        </w:trPr>
        <w:tc>
          <w:tcPr>
            <w:tcW w:type="dxa" w:w="2400"/>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Item</w:t>
            </w:r>
          </w:p>
        </w:tc>
        <w:tc>
          <w:tcPr>
            <w:tcW w:type="dxa" w:w="734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Detail</w:t>
            </w:r>
          </w:p>
        </w:tc>
      </w:tr>
      <w:tr>
        <w:trPr>
          <w:cantSplit w:val="false"/>
          <w:tblHeader w:val="false"/>
        </w:trPr>
        <w:tc>
          <w:tcPr>
            <w:tcW w:type="dxa" w:w="24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Operating System</w:t>
            </w:r>
          </w:p>
        </w:tc>
        <w:tc>
          <w:tcPr>
            <w:tcW w:type="dxa" w:w="734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Windows 11 Pro 23H2</w:t>
            </w:r>
          </w:p>
        </w:tc>
      </w:tr>
      <w:tr>
        <w:trPr>
          <w:cantSplit w:val="false"/>
          <w:tblHeader w:val="false"/>
        </w:trPr>
        <w:tc>
          <w:tcPr>
            <w:tcW w:type="dxa" w:w="24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Browsers</w:t>
            </w:r>
          </w:p>
        </w:tc>
        <w:tc>
          <w:tcPr>
            <w:tcW w:type="dxa" w:w="7346"/>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Google Chrome 129, Mozilla Firefox 131, Microsoft Edge 129</w:t>
            </w:r>
          </w:p>
        </w:tc>
      </w:tr>
      <w:tr>
        <w:trPr>
          <w:cantSplit w:val="false"/>
          <w:tblHeader w:val="false"/>
        </w:trPr>
        <w:tc>
          <w:tcPr>
            <w:tcW w:type="dxa" w:w="24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Application URL</w:t>
            </w:r>
          </w:p>
        </w:tc>
        <w:tc>
          <w:tcPr>
            <w:tcW w:type="dxa" w:w="734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https://www.demoblaze.com</w:t>
            </w:r>
          </w:p>
        </w:tc>
      </w:tr>
      <w:tr>
        <w:trPr>
          <w:cantSplit w:val="false"/>
          <w:tblHeader w:val="false"/>
        </w:trPr>
        <w:tc>
          <w:tcPr>
            <w:tcW w:type="dxa" w:w="24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Defect Tracking</w:t>
            </w:r>
          </w:p>
        </w:tc>
        <w:tc>
          <w:tcPr>
            <w:tcW w:type="dxa" w:w="7346"/>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Jira-style bug log (Excel), severity/priority classification</w:t>
            </w:r>
          </w:p>
        </w:tc>
      </w:tr>
    </w:tbl>
    <w:p>
      <w:pPr>
        <w:pStyle w:val="Heading1"/>
        <w:pBdr>
          <w:bottom w:val="single" w:color="1F3864" w:sz="10" w:space="4"/>
        </w:pBdr>
        <w:spacing w:after="160" w:before="300"/>
      </w:pPr>
      <w:r>
        <w:rPr>
          <w:rFonts w:ascii="Calibri" w:cs="Calibri" w:eastAsia="Calibri" w:hAnsi="Calibri"/>
          <w:b/>
          <w:bCs/>
          <w:color w:val="1F3864"/>
          <w:sz w:val="30"/>
          <w:szCs w:val="30"/>
        </w:rPr>
        <w:t xml:space="preserve">5. Entry and Exit Criteria</w:t>
      </w:r>
    </w:p>
    <w:p>
      <w:pPr>
        <w:keepNext w:val="false"/>
        <w:spacing w:after="60" w:before="0" w:line="276"/>
        <w:jc w:val="both"/>
      </w:pPr>
      <w:r>
        <w:rPr>
          <w:rFonts w:ascii="Calibri" w:cs="Calibri" w:eastAsia="Calibri" w:hAnsi="Calibri"/>
          <w:b/>
          <w:bCs/>
          <w:i w:val="false"/>
          <w:iCs w:val="false"/>
          <w:color w:val="000000"/>
          <w:sz w:val="21"/>
          <w:szCs w:val="21"/>
        </w:rPr>
        <w:t xml:space="preserve">Entry criteria:</w:t>
      </w:r>
    </w:p>
    <w:p>
      <w:pPr>
        <w:pStyle w:val="ListParagraph"/>
        <w:numPr>
          <w:ilvl w:val="0"/>
          <w:numId w:val="2"/>
        </w:numPr>
        <w:spacing w:after="70" w:line="276"/>
        <w:jc w:val="both"/>
      </w:pPr>
      <w:r>
        <w:rPr>
          <w:rFonts w:ascii="Calibri" w:cs="Calibri" w:eastAsia="Calibri" w:hAnsi="Calibri"/>
          <w:sz w:val="21"/>
          <w:szCs w:val="21"/>
        </w:rPr>
        <w:t xml:space="preserve">The application is accessible at the URL above</w:t>
      </w:r>
    </w:p>
    <w:p>
      <w:pPr>
        <w:pStyle w:val="ListParagraph"/>
        <w:numPr>
          <w:ilvl w:val="0"/>
          <w:numId w:val="2"/>
        </w:numPr>
        <w:spacing w:after="70" w:line="276"/>
        <w:jc w:val="both"/>
      </w:pPr>
      <w:r>
        <w:rPr>
          <w:rFonts w:ascii="Calibri" w:cs="Calibri" w:eastAsia="Calibri" w:hAnsi="Calibri"/>
          <w:sz w:val="21"/>
          <w:szCs w:val="21"/>
        </w:rPr>
        <w:t xml:space="preserve">Test cases have been designed and reviewed</w:t>
      </w:r>
    </w:p>
    <w:p>
      <w:pPr>
        <w:keepNext w:val="false"/>
        <w:spacing w:after="60" w:before="120" w:line="276"/>
        <w:jc w:val="both"/>
      </w:pPr>
      <w:r>
        <w:rPr>
          <w:rFonts w:ascii="Calibri" w:cs="Calibri" w:eastAsia="Calibri" w:hAnsi="Calibri"/>
          <w:b/>
          <w:bCs/>
          <w:i w:val="false"/>
          <w:iCs w:val="false"/>
          <w:color w:val="000000"/>
          <w:sz w:val="21"/>
          <w:szCs w:val="21"/>
        </w:rPr>
        <w:t xml:space="preserve">Exit criteria:</w:t>
      </w:r>
    </w:p>
    <w:p>
      <w:pPr>
        <w:pStyle w:val="ListParagraph"/>
        <w:numPr>
          <w:ilvl w:val="0"/>
          <w:numId w:val="2"/>
        </w:numPr>
        <w:spacing w:after="70" w:line="276"/>
        <w:jc w:val="both"/>
      </w:pPr>
      <w:r>
        <w:rPr>
          <w:rFonts w:ascii="Calibri" w:cs="Calibri" w:eastAsia="Calibri" w:hAnsi="Calibri"/>
          <w:sz w:val="21"/>
          <w:szCs w:val="21"/>
        </w:rPr>
        <w:t xml:space="preserve">All planned test cases have been executed</w:t>
      </w:r>
    </w:p>
    <w:p>
      <w:pPr>
        <w:pStyle w:val="ListParagraph"/>
        <w:numPr>
          <w:ilvl w:val="0"/>
          <w:numId w:val="2"/>
        </w:numPr>
        <w:spacing w:after="70" w:line="276"/>
        <w:jc w:val="both"/>
      </w:pPr>
      <w:r>
        <w:rPr>
          <w:rFonts w:ascii="Calibri" w:cs="Calibri" w:eastAsia="Calibri" w:hAnsi="Calibri"/>
          <w:sz w:val="21"/>
          <w:szCs w:val="21"/>
        </w:rPr>
        <w:t xml:space="preserve">No Critical-severity defect remains Open</w:t>
      </w:r>
    </w:p>
    <w:p>
      <w:pPr>
        <w:pStyle w:val="ListParagraph"/>
        <w:numPr>
          <w:ilvl w:val="0"/>
          <w:numId w:val="2"/>
        </w:numPr>
        <w:spacing w:after="70" w:line="276"/>
        <w:jc w:val="both"/>
      </w:pPr>
      <w:r>
        <w:rPr>
          <w:rFonts w:ascii="Calibri" w:cs="Calibri" w:eastAsia="Calibri" w:hAnsi="Calibri"/>
          <w:sz w:val="21"/>
          <w:szCs w:val="21"/>
        </w:rPr>
        <w:t xml:space="preserve">Every defect raised has a severity, a priority and a current status</w:t>
      </w:r>
    </w:p>
    <w:p>
      <w:pPr>
        <w:pStyle w:val="Heading1"/>
        <w:pBdr>
          <w:bottom w:val="single" w:color="1F3864" w:sz="10" w:space="4"/>
        </w:pBdr>
        <w:spacing w:after="160" w:before="300"/>
      </w:pPr>
      <w:r>
        <w:rPr>
          <w:rFonts w:ascii="Calibri" w:cs="Calibri" w:eastAsia="Calibri" w:hAnsi="Calibri"/>
          <w:b/>
          <w:bCs/>
          <w:color w:val="1F3864"/>
          <w:sz w:val="30"/>
          <w:szCs w:val="30"/>
        </w:rPr>
        <w:t xml:space="preserve">6. Schedule</w:t>
      </w:r>
    </w:p>
    <w:tbl>
      <w:tblPr>
        <w:tblW w:type="dxa" w:w="9746"/>
        <w:tblBorders>
          <w:top w:val="single" w:color="AAAAAA" w:sz="4"/>
          <w:left w:val="single" w:color="AAAAAA" w:sz="4"/>
          <w:bottom w:val="single" w:color="AAAAAA" w:sz="4"/>
          <w:right w:val="single" w:color="AAAAAA" w:sz="4"/>
          <w:insideH w:val="single" w:color="C9C9C9" w:sz="2"/>
          <w:insideV w:val="single" w:color="C9C9C9" w:sz="2"/>
        </w:tblBorders>
      </w:tblPr>
      <w:tblGrid>
        <w:gridCol w:w="2400"/>
        <w:gridCol w:w="7346"/>
      </w:tblGrid>
      <w:tr>
        <w:trPr>
          <w:cantSplit w:val="false"/>
          <w:tblHeader/>
        </w:trPr>
        <w:tc>
          <w:tcPr>
            <w:tcW w:type="dxa" w:w="2400"/>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Activity</w:t>
            </w:r>
          </w:p>
        </w:tc>
        <w:tc>
          <w:tcPr>
            <w:tcW w:type="dxa" w:w="7346"/>
            <w:shd w:fill="1F3864" w:color="auto" w:val="clear"/>
            <w:tcMar>
              <w:top w:type="dxa" w:w="40"/>
              <w:left w:type="dxa" w:w="90"/>
              <w:bottom w:type="dxa" w:w="40"/>
              <w:right w:type="dxa" w:w="90"/>
            </w:tcMar>
            <w:vAlign w:val="top"/>
          </w:tcPr>
          <w:p>
            <w:pPr>
              <w:spacing w:after="40" w:before="40" w:line="252"/>
              <w:jc w:val="left"/>
            </w:pPr>
            <w:r>
              <w:rPr>
                <w:rFonts w:ascii="Calibri" w:cs="Calibri" w:eastAsia="Calibri" w:hAnsi="Calibri"/>
                <w:b/>
                <w:bCs/>
                <w:i w:val="false"/>
                <w:iCs w:val="false"/>
                <w:color w:val="FFFFFF"/>
                <w:sz w:val="19"/>
                <w:szCs w:val="19"/>
              </w:rPr>
              <w:t xml:space="preserve">Dates</w:t>
            </w:r>
          </w:p>
        </w:tc>
      </w:tr>
      <w:tr>
        <w:trPr>
          <w:cantSplit w:val="false"/>
          <w:tblHeader w:val="false"/>
        </w:trPr>
        <w:tc>
          <w:tcPr>
            <w:tcW w:type="dxa" w:w="24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Test planning and test case design</w:t>
            </w:r>
          </w:p>
        </w:tc>
        <w:tc>
          <w:tcPr>
            <w:tcW w:type="dxa" w:w="734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07 – 08 Sep 2026</w:t>
            </w:r>
          </w:p>
        </w:tc>
      </w:tr>
      <w:tr>
        <w:trPr>
          <w:cantSplit w:val="false"/>
          <w:tblHeader w:val="false"/>
        </w:trPr>
        <w:tc>
          <w:tcPr>
            <w:tcW w:type="dxa" w:w="24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Test execution (Cycle 1)</w:t>
            </w:r>
          </w:p>
        </w:tc>
        <w:tc>
          <w:tcPr>
            <w:tcW w:type="dxa" w:w="7346"/>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09 – 14 Sep 2026</w:t>
            </w:r>
          </w:p>
        </w:tc>
      </w:tr>
      <w:tr>
        <w:trPr>
          <w:cantSplit w:val="false"/>
          <w:tblHeader w:val="false"/>
        </w:trPr>
        <w:tc>
          <w:tcPr>
            <w:tcW w:type="dxa" w:w="2400"/>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Defect retest and closure</w:t>
            </w:r>
          </w:p>
        </w:tc>
        <w:tc>
          <w:tcPr>
            <w:tcW w:type="dxa" w:w="7346"/>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15 Sep 2026</w:t>
            </w:r>
          </w:p>
        </w:tc>
      </w:tr>
      <w:tr>
        <w:trPr>
          <w:cantSplit w:val="false"/>
          <w:tblHeader w:val="false"/>
        </w:trPr>
        <w:tc>
          <w:tcPr>
            <w:tcW w:type="dxa" w:w="2400"/>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Reporting</w:t>
            </w:r>
          </w:p>
        </w:tc>
        <w:tc>
          <w:tcPr>
            <w:tcW w:type="dxa" w:w="7346"/>
            <w:shd w:fill="F2F2F2" w:color="auto" w:val="clear"/>
            <w:tcMar>
              <w:top w:type="dxa" w:w="40"/>
              <w:left w:type="dxa" w:w="90"/>
              <w:bottom w:type="dxa" w:w="40"/>
              <w:right w:type="dxa" w:w="90"/>
            </w:tcMar>
            <w:vAlign w:val="top"/>
          </w:tcPr>
          <w:p>
            <w:pPr>
              <w:spacing w:after="40" w:before="40" w:line="252"/>
              <w:jc w:val="left"/>
            </w:pPr>
            <w:r>
              <w:rPr>
                <w:rFonts w:ascii="Calibri" w:cs="Calibri" w:eastAsia="Calibri" w:hAnsi="Calibri"/>
                <w:b w:val="false"/>
                <w:bCs w:val="false"/>
                <w:i w:val="false"/>
                <w:iCs w:val="false"/>
                <w:color w:val="000000"/>
                <w:sz w:val="19"/>
                <w:szCs w:val="19"/>
              </w:rPr>
              <w:t xml:space="preserve">16 – 17 Sep 2026</w:t>
            </w:r>
          </w:p>
        </w:tc>
      </w:tr>
    </w:tbl>
    <w:p>
      <w:pPr>
        <w:pStyle w:val="Heading1"/>
        <w:pBdr>
          <w:bottom w:val="single" w:color="1F3864" w:sz="10" w:space="4"/>
        </w:pBdr>
        <w:spacing w:after="160" w:before="300"/>
      </w:pPr>
      <w:r>
        <w:rPr>
          <w:rFonts w:ascii="Calibri" w:cs="Calibri" w:eastAsia="Calibri" w:hAnsi="Calibri"/>
          <w:b/>
          <w:bCs/>
          <w:color w:val="1F3864"/>
          <w:sz w:val="30"/>
          <w:szCs w:val="30"/>
        </w:rPr>
        <w:t xml:space="preserve">7. Deliverables</w:t>
      </w:r>
    </w:p>
    <w:p>
      <w:pPr>
        <w:pStyle w:val="ListParagraph"/>
        <w:numPr>
          <w:ilvl w:val="0"/>
          <w:numId w:val="2"/>
        </w:numPr>
        <w:spacing w:after="70" w:line="276"/>
        <w:jc w:val="both"/>
      </w:pPr>
      <w:r>
        <w:rPr>
          <w:rFonts w:ascii="Calibri" w:cs="Calibri" w:eastAsia="Calibri" w:hAnsi="Calibri"/>
          <w:sz w:val="21"/>
          <w:szCs w:val="21"/>
        </w:rPr>
        <w:t xml:space="preserve">Test Plan (this document)</w:t>
      </w:r>
    </w:p>
    <w:p>
      <w:pPr>
        <w:pStyle w:val="ListParagraph"/>
        <w:numPr>
          <w:ilvl w:val="0"/>
          <w:numId w:val="2"/>
        </w:numPr>
        <w:spacing w:after="70" w:line="276"/>
        <w:jc w:val="both"/>
      </w:pPr>
      <w:r>
        <w:rPr>
          <w:rFonts w:ascii="Calibri" w:cs="Calibri" w:eastAsia="Calibri" w:hAnsi="Calibri"/>
          <w:sz w:val="21"/>
          <w:szCs w:val="21"/>
        </w:rPr>
        <w:t xml:space="preserve">Bug Log — defects with severity, priority and full lifecycle history</w:t>
      </w:r>
    </w:p>
    <w:p>
      <w:pPr>
        <w:pStyle w:val="ListParagraph"/>
        <w:numPr>
          <w:ilvl w:val="0"/>
          <w:numId w:val="2"/>
        </w:numPr>
        <w:spacing w:after="70" w:line="276"/>
        <w:jc w:val="both"/>
      </w:pPr>
      <w:r>
        <w:rPr>
          <w:rFonts w:ascii="Calibri" w:cs="Calibri" w:eastAsia="Calibri" w:hAnsi="Calibri"/>
          <w:sz w:val="21"/>
          <w:szCs w:val="21"/>
        </w:rPr>
        <w:t xml:space="preserve">Test Summary Report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rFonts w:ascii="Calibri" w:cs="Calibri" w:eastAsia="Calibri" w:hAnsi="Calibri"/>
        <w:color w:val="7F7F7F"/>
        <w:sz w:val="16"/>
        <w:szCs w:val="16"/>
      </w:rPr>
      <w:t xml:space="preserve">Jayant Bansal — QA Mini Project Week 2   |   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spacing w:after="60"/>
      <w:jc w:val="right"/>
    </w:pPr>
    <w:r>
      <w:rPr>
        <w:rFonts w:ascii="Calibri" w:cs="Calibri" w:eastAsia="Calibri" w:hAnsi="Calibri"/>
        <w:i/>
        <w:iCs/>
        <w:color w:val="7F7F7F"/>
        <w:sz w:val="16"/>
        <w:szCs w:val="16"/>
      </w:rPr>
      <w:t xml:space="preserve">Test Plan — DemoBlaze QA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80" w:hanging="22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2026-09-17T02:37:09.707Z</dcterms:created>
  <dcterms:modified xsi:type="dcterms:W3CDTF">2026-09-17T02:37:09.716Z</dcterms:modified>
</cp:coreProperties>
</file>

<file path=docProps/custom.xml><?xml version="1.0" encoding="utf-8"?>
<Properties xmlns="http://schemas.openxmlformats.org/officeDocument/2006/custom-properties" xmlns:vt="http://schemas.openxmlformats.org/officeDocument/2006/docPropsVTypes"/>
</file>