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864"/>
          <w:sz w:val="44"/>
          <w:szCs w:val="44"/>
        </w:rPr>
        <w:t xml:space="preserve">Test Summary Report</w:t>
      </w:r>
    </w:p>
    <w:p>
      <w:pPr>
        <w:spacing w:after="260"/>
        <w:jc w:val="center"/>
      </w:pPr>
      <w:r>
        <w:rPr>
          <w:rFonts w:ascii="Calibri" w:cs="Calibri" w:eastAsia="Calibri" w:hAnsi="Calibri"/>
          <w:b/>
          <w:bCs/>
          <w:color w:val="2E5C8A"/>
          <w:sz w:val="24"/>
          <w:szCs w:val="24"/>
        </w:rPr>
        <w:t xml:space="preserve">DemoBlaze E-Commerce Application — QA Mini Project, Week 2</w:t>
      </w:r>
    </w:p>
    <w:tbl>
      <w:tblPr>
        <w:tblW w:type="dxa" w:w="9746"/>
        <w:tblBorders>
          <w:top w:val="single" w:color="AAAAAA" w:sz="4"/>
          <w:left w:val="single" w:color="AAAAAA" w:sz="4"/>
          <w:bottom w:val="single" w:color="AAAAAA" w:sz="4"/>
          <w:right w:val="single" w:color="AAAAAA" w:sz="4"/>
          <w:insideH w:val="single" w:color="C9C9C9" w:sz="2"/>
          <w:insideV w:val="single" w:color="C9C9C9" w:sz="2"/>
        </w:tblBorders>
      </w:tblPr>
      <w:tblGrid>
        <w:gridCol w:w="2400"/>
        <w:gridCol w:w="7346"/>
      </w:tblGrid>
      <w:tr>
        <w:trPr>
          <w:cantSplit w:val="false"/>
          <w:tblHeader/>
        </w:trPr>
        <w:tc>
          <w:tcPr>
            <w:tcW w:type="dxa" w:w="2400"/>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Field</w:t>
            </w:r>
          </w:p>
        </w:tc>
        <w:tc>
          <w:tcPr>
            <w:tcW w:type="dxa" w:w="734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Detail</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Prepared By</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Jayant Bansal — QA Engineer (Intern)</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Application Under Test</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DemoBlaze Product Store — https://www.demoblaze.com</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Execution Window</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07 – 16 September 2026</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Report Date</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17 September 2026</w:t>
            </w:r>
          </w:p>
        </w:tc>
      </w:tr>
    </w:tbl>
    <w:p>
      <w:pPr>
        <w:spacing w:after="200"/>
      </w:pPr>
    </w:p>
    <w:p>
      <w:pPr>
        <w:pStyle w:val="Heading1"/>
        <w:pBdr>
          <w:bottom w:val="single" w:color="1F3864" w:sz="10" w:space="4"/>
        </w:pBdr>
        <w:spacing w:after="160" w:before="300"/>
      </w:pPr>
      <w:r>
        <w:rPr>
          <w:rFonts w:ascii="Calibri" w:cs="Calibri" w:eastAsia="Calibri" w:hAnsi="Calibri"/>
          <w:b/>
          <w:bCs/>
          <w:color w:val="1F3864"/>
          <w:sz w:val="30"/>
          <w:szCs w:val="30"/>
        </w:rPr>
        <w:t xml:space="preserve">1. Overview</w:t>
      </w:r>
    </w:p>
    <w:p>
      <w:pPr>
        <w:keepNext w:val="false"/>
        <w:spacing w:after="120" w:before="0" w:line="276"/>
        <w:jc w:val="both"/>
      </w:pPr>
      <w:r>
        <w:rPr>
          <w:rFonts w:ascii="Calibri" w:cs="Calibri" w:eastAsia="Calibri" w:hAnsi="Calibri"/>
          <w:b w:val="false"/>
          <w:bCs w:val="false"/>
          <w:i w:val="false"/>
          <w:iCs w:val="false"/>
          <w:color w:val="000000"/>
          <w:sz w:val="21"/>
          <w:szCs w:val="21"/>
        </w:rPr>
        <w:t xml:space="preserve">This report summarises the results of Test Cycle 1 against the DemoBlaze storefront, run between 07 and 16 September 2026 as described in the Test Plan. 71 test cases were designed across registration, login, catalogue, product details, cart, checkout, the contact form, cross-browser compatibility and basic performance. 22 defects were logged with severity and priority and tracked through their lifecycle in the Bug Log.</w:t>
      </w:r>
    </w:p>
    <w:p>
      <w:pPr>
        <w:pStyle w:val="Heading1"/>
        <w:pBdr>
          <w:bottom w:val="single" w:color="1F3864" w:sz="10" w:space="4"/>
        </w:pBdr>
        <w:spacing w:after="160" w:before="300"/>
      </w:pPr>
      <w:r>
        <w:rPr>
          <w:rFonts w:ascii="Calibri" w:cs="Calibri" w:eastAsia="Calibri" w:hAnsi="Calibri"/>
          <w:b/>
          <w:bCs/>
          <w:color w:val="1F3864"/>
          <w:sz w:val="30"/>
          <w:szCs w:val="30"/>
        </w:rPr>
        <w:t xml:space="preserve">2. Test Execution Summary</w:t>
      </w:r>
    </w:p>
    <w:tbl>
      <w:tblPr>
        <w:tblW w:type="dxa" w:w="9746"/>
        <w:tblBorders>
          <w:top w:val="single" w:color="AAAAAA" w:sz="4"/>
          <w:left w:val="single" w:color="AAAAAA" w:sz="4"/>
          <w:bottom w:val="single" w:color="AAAAAA" w:sz="4"/>
          <w:right w:val="single" w:color="AAAAAA" w:sz="4"/>
          <w:insideH w:val="single" w:color="C9C9C9" w:sz="2"/>
          <w:insideV w:val="single" w:color="C9C9C9" w:sz="2"/>
        </w:tblBorders>
      </w:tblPr>
      <w:tblGrid>
        <w:gridCol w:w="3314"/>
        <w:gridCol w:w="1267"/>
        <w:gridCol w:w="1267"/>
        <w:gridCol w:w="1267"/>
        <w:gridCol w:w="1267"/>
        <w:gridCol w:w="1364"/>
      </w:tblGrid>
      <w:tr>
        <w:trPr>
          <w:cantSplit w:val="false"/>
          <w:tblHeader/>
        </w:trPr>
        <w:tc>
          <w:tcPr>
            <w:tcW w:type="dxa" w:w="3314"/>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Module</w:t>
            </w:r>
          </w:p>
        </w:tc>
        <w:tc>
          <w:tcPr>
            <w:tcW w:type="dxa" w:w="1267"/>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Total</w:t>
            </w:r>
          </w:p>
        </w:tc>
        <w:tc>
          <w:tcPr>
            <w:tcW w:type="dxa" w:w="1267"/>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Pass</w:t>
            </w:r>
          </w:p>
        </w:tc>
        <w:tc>
          <w:tcPr>
            <w:tcW w:type="dxa" w:w="1267"/>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Fail</w:t>
            </w:r>
          </w:p>
        </w:tc>
        <w:tc>
          <w:tcPr>
            <w:tcW w:type="dxa" w:w="1267"/>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Blocked</w:t>
            </w:r>
          </w:p>
        </w:tc>
        <w:tc>
          <w:tcPr>
            <w:tcW w:type="dxa" w:w="1364"/>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Not Exec.</w:t>
            </w:r>
          </w:p>
        </w:tc>
      </w:tr>
      <w:tr>
        <w:trPr>
          <w:cantSplit w:val="false"/>
          <w:tblHeader w:val="false"/>
        </w:trPr>
        <w:tc>
          <w:tcPr>
            <w:tcW w:type="dxa" w:w="331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Registration</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8</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6</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Login &amp; Session</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10</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7</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3</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Product Catalogue</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8</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5</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3</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Product Details</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8</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5</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3</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Shopping Cart</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10</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7</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3</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Checkout</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10</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4</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5</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w:t>
            </w:r>
          </w:p>
        </w:tc>
        <w:tc>
          <w:tcPr>
            <w:tcW w:type="dxa" w:w="136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Contact Us</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4</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3</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Compatibility</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5</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4</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Performance</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3</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Regression</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API</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36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r>
      <w:tr>
        <w:trPr>
          <w:cantSplit w:val="false"/>
          <w:tblHeader w:val="false"/>
        </w:trPr>
        <w:tc>
          <w:tcPr>
            <w:tcW w:type="dxa" w:w="331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Accessibility</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c>
          <w:tcPr>
            <w:tcW w:type="dxa" w:w="1267"/>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1</w:t>
            </w:r>
          </w:p>
        </w:tc>
        <w:tc>
          <w:tcPr>
            <w:tcW w:type="dxa" w:w="1364"/>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0</w:t>
            </w:r>
          </w:p>
        </w:tc>
      </w:tr>
      <w:tr>
        <w:trPr>
          <w:cantSplit w:val="false"/>
          <w:tblHeader w:val="false"/>
        </w:trPr>
        <w:tc>
          <w:tcPr>
            <w:tcW w:type="dxa" w:w="331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Total</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71</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45</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22</w:t>
            </w:r>
          </w:p>
        </w:tc>
        <w:tc>
          <w:tcPr>
            <w:tcW w:type="dxa" w:w="1267"/>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c>
          <w:tcPr>
            <w:tcW w:type="dxa" w:w="1364"/>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2</w:t>
            </w:r>
          </w:p>
        </w:tc>
      </w:tr>
    </w:tbl>
    <w:p>
      <w:pPr>
        <w:keepNext w:val="false"/>
        <w:spacing w:after="120" w:before="120" w:line="276"/>
        <w:jc w:val="both"/>
      </w:pPr>
      <w:r>
        <w:rPr>
          <w:rFonts w:ascii="Calibri" w:cs="Calibri" w:eastAsia="Calibri" w:hAnsi="Calibri"/>
          <w:b w:val="false"/>
          <w:bCs w:val="false"/>
          <w:i w:val="false"/>
          <w:iCs w:val="false"/>
          <w:color w:val="000000"/>
          <w:sz w:val="21"/>
          <w:szCs w:val="21"/>
        </w:rPr>
        <w:t xml:space="preserve">69 of 71 test cases were executed (97.2%). Of those, 45 passed and 22 failed, a pass rate of 65.2%. Checkout carried the heaviest failure concentration (5 of 10 cases failed, plus 1 blocked), consistent with it being the highest-risk module in scope.</w:t>
      </w:r>
    </w:p>
    <w:p>
      <w:pPr>
        <w:pStyle w:val="Heading1"/>
        <w:pBdr>
          <w:bottom w:val="single" w:color="1F3864" w:sz="10" w:space="4"/>
        </w:pBdr>
        <w:spacing w:after="160" w:before="300"/>
      </w:pPr>
      <w:r>
        <w:rPr>
          <w:rFonts w:ascii="Calibri" w:cs="Calibri" w:eastAsia="Calibri" w:hAnsi="Calibri"/>
          <w:b/>
          <w:bCs/>
          <w:color w:val="1F3864"/>
          <w:sz w:val="30"/>
          <w:szCs w:val="30"/>
        </w:rPr>
        <w:t xml:space="preserve">3. Defect Summary</w:t>
      </w:r>
    </w:p>
    <w:p>
      <w:pPr>
        <w:keepNext w:val="false"/>
        <w:spacing w:after="60" w:before="0" w:line="276"/>
        <w:jc w:val="both"/>
      </w:pPr>
      <w:r>
        <w:rPr>
          <w:rFonts w:ascii="Calibri" w:cs="Calibri" w:eastAsia="Calibri" w:hAnsi="Calibri"/>
          <w:b/>
          <w:bCs/>
          <w:i w:val="false"/>
          <w:iCs w:val="false"/>
          <w:color w:val="000000"/>
          <w:sz w:val="21"/>
          <w:szCs w:val="21"/>
        </w:rPr>
        <w:t xml:space="preserve">By severity:</w:t>
      </w:r>
    </w:p>
    <w:tbl>
      <w:tblPr>
        <w:tblW w:type="dxa" w:w="9744"/>
        <w:tblBorders>
          <w:top w:val="single" w:color="AAAAAA" w:sz="4"/>
          <w:left w:val="single" w:color="AAAAAA" w:sz="4"/>
          <w:bottom w:val="single" w:color="AAAAAA" w:sz="4"/>
          <w:right w:val="single" w:color="AAAAAA" w:sz="4"/>
          <w:insideH w:val="single" w:color="C9C9C9" w:sz="2"/>
          <w:insideV w:val="single" w:color="C9C9C9" w:sz="2"/>
        </w:tblBorders>
      </w:tblPr>
      <w:tblGrid>
        <w:gridCol w:w="2436"/>
        <w:gridCol w:w="2436"/>
        <w:gridCol w:w="2436"/>
        <w:gridCol w:w="2435"/>
      </w:tblGrid>
      <w:tr>
        <w:trPr>
          <w:cantSplit w:val="false"/>
          <w:tblHeader/>
        </w:trPr>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Critical</w:t>
            </w:r>
          </w:p>
        </w:tc>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Major</w:t>
            </w:r>
          </w:p>
        </w:tc>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Minor</w:t>
            </w:r>
          </w:p>
        </w:tc>
        <w:tc>
          <w:tcPr>
            <w:tcW w:type="dxa" w:w="2435"/>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Trivial</w:t>
            </w:r>
          </w:p>
        </w:tc>
      </w:tr>
      <w:tr>
        <w:trPr>
          <w:cantSplit w:val="false"/>
          <w:tblHeader w:val="false"/>
        </w:trPr>
        <w:tc>
          <w:tcPr>
            <w:tcW w:type="dxa" w:w="2436"/>
            <w:shd w:fill="FFC7CE"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3</w:t>
            </w:r>
          </w:p>
        </w:tc>
        <w:tc>
          <w:tcPr>
            <w:tcW w:type="dxa" w:w="2436"/>
            <w:shd w:fill="FCE4D6"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11</w:t>
            </w:r>
          </w:p>
        </w:tc>
        <w:tc>
          <w:tcPr>
            <w:tcW w:type="dxa" w:w="2436"/>
            <w:shd w:fill="FFEB9C"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6</w:t>
            </w:r>
          </w:p>
        </w:tc>
        <w:tc>
          <w:tcPr>
            <w:tcW w:type="dxa" w:w="2435"/>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2</w:t>
            </w:r>
          </w:p>
        </w:tc>
      </w:tr>
    </w:tbl>
    <w:p>
      <w:pPr>
        <w:keepNext w:val="false"/>
        <w:spacing w:after="60" w:before="140" w:line="276"/>
        <w:jc w:val="both"/>
      </w:pPr>
      <w:r>
        <w:rPr>
          <w:rFonts w:ascii="Calibri" w:cs="Calibri" w:eastAsia="Calibri" w:hAnsi="Calibri"/>
          <w:b/>
          <w:bCs/>
          <w:i w:val="false"/>
          <w:iCs w:val="false"/>
          <w:color w:val="000000"/>
          <w:sz w:val="21"/>
          <w:szCs w:val="21"/>
        </w:rPr>
        <w:t xml:space="preserve">By priority:</w:t>
      </w:r>
    </w:p>
    <w:tbl>
      <w:tblPr>
        <w:tblW w:type="dxa" w:w="9744"/>
        <w:tblBorders>
          <w:top w:val="single" w:color="AAAAAA" w:sz="4"/>
          <w:left w:val="single" w:color="AAAAAA" w:sz="4"/>
          <w:bottom w:val="single" w:color="AAAAAA" w:sz="4"/>
          <w:right w:val="single" w:color="AAAAAA" w:sz="4"/>
          <w:insideH w:val="single" w:color="C9C9C9" w:sz="2"/>
          <w:insideV w:val="single" w:color="C9C9C9" w:sz="2"/>
        </w:tblBorders>
      </w:tblPr>
      <w:tblGrid>
        <w:gridCol w:w="2436"/>
        <w:gridCol w:w="2436"/>
        <w:gridCol w:w="2436"/>
        <w:gridCol w:w="2435"/>
      </w:tblGrid>
      <w:tr>
        <w:trPr>
          <w:cantSplit w:val="false"/>
          <w:tblHeader/>
        </w:trPr>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Highest</w:t>
            </w:r>
          </w:p>
        </w:tc>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High</w:t>
            </w:r>
          </w:p>
        </w:tc>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Medium</w:t>
            </w:r>
          </w:p>
        </w:tc>
        <w:tc>
          <w:tcPr>
            <w:tcW w:type="dxa" w:w="2435"/>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Low</w:t>
            </w:r>
          </w:p>
        </w:tc>
      </w:tr>
      <w:tr>
        <w:trPr>
          <w:cantSplit w:val="false"/>
          <w:tblHeader w:val="false"/>
        </w:trPr>
        <w:tc>
          <w:tcPr>
            <w:tcW w:type="dxa" w:w="243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2</w:t>
            </w:r>
          </w:p>
        </w:tc>
        <w:tc>
          <w:tcPr>
            <w:tcW w:type="dxa" w:w="243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6</w:t>
            </w:r>
          </w:p>
        </w:tc>
        <w:tc>
          <w:tcPr>
            <w:tcW w:type="dxa" w:w="243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10</w:t>
            </w:r>
          </w:p>
        </w:tc>
        <w:tc>
          <w:tcPr>
            <w:tcW w:type="dxa" w:w="2435"/>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4</w:t>
            </w:r>
          </w:p>
        </w:tc>
      </w:tr>
    </w:tbl>
    <w:p>
      <w:pPr>
        <w:keepNext w:val="false"/>
        <w:spacing w:after="60" w:before="140" w:line="276"/>
        <w:jc w:val="both"/>
      </w:pPr>
      <w:r>
        <w:rPr>
          <w:rFonts w:ascii="Calibri" w:cs="Calibri" w:eastAsia="Calibri" w:hAnsi="Calibri"/>
          <w:b/>
          <w:bCs/>
          <w:i w:val="false"/>
          <w:iCs w:val="false"/>
          <w:color w:val="000000"/>
          <w:sz w:val="21"/>
          <w:szCs w:val="21"/>
        </w:rPr>
        <w:t xml:space="preserve">By status:</w:t>
      </w:r>
    </w:p>
    <w:tbl>
      <w:tblPr>
        <w:tblW w:type="dxa" w:w="9744"/>
        <w:tblBorders>
          <w:top w:val="single" w:color="AAAAAA" w:sz="4"/>
          <w:left w:val="single" w:color="AAAAAA" w:sz="4"/>
          <w:bottom w:val="single" w:color="AAAAAA" w:sz="4"/>
          <w:right w:val="single" w:color="AAAAAA" w:sz="4"/>
          <w:insideH w:val="single" w:color="C9C9C9" w:sz="2"/>
          <w:insideV w:val="single" w:color="C9C9C9" w:sz="2"/>
        </w:tblBorders>
      </w:tblPr>
      <w:tblGrid>
        <w:gridCol w:w="2436"/>
        <w:gridCol w:w="2436"/>
        <w:gridCol w:w="2436"/>
        <w:gridCol w:w="2435"/>
      </w:tblGrid>
      <w:tr>
        <w:trPr>
          <w:cantSplit w:val="false"/>
          <w:tblHeader/>
        </w:trPr>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Closed</w:t>
            </w:r>
          </w:p>
        </w:tc>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Deferred</w:t>
            </w:r>
          </w:p>
        </w:tc>
        <w:tc>
          <w:tcPr>
            <w:tcW w:type="dxa" w:w="243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In Progress</w:t>
            </w:r>
          </w:p>
        </w:tc>
        <w:tc>
          <w:tcPr>
            <w:tcW w:type="dxa" w:w="2435"/>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Open</w:t>
            </w:r>
          </w:p>
        </w:tc>
      </w:tr>
      <w:tr>
        <w:trPr>
          <w:cantSplit w:val="false"/>
          <w:tblHeader w:val="false"/>
        </w:trPr>
        <w:tc>
          <w:tcPr>
            <w:tcW w:type="dxa" w:w="2436"/>
            <w:shd w:fill="C6EFCE"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16</w:t>
            </w:r>
          </w:p>
        </w:tc>
        <w:tc>
          <w:tcPr>
            <w:tcW w:type="dxa" w:w="2436"/>
            <w:shd w:fill="E4DFEC"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4</w:t>
            </w:r>
          </w:p>
        </w:tc>
        <w:tc>
          <w:tcPr>
            <w:tcW w:type="dxa" w:w="2436"/>
            <w:shd w:fill="FFEB9C"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w:t>
            </w:r>
          </w:p>
        </w:tc>
        <w:tc>
          <w:tcPr>
            <w:tcW w:type="dxa" w:w="2435"/>
            <w:shd w:fill="FFC7CE"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w:t>
            </w:r>
          </w:p>
        </w:tc>
      </w:tr>
    </w:tbl>
    <w:p>
      <w:pPr>
        <w:keepNext w:val="false"/>
        <w:spacing w:after="120" w:before="140" w:line="276"/>
        <w:jc w:val="both"/>
      </w:pPr>
      <w:r>
        <w:rPr>
          <w:rFonts w:ascii="Calibri" w:cs="Calibri" w:eastAsia="Calibri" w:hAnsi="Calibri"/>
          <w:b w:val="false"/>
          <w:bCs w:val="false"/>
          <w:i w:val="false"/>
          <w:iCs w:val="false"/>
          <w:color w:val="000000"/>
          <w:sz w:val="21"/>
          <w:szCs w:val="21"/>
        </w:rPr>
        <w:t xml:space="preserve">16 of 22 defects (72.7%) reached Closed status inside the cycle after a fix and a retest. The remainder are Deferred to a later release, one is still In Progress, and one Minor/Low defect (DBQA-109) remains Open and untriaged.</w:t>
      </w:r>
    </w:p>
    <w:p>
      <w:pPr>
        <w:pStyle w:val="Heading1"/>
        <w:pBdr>
          <w:bottom w:val="single" w:color="1F3864" w:sz="10" w:space="4"/>
        </w:pBdr>
        <w:spacing w:after="160" w:before="300"/>
      </w:pPr>
      <w:r>
        <w:rPr>
          <w:rFonts w:ascii="Calibri" w:cs="Calibri" w:eastAsia="Calibri" w:hAnsi="Calibri"/>
          <w:b/>
          <w:bCs/>
          <w:color w:val="1F3864"/>
          <w:sz w:val="30"/>
          <w:szCs w:val="30"/>
        </w:rPr>
        <w:t xml:space="preserve">4. Key Defects</w:t>
      </w:r>
    </w:p>
    <w:tbl>
      <w:tblPr>
        <w:tblW w:type="dxa" w:w="9746"/>
        <w:tblBorders>
          <w:top w:val="single" w:color="AAAAAA" w:sz="4"/>
          <w:left w:val="single" w:color="AAAAAA" w:sz="4"/>
          <w:bottom w:val="single" w:color="AAAAAA" w:sz="4"/>
          <w:right w:val="single" w:color="AAAAAA" w:sz="4"/>
          <w:insideH w:val="single" w:color="C9C9C9" w:sz="2"/>
          <w:insideV w:val="single" w:color="C9C9C9" w:sz="2"/>
        </w:tblBorders>
      </w:tblPr>
      <w:tblGrid>
        <w:gridCol w:w="1300"/>
        <w:gridCol w:w="1600"/>
        <w:gridCol w:w="1500"/>
        <w:gridCol w:w="5346"/>
      </w:tblGrid>
      <w:tr>
        <w:trPr>
          <w:cantSplit w:val="false"/>
          <w:tblHeader/>
        </w:trPr>
        <w:tc>
          <w:tcPr>
            <w:tcW w:type="dxa" w:w="1300"/>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ID</w:t>
            </w:r>
          </w:p>
        </w:tc>
        <w:tc>
          <w:tcPr>
            <w:tcW w:type="dxa" w:w="1600"/>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Sev. / Pri.</w:t>
            </w:r>
          </w:p>
        </w:tc>
        <w:tc>
          <w:tcPr>
            <w:tcW w:type="dxa" w:w="1500"/>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Status</w:t>
            </w:r>
          </w:p>
        </w:tc>
        <w:tc>
          <w:tcPr>
            <w:tcW w:type="dxa" w:w="534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8"/>
                <w:szCs w:val="18"/>
              </w:rPr>
              <w:t xml:space="preserve">Summary</w:t>
            </w:r>
          </w:p>
        </w:tc>
      </w:tr>
      <w:tr>
        <w:trPr>
          <w:cantSplit w:val="false"/>
          <w:tblHeader w:val="false"/>
        </w:trPr>
        <w:tc>
          <w:tcPr>
            <w:tcW w:type="dxa" w:w="13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DBQA-101</w:t>
            </w:r>
          </w:p>
        </w:tc>
        <w:tc>
          <w:tcPr>
            <w:tcW w:type="dxa" w:w="16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Critical / Highest</w:t>
            </w:r>
          </w:p>
        </w:tc>
        <w:tc>
          <w:tcPr>
            <w:tcW w:type="dxa" w:w="15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Closed</w:t>
            </w:r>
          </w:p>
        </w:tc>
        <w:tc>
          <w:tcPr>
            <w:tcW w:type="dxa" w:w="5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Full 16-digit credit card number is displayed in clear text on the purchase confirmation dialog</w:t>
            </w:r>
          </w:p>
        </w:tc>
      </w:tr>
      <w:tr>
        <w:trPr>
          <w:cantSplit w:val="false"/>
          <w:tblHeader w:val="false"/>
        </w:trPr>
        <w:tc>
          <w:tcPr>
            <w:tcW w:type="dxa" w:w="13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DBQA-102</w:t>
            </w:r>
          </w:p>
        </w:tc>
        <w:tc>
          <w:tcPr>
            <w:tcW w:type="dxa" w:w="16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Critical / Highest</w:t>
            </w:r>
          </w:p>
        </w:tc>
        <w:tc>
          <w:tcPr>
            <w:tcW w:type="dxa" w:w="15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Closed</w:t>
            </w:r>
          </w:p>
        </w:tc>
        <w:tc>
          <w:tcPr>
            <w:tcW w:type="dxa" w:w="5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Order is accepted with an arbitrary non-numeric credit card value (no length or Luhn validation)</w:t>
            </w:r>
          </w:p>
        </w:tc>
      </w:tr>
      <w:tr>
        <w:trPr>
          <w:cantSplit w:val="false"/>
          <w:tblHeader w:val="false"/>
        </w:trPr>
        <w:tc>
          <w:tcPr>
            <w:tcW w:type="dxa" w:w="13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DBQA-103</w:t>
            </w:r>
          </w:p>
        </w:tc>
        <w:tc>
          <w:tcPr>
            <w:tcW w:type="dxa" w:w="16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Critical / High</w:t>
            </w:r>
          </w:p>
        </w:tc>
        <w:tc>
          <w:tcPr>
            <w:tcW w:type="dxa" w:w="15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Closed</w:t>
            </w:r>
          </w:p>
        </w:tc>
        <w:tc>
          <w:tcPr>
            <w:tcW w:type="dxa" w:w="5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Checkout can be completed from an empty cart, creating a confirmed order with an amount of 0 USD</w:t>
            </w:r>
          </w:p>
        </w:tc>
      </w:tr>
      <w:tr>
        <w:trPr>
          <w:cantSplit w:val="false"/>
          <w:tblHeader w:val="false"/>
        </w:trPr>
        <w:tc>
          <w:tcPr>
            <w:tcW w:type="dxa" w:w="13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DBQA-107</w:t>
            </w:r>
          </w:p>
        </w:tc>
        <w:tc>
          <w:tcPr>
            <w:tcW w:type="dxa" w:w="16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Major / High</w:t>
            </w:r>
          </w:p>
        </w:tc>
        <w:tc>
          <w:tcPr>
            <w:tcW w:type="dxa" w:w="15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Deferred</w:t>
            </w:r>
          </w:p>
        </w:tc>
        <w:tc>
          <w:tcPr>
            <w:tcW w:type="dxa" w:w="5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No account lockout or rate limiting - 100 consecutive failed login attempts are accepted</w:t>
            </w:r>
          </w:p>
        </w:tc>
      </w:tr>
      <w:tr>
        <w:trPr>
          <w:cantSplit w:val="false"/>
          <w:tblHeader w:val="false"/>
        </w:trPr>
        <w:tc>
          <w:tcPr>
            <w:tcW w:type="dxa" w:w="13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DBQA-121</w:t>
            </w:r>
          </w:p>
        </w:tc>
        <w:tc>
          <w:tcPr>
            <w:tcW w:type="dxa" w:w="16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Major / Medium</w:t>
            </w:r>
          </w:p>
        </w:tc>
        <w:tc>
          <w:tcPr>
            <w:tcW w:type="dxa" w:w="15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In Progress</w:t>
            </w:r>
          </w:p>
        </w:tc>
        <w:tc>
          <w:tcPr>
            <w:tcW w:type="dxa" w:w="5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8"/>
                <w:szCs w:val="18"/>
              </w:rPr>
              <w:t xml:space="preserve">Session never expires - an idle authenticated session is still valid after 12 hours</w:t>
            </w:r>
          </w:p>
        </w:tc>
      </w:tr>
    </w:tbl>
    <w:p>
      <w:pPr>
        <w:pStyle w:val="Heading1"/>
        <w:pBdr>
          <w:bottom w:val="single" w:color="1F3864" w:sz="10" w:space="4"/>
        </w:pBdr>
        <w:spacing w:after="160" w:before="300"/>
      </w:pPr>
      <w:r>
        <w:rPr>
          <w:rFonts w:ascii="Calibri" w:cs="Calibri" w:eastAsia="Calibri" w:hAnsi="Calibri"/>
          <w:b/>
          <w:bCs/>
          <w:color w:val="1F3864"/>
          <w:sz w:val="30"/>
          <w:szCs w:val="30"/>
        </w:rPr>
        <w:t xml:space="preserve">5. Conclusion and Recommendation</w:t>
      </w:r>
    </w:p>
    <w:p>
      <w:pPr>
        <w:keepNext w:val="false"/>
        <w:spacing w:after="120" w:before="0" w:line="276"/>
        <w:jc w:val="both"/>
      </w:pPr>
      <w:r>
        <w:rPr>
          <w:rFonts w:ascii="Calibri" w:cs="Calibri" w:eastAsia="Calibri" w:hAnsi="Calibri"/>
          <w:b w:val="false"/>
          <w:bCs w:val="false"/>
          <w:i w:val="false"/>
          <w:iCs w:val="false"/>
          <w:color w:val="000000"/>
          <w:sz w:val="21"/>
          <w:szCs w:val="21"/>
        </w:rPr>
        <w:t xml:space="preserve">Testing found the core browsing, cart and account flows of DemoBlaze to be largely functional, but surfaced three Critical defects in the checkout and payment path, most notably an unmasked card number on the confirmation screen (DBQA-101) and the absence of any payment field validation (DBQA-102). All three Critical defects were fixed and verified Closed within the cycle. One High-priority defect (DBQA-107, no login lockout) is deferred to the next release behind an interim mitigation, one Major defect (DBQA-121, session never expires) is still in progress, and one Minor defect (DBQA-109) has not yet been triaged.</w:t>
      </w:r>
    </w:p>
    <w:p>
      <w:pPr>
        <w:keepNext w:val="false"/>
        <w:spacing w:after="120" w:before="100" w:line="276"/>
        <w:jc w:val="both"/>
      </w:pPr>
      <w:r>
        <w:rPr>
          <w:rFonts w:ascii="Calibri" w:cs="Calibri" w:eastAsia="Calibri" w:hAnsi="Calibri"/>
          <w:b w:val="false"/>
          <w:bCs w:val="false"/>
          <w:i w:val="false"/>
          <w:iCs w:val="false"/>
          <w:color w:val="000000"/>
          <w:sz w:val="21"/>
          <w:szCs w:val="21"/>
        </w:rPr>
        <w:t xml:space="preserve">Given that every Critical defect is resolved and the remaining open items are lower severity or already mitigated, the recommendation is to proceed with release on the condition that DBQA-107, DBQA-121 and DBQA-109 are tracked to closure in the following cycle.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rFonts w:ascii="Calibri" w:cs="Calibri" w:eastAsia="Calibri" w:hAnsi="Calibri"/>
        <w:color w:val="7F7F7F"/>
        <w:sz w:val="16"/>
        <w:szCs w:val="16"/>
      </w:rPr>
      <w:t xml:space="preserve">Jayant Bansal — QA Mini Project Week 2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60"/>
      <w:jc w:val="right"/>
    </w:pPr>
    <w:r>
      <w:rPr>
        <w:rFonts w:ascii="Calibri" w:cs="Calibri" w:eastAsia="Calibri" w:hAnsi="Calibri"/>
        <w:i/>
        <w:iCs/>
        <w:color w:val="7F7F7F"/>
        <w:sz w:val="16"/>
        <w:szCs w:val="16"/>
      </w:rPr>
      <w:t xml:space="preserve">Test Summary Report — DemoBlaze QA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2026-09-17T02:37:54.345Z</dcterms:created>
  <dcterms:modified xsi:type="dcterms:W3CDTF">2026-09-17T02:37:54.345Z</dcterms:modified>
</cp:coreProperties>
</file>

<file path=docProps/custom.xml><?xml version="1.0" encoding="utf-8"?>
<Properties xmlns="http://schemas.openxmlformats.org/officeDocument/2006/custom-properties" xmlns:vt="http://schemas.openxmlformats.org/officeDocument/2006/docPropsVTypes"/>
</file>