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of Association</w:t>
      </w:r>
    </w:p>
    <w:p>
      <w:r>
        <w:t>CLAUSE 3.1: Jurisdiction</w:t>
        <w:br/>
        <w:t>This agreement shall be governed by the laws of the UAE and subject to the jurisdiction of Dubai Courts.</w:t>
      </w:r>
    </w:p>
    <w:p>
      <w:r>
        <w:t>CLAUSE 4.2: Share Capital</w:t>
        <w:br/>
        <w:t>The company shall have a share capital of AED 100,000 divided into 10,000 shares.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