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PANDAS – QUESTIONS :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Unique Patient Count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259765625" w:line="240" w:lineRule="auto"/>
        <w:ind w:left="369.590454101562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Average Age of Patient’s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783203125" w:line="240" w:lineRule="auto"/>
        <w:ind w:left="367.603149414062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Patient Count by Gender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357.0048522949219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Average Treatment cost by Department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365.6159973144531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(Min-Max) Satisfaction score by Diagnosis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363.8496398925781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Patient Visits per city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92578125" w:line="240" w:lineRule="auto"/>
        <w:ind w:left="359.4335937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Follow-up Status Distribution (%)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364.7328186035156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Department with Highest Number of visits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6806640625" w:line="240" w:lineRule="auto"/>
        <w:ind w:left="364.070434570312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City with Highest Average Treatment Cost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99.8805522918701" w:lineRule="auto"/>
        <w:ind w:left="726.7984008789062" w:right="-4.000244140625" w:hanging="357.8703308105469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Correlation between age and treatment cost (Approximate using COVAR and  STDEV)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686523437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 Patients with Satisfactory score &gt; 8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12. Average cost for Follow-up patients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13. Diagnosis Distribution type by department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000976562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14. Diagnosis with Highest total Treatment cost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000976562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15. Top 5 Most Expensive Treatments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926391601562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16. Create a column to extract the year from the visit date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0009765625" w:line="240" w:lineRule="auto"/>
        <w:ind w:left="368.9280700683594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17. Find the Number of Visits per year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0009765625" w:line="299.87972259521484" w:lineRule="auto"/>
        <w:ind w:left="368.9280700683594" w:right="1695.05859375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18. What is the median treatment cost by gender and diagnosis  19. Add a column locating if cost &gt; 10000 is “High” or “Low”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68896484375" w:line="240" w:lineRule="auto"/>
        <w:ind w:left="369.590454101562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20.What Percentage of patients are from “Cardiology”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92578125" w:line="297.7067756652832" w:lineRule="auto"/>
        <w:ind w:left="369.5904541015625" w:right="840.120849609375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21. What are the top 3 departments with the lowest satisfaction scores 22.Which age group (by decades) has the highest number of visits 23.Gende has the Highest Average Satisfaction scores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35791015625" w:line="240" w:lineRule="auto"/>
        <w:ind w:left="369.590454101562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24. How many patient’s visited in 2023 alone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0009765625" w:line="240" w:lineRule="auto"/>
        <w:ind w:left="369.590454101562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25. Create a PIVOT : Average cost by gender and department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7261962890625" w:line="240" w:lineRule="auto"/>
        <w:ind w:left="1.43035888671875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Note : LINK PANDAS – SQL </w:t>
      </w:r>
    </w:p>
    <w:sectPr>
      <w:pgSz w:h="16820" w:w="11900" w:orient="portrait"/>
      <w:pgMar w:bottom="4978.999938964844" w:top="1478.800048828125" w:left="1448.5536193847656" w:right="1858.00903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