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563EB"/>
          <w:sz w:val="48"/>
        </w:rPr>
        <w:t>Rotordyn.ai SaaS Platform</w:t>
      </w:r>
    </w:p>
    <w:p>
      <w:pPr>
        <w:spacing w:after="480"/>
        <w:jc w:val="center"/>
      </w:pPr>
      <w:r>
        <w:rPr>
          <w:rFonts w:ascii="Arial" w:hAnsi="Arial"/>
          <w:i/>
          <w:color w:val="64748B"/>
          <w:sz w:val="28"/>
        </w:rPr>
        <w:t>Machinery Vibration Plots &amp; Technical Specifications Report</w:t>
      </w:r>
    </w:p>
    <w:p>
      <w:pPr>
        <w:spacing w:after="360" w:line="276" w:lineRule="auto"/>
      </w:pPr>
      <w:r>
        <w:t>This specification document provides a detailed breakdown of the telemetry plots implemented in the Rotordyn.ai vibration analysis workspace. Each plot is mapped against industrial diagnostic purposes, sensor requirements, physical coordinates transformation mathematics, and interactive features. This specification is designed to align with ISO 20816 vibration guidelines and standard ADRE Sxp machinery diagnostic behaviors.</w:t>
      </w:r>
    </w:p>
    <w:p>
      <w:pPr>
        <w:keepNext/>
        <w:spacing w:before="320" w:after="120"/>
      </w:pPr>
      <w:r>
        <w:rPr>
          <w:rFonts w:ascii="Arial" w:hAnsi="Arial"/>
          <w:b/>
          <w:color w:val="1E293B"/>
          <w:sz w:val="28"/>
        </w:rPr>
        <w:t>Dynamic Orbit Plot</w:t>
      </w:r>
    </w:p>
    <w:tbl>
      <w:tblPr>
        <w:tblStyle w:val="TableGrid"/>
        <w:tblW w:type="auto" w:w="0"/>
        <w:tblLook w:firstColumn="1" w:firstRow="1" w:lastColumn="0" w:lastRow="0" w:noHBand="0" w:noVBand="1" w:val="04A0"/>
      </w:tblPr>
      <w:tblGrid>
        <w:gridCol w:w="4680"/>
        <w:gridCol w:w="4680"/>
      </w:tblGrid>
      <w:tr>
        <w:tc>
          <w:tcPr>
            <w:tcW w:type="dxa" w:w="2592"/>
            <w:shd w:val="clear" w:color="auto" w:fill="F1F5F9"/>
          </w:tcPr>
          <w:p>
            <w:r>
              <w:rPr>
                <w:b/>
                <w:sz w:val="19"/>
              </w:rPr>
              <w:t>Plot Name</w:t>
            </w:r>
          </w:p>
        </w:tc>
        <w:tc>
          <w:tcPr>
            <w:tcW w:type="dxa" w:w="6768"/>
          </w:tcPr>
          <w:p>
            <w:r>
              <w:rPr>
                <w:sz w:val="19"/>
              </w:rPr>
              <w:t>Dynamic Orbit Plot</w:t>
            </w:r>
          </w:p>
        </w:tc>
      </w:tr>
      <w:tr>
        <w:tc>
          <w:tcPr>
            <w:tcW w:type="dxa" w:w="2592"/>
            <w:shd w:val="clear" w:color="auto" w:fill="F1F5F9"/>
          </w:tcPr>
          <w:p>
            <w:r>
              <w:rPr>
                <w:b/>
                <w:sz w:val="19"/>
              </w:rPr>
              <w:t>Purpose</w:t>
            </w:r>
          </w:p>
        </w:tc>
        <w:tc>
          <w:tcPr>
            <w:tcW w:type="dxa" w:w="6768"/>
          </w:tcPr>
          <w:p>
            <w:r>
              <w:rPr>
                <w:sz w:val="19"/>
              </w:rPr>
              <w:t>Combines dynamic AC signals from orthogonal proximity probes (X and Y) to trace the real-time physical path (LISSAJOUS orbit) of the shaft centerline within the bearing sleeve. Crucial for diagnosing oil whirl, whip, structural rubs, misalignments, and mechanical unbalance.</w:t>
            </w:r>
          </w:p>
        </w:tc>
      </w:tr>
      <w:tr>
        <w:tc>
          <w:tcPr>
            <w:tcW w:type="dxa" w:w="2592"/>
            <w:shd w:val="clear" w:color="auto" w:fill="F1F5F9"/>
          </w:tcPr>
          <w:p>
            <w:r>
              <w:rPr>
                <w:b/>
                <w:sz w:val="19"/>
              </w:rPr>
              <w:t>Input Data Required</w:t>
            </w:r>
          </w:p>
        </w:tc>
        <w:tc>
          <w:tcPr>
            <w:tcW w:type="dxa" w:w="6768"/>
          </w:tcPr>
          <w:p>
            <w:r>
              <w:rPr>
                <w:sz w:val="19"/>
              </w:rPr>
              <w:t>1X Amplitude and Phase columns for Probe X and Y; speed telemetry (RPM); proximity probe orientation angles; clearance circle limit parameter.</w:t>
            </w:r>
          </w:p>
        </w:tc>
      </w:tr>
      <w:tr>
        <w:tc>
          <w:tcPr>
            <w:tcW w:type="dxa" w:w="2592"/>
            <w:shd w:val="clear" w:color="auto" w:fill="F1F5F9"/>
          </w:tcPr>
          <w:p>
            <w:r>
              <w:rPr>
                <w:b/>
                <w:sz w:val="19"/>
              </w:rPr>
              <w:t>Axes, Units &amp; Labels</w:t>
            </w:r>
          </w:p>
        </w:tc>
        <w:tc>
          <w:tcPr>
            <w:tcW w:type="dxa" w:w="6768"/>
          </w:tcPr>
          <w:p>
            <w:r>
              <w:rPr>
                <w:sz w:val="19"/>
              </w:rPr>
              <w:t>Horizontal: Physical Horizontal Position (mils or micrometers)</w:t>
              <w:br/>
              <w:t>Vertical: Physical Vertical Position (mils or micrometers)</w:t>
              <w:br/>
              <w:t>Labels: Horizontal/Vertical Position vs. Clearance limit circle.</w:t>
            </w:r>
          </w:p>
        </w:tc>
      </w:tr>
      <w:tr>
        <w:tc>
          <w:tcPr>
            <w:tcW w:type="dxa" w:w="2592"/>
            <w:shd w:val="clear" w:color="auto" w:fill="F1F5F9"/>
          </w:tcPr>
          <w:p>
            <w:r>
              <w:rPr>
                <w:b/>
                <w:sz w:val="19"/>
              </w:rPr>
              <w:t>Calculations / Transformations</w:t>
            </w:r>
          </w:p>
        </w:tc>
        <w:tc>
          <w:tcPr>
            <w:tcW w:type="dxa" w:w="6768"/>
          </w:tcPr>
          <w:p>
            <w:r>
              <w:rPr>
                <w:sz w:val="19"/>
              </w:rPr>
              <w:t>Generalized coordinate projection system:</w:t>
              <w:br/>
              <w:t>x = -((Sx * sin(theta_Y) - Sy * sin(theta_X)) / sin(theta_Y - theta_X))</w:t>
              <w:br/>
              <w:t>y = (-Sx * cos(theta_Y) + Sy * cos(theta_X)) / sin(theta_Y - theta_X)</w:t>
              <w:br/>
              <w:t>Where theta_X and theta_Y are custom physical angles of the proximity probes (default 135 and 45 degrees).</w:t>
            </w:r>
          </w:p>
        </w:tc>
      </w:tr>
      <w:tr>
        <w:tc>
          <w:tcPr>
            <w:tcW w:type="dxa" w:w="2592"/>
            <w:shd w:val="clear" w:color="auto" w:fill="F1F5F9"/>
          </w:tcPr>
          <w:p>
            <w:r>
              <w:rPr>
                <w:b/>
                <w:sz w:val="19"/>
              </w:rPr>
              <w:t>Color Scheme &amp; Thresholds</w:t>
            </w:r>
          </w:p>
        </w:tc>
        <w:tc>
          <w:tcPr>
            <w:tcW w:type="dxa" w:w="6768"/>
          </w:tcPr>
          <w:p>
            <w:r>
              <w:rPr>
                <w:sz w:val="19"/>
              </w:rPr>
              <w:t>Clearance boundary sleeve circle drawn in red dashed line. Dynamic orbit lissajous path rendered in pink/rose gradient curve.</w:t>
            </w:r>
          </w:p>
        </w:tc>
      </w:tr>
      <w:tr>
        <w:tc>
          <w:tcPr>
            <w:tcW w:type="dxa" w:w="2592"/>
            <w:shd w:val="clear" w:color="auto" w:fill="F1F5F9"/>
          </w:tcPr>
          <w:p>
            <w:r>
              <w:rPr>
                <w:b/>
                <w:sz w:val="19"/>
              </w:rPr>
              <w:t>Interactive Features</w:t>
            </w:r>
          </w:p>
        </w:tc>
        <w:tc>
          <w:tcPr>
            <w:tcW w:type="dxa" w:w="6768"/>
          </w:tcPr>
          <w:p>
            <w:r>
              <w:rPr>
                <w:sz w:val="19"/>
              </w:rPr>
              <w:t>Playback animation controls (Play/Pause/Speed), dynamic cycle count filters selector (1 to 999 cycles), timeline scrubbing integration, cursor values.</w:t>
            </w:r>
          </w:p>
        </w:tc>
      </w:tr>
      <w:tr>
        <w:tc>
          <w:tcPr>
            <w:tcW w:type="dxa" w:w="2592"/>
            <w:shd w:val="clear" w:color="auto" w:fill="F1F5F9"/>
          </w:tcPr>
          <w:p>
            <w:r>
              <w:rPr>
                <w:b/>
                <w:sz w:val="19"/>
              </w:rPr>
              <w:t>Current Status</w:t>
            </w:r>
          </w:p>
        </w:tc>
        <w:tc>
          <w:tcPr>
            <w:tcW w:type="dxa" w:w="6768"/>
          </w:tcPr>
          <w:p>
            <w:r>
              <w:rPr>
                <w:sz w:val="19"/>
              </w:rPr>
              <w:t>Fully Implemented. Supports arbitrary probe orientations, custom cycle lengths, and real-time WebGL 3D whirl bending models.</w:t>
            </w:r>
          </w:p>
        </w:tc>
      </w:tr>
      <w:tr>
        <w:tc>
          <w:tcPr>
            <w:tcW w:type="dxa" w:w="2592"/>
            <w:shd w:val="clear" w:color="auto" w:fill="F1F5F9"/>
          </w:tcPr>
          <w:p>
            <w:r>
              <w:rPr>
                <w:b/>
                <w:sz w:val="19"/>
              </w:rPr>
              <w:t>Open Issues / Gaps</w:t>
            </w:r>
          </w:p>
        </w:tc>
        <w:tc>
          <w:tcPr>
            <w:tcW w:type="dxa" w:w="6768"/>
          </w:tcPr>
          <w:p>
            <w:r>
              <w:rPr>
                <w:sz w:val="19"/>
              </w:rPr>
              <w:t>None. Mathematically realigned with custom probe orientation matrices.</w:t>
            </w:r>
          </w:p>
        </w:tc>
      </w:tr>
      <w:tr>
        <w:tc>
          <w:tcPr>
            <w:tcW w:type="dxa" w:w="2592"/>
            <w:shd w:val="clear" w:color="auto" w:fill="F1F5F9"/>
          </w:tcPr>
          <w:p>
            <w:r>
              <w:rPr>
                <w:b/>
                <w:sz w:val="19"/>
              </w:rPr>
              <w:t>Reference Standards</w:t>
            </w:r>
          </w:p>
        </w:tc>
        <w:tc>
          <w:tcPr>
            <w:tcW w:type="dxa" w:w="6768"/>
          </w:tcPr>
          <w:p>
            <w:r>
              <w:rPr>
                <w:sz w:val="19"/>
              </w:rPr>
              <w:t>Standard ADRE Sxp Lissajous Orbit diagnostics plot template.</w:t>
            </w:r>
          </w:p>
        </w:tc>
      </w:tr>
    </w:tbl>
    <w:p>
      <w:pPr>
        <w:spacing w:after="240"/>
      </w:pPr>
    </w:p>
    <w:p>
      <w:pPr>
        <w:keepNext/>
        <w:spacing w:before="320" w:after="120"/>
      </w:pPr>
      <w:r>
        <w:rPr>
          <w:rFonts w:ascii="Arial" w:hAnsi="Arial"/>
          <w:b/>
          <w:color w:val="1E293B"/>
          <w:sz w:val="28"/>
        </w:rPr>
        <w:t>Shaft Centerline Plot</w:t>
      </w:r>
    </w:p>
    <w:tbl>
      <w:tblPr>
        <w:tblStyle w:val="TableGrid"/>
        <w:tblW w:type="auto" w:w="0"/>
        <w:tblLook w:firstColumn="1" w:firstRow="1" w:lastColumn="0" w:lastRow="0" w:noHBand="0" w:noVBand="1" w:val="04A0"/>
      </w:tblPr>
      <w:tblGrid>
        <w:gridCol w:w="4680"/>
        <w:gridCol w:w="4680"/>
      </w:tblGrid>
      <w:tr>
        <w:tc>
          <w:tcPr>
            <w:tcW w:type="dxa" w:w="2592"/>
            <w:shd w:val="clear" w:color="auto" w:fill="F1F5F9"/>
          </w:tcPr>
          <w:p>
            <w:r>
              <w:rPr>
                <w:b/>
                <w:sz w:val="19"/>
              </w:rPr>
              <w:t>Plot Name</w:t>
            </w:r>
          </w:p>
        </w:tc>
        <w:tc>
          <w:tcPr>
            <w:tcW w:type="dxa" w:w="6768"/>
          </w:tcPr>
          <w:p>
            <w:r>
              <w:rPr>
                <w:sz w:val="19"/>
              </w:rPr>
              <w:t>Shaft Centerline Plot</w:t>
            </w:r>
          </w:p>
        </w:tc>
      </w:tr>
      <w:tr>
        <w:tc>
          <w:tcPr>
            <w:tcW w:type="dxa" w:w="2592"/>
            <w:shd w:val="clear" w:color="auto" w:fill="F1F5F9"/>
          </w:tcPr>
          <w:p>
            <w:r>
              <w:rPr>
                <w:b/>
                <w:sz w:val="19"/>
              </w:rPr>
              <w:t>Purpose</w:t>
            </w:r>
          </w:p>
        </w:tc>
        <w:tc>
          <w:tcPr>
            <w:tcW w:type="dxa" w:w="6768"/>
          </w:tcPr>
          <w:p>
            <w:r>
              <w:rPr>
                <w:sz w:val="19"/>
              </w:rPr>
              <w:t>Maps the average DC gap position of the shaft within the bearing sleeve as speed changes, documenting the hydrodynamic lubrication film development (shaft rise/journal position path).</w:t>
            </w:r>
          </w:p>
        </w:tc>
      </w:tr>
      <w:tr>
        <w:tc>
          <w:tcPr>
            <w:tcW w:type="dxa" w:w="2592"/>
            <w:shd w:val="clear" w:color="auto" w:fill="F1F5F9"/>
          </w:tcPr>
          <w:p>
            <w:r>
              <w:rPr>
                <w:b/>
                <w:sz w:val="19"/>
              </w:rPr>
              <w:t>Input Data Required</w:t>
            </w:r>
          </w:p>
        </w:tc>
        <w:tc>
          <w:tcPr>
            <w:tcW w:type="dxa" w:w="6768"/>
          </w:tcPr>
          <w:p>
            <w:r>
              <w:rPr>
                <w:sz w:val="19"/>
              </w:rPr>
              <w:t>Average Gap (DC voltage) columns for Probe X and Y; speed telemetry (RPM); probe scale factor (mils/V); reference rest gap voltages.</w:t>
            </w:r>
          </w:p>
        </w:tc>
      </w:tr>
      <w:tr>
        <w:tc>
          <w:tcPr>
            <w:tcW w:type="dxa" w:w="2592"/>
            <w:shd w:val="clear" w:color="auto" w:fill="F1F5F9"/>
          </w:tcPr>
          <w:p>
            <w:r>
              <w:rPr>
                <w:b/>
                <w:sz w:val="19"/>
              </w:rPr>
              <w:t>Axes, Units &amp; Labels</w:t>
            </w:r>
          </w:p>
        </w:tc>
        <w:tc>
          <w:tcPr>
            <w:tcW w:type="dxa" w:w="6768"/>
          </w:tcPr>
          <w:p>
            <w:r>
              <w:rPr>
                <w:sz w:val="19"/>
              </w:rPr>
              <w:t>Horizontal: Horizontal Position (mils/micrometers)</w:t>
              <w:br/>
              <w:t>Vertical: Vertical Position (mils/micrometers)</w:t>
              <w:br/>
              <w:t>Sleeve circle bounds plotted at clearance limit values.</w:t>
            </w:r>
          </w:p>
        </w:tc>
      </w:tr>
      <w:tr>
        <w:tc>
          <w:tcPr>
            <w:tcW w:type="dxa" w:w="2592"/>
            <w:shd w:val="clear" w:color="auto" w:fill="F1F5F9"/>
          </w:tcPr>
          <w:p>
            <w:r>
              <w:rPr>
                <w:b/>
                <w:sz w:val="19"/>
              </w:rPr>
              <w:t>Calculations / Transformations</w:t>
            </w:r>
          </w:p>
        </w:tc>
        <w:tc>
          <w:tcPr>
            <w:tcW w:type="dxa" w:w="6768"/>
          </w:tcPr>
          <w:p>
            <w:r>
              <w:rPr>
                <w:sz w:val="19"/>
              </w:rPr>
              <w:t>Displacements mapping:</w:t>
              <w:br/>
              <w:t>dx = (V_gap_X - V_rest_X) * SF</w:t>
              <w:br/>
              <w:t>dy = (V_gap_Y - V_rest_Y) * SF</w:t>
              <w:br/>
              <w:t>Where SF is the Probe Scale Factor (default 5.0 mils/V), V_rest is the reference rest gap voltage, and positions are mapped through the generalized probe angle matrix.</w:t>
            </w:r>
          </w:p>
        </w:tc>
      </w:tr>
      <w:tr>
        <w:tc>
          <w:tcPr>
            <w:tcW w:type="dxa" w:w="2592"/>
            <w:shd w:val="clear" w:color="auto" w:fill="F1F5F9"/>
          </w:tcPr>
          <w:p>
            <w:r>
              <w:rPr>
                <w:b/>
                <w:sz w:val="19"/>
              </w:rPr>
              <w:t>Color Scheme &amp; Thresholds</w:t>
            </w:r>
          </w:p>
        </w:tc>
        <w:tc>
          <w:tcPr>
            <w:tcW w:type="dxa" w:w="6768"/>
          </w:tcPr>
          <w:p>
            <w:r>
              <w:rPr>
                <w:sz w:val="19"/>
              </w:rPr>
              <w:t>Bearing clearance boundary overlay in dashed red. Centerline path drawn in solid teal curve, with individual data points color-mapped to RPM.</w:t>
            </w:r>
          </w:p>
        </w:tc>
      </w:tr>
      <w:tr>
        <w:tc>
          <w:tcPr>
            <w:tcW w:type="dxa" w:w="2592"/>
            <w:shd w:val="clear" w:color="auto" w:fill="F1F5F9"/>
          </w:tcPr>
          <w:p>
            <w:r>
              <w:rPr>
                <w:b/>
                <w:sz w:val="19"/>
              </w:rPr>
              <w:t>Interactive Features</w:t>
            </w:r>
          </w:p>
        </w:tc>
        <w:tc>
          <w:tcPr>
            <w:tcW w:type="dxa" w:w="6768"/>
          </w:tcPr>
          <w:p>
            <w:r>
              <w:rPr>
                <w:sz w:val="19"/>
              </w:rPr>
              <w:t>Crosshair cursor tracking highlighting exact horizontal/vertical offsets, hover tooltips displaying RPM/Gap, coordinate zoom/pan.</w:t>
            </w:r>
          </w:p>
        </w:tc>
      </w:tr>
      <w:tr>
        <w:tc>
          <w:tcPr>
            <w:tcW w:type="dxa" w:w="2592"/>
            <w:shd w:val="clear" w:color="auto" w:fill="F1F5F9"/>
          </w:tcPr>
          <w:p>
            <w:r>
              <w:rPr>
                <w:b/>
                <w:sz w:val="19"/>
              </w:rPr>
              <w:t>Current Status</w:t>
            </w:r>
          </w:p>
        </w:tc>
        <w:tc>
          <w:tcPr>
            <w:tcW w:type="dxa" w:w="6768"/>
          </w:tcPr>
          <w:p>
            <w:r>
              <w:rPr>
                <w:sz w:val="19"/>
              </w:rPr>
              <w:t>Fully Implemented. Integrates manual DC Rest Voltage input controls and custom mils/V Scale Factor variables.</w:t>
            </w:r>
          </w:p>
        </w:tc>
      </w:tr>
      <w:tr>
        <w:tc>
          <w:tcPr>
            <w:tcW w:type="dxa" w:w="2592"/>
            <w:shd w:val="clear" w:color="auto" w:fill="F1F5F9"/>
          </w:tcPr>
          <w:p>
            <w:r>
              <w:rPr>
                <w:b/>
                <w:sz w:val="19"/>
              </w:rPr>
              <w:t>Open Issues / Gaps</w:t>
            </w:r>
          </w:p>
        </w:tc>
        <w:tc>
          <w:tcPr>
            <w:tcW w:type="dxa" w:w="6768"/>
          </w:tcPr>
          <w:p>
            <w:r>
              <w:rPr>
                <w:sz w:val="19"/>
              </w:rPr>
              <w:t>None.</w:t>
            </w:r>
          </w:p>
        </w:tc>
      </w:tr>
      <w:tr>
        <w:tc>
          <w:tcPr>
            <w:tcW w:type="dxa" w:w="2592"/>
            <w:shd w:val="clear" w:color="auto" w:fill="F1F5F9"/>
          </w:tcPr>
          <w:p>
            <w:r>
              <w:rPr>
                <w:b/>
                <w:sz w:val="19"/>
              </w:rPr>
              <w:t>Reference Standards</w:t>
            </w:r>
          </w:p>
        </w:tc>
        <w:tc>
          <w:tcPr>
            <w:tcW w:type="dxa" w:w="6768"/>
          </w:tcPr>
          <w:p>
            <w:r>
              <w:rPr>
                <w:sz w:val="19"/>
              </w:rPr>
              <w:t>Standard ADRE Sxp Centerline Rise plot specifications.</w:t>
            </w:r>
          </w:p>
        </w:tc>
      </w:tr>
    </w:tbl>
    <w:p>
      <w:pPr>
        <w:spacing w:after="240"/>
      </w:pPr>
    </w:p>
    <w:p>
      <w:pPr>
        <w:keepNext/>
        <w:spacing w:before="320" w:after="120"/>
      </w:pPr>
      <w:r>
        <w:rPr>
          <w:rFonts w:ascii="Arial" w:hAnsi="Arial"/>
          <w:b/>
          <w:color w:val="1E293B"/>
          <w:sz w:val="28"/>
        </w:rPr>
        <w:t>Centerline + Orbit Overlay Plot</w:t>
      </w:r>
    </w:p>
    <w:tbl>
      <w:tblPr>
        <w:tblStyle w:val="TableGrid"/>
        <w:tblW w:type="auto" w:w="0"/>
        <w:tblLook w:firstColumn="1" w:firstRow="1" w:lastColumn="0" w:lastRow="0" w:noHBand="0" w:noVBand="1" w:val="04A0"/>
      </w:tblPr>
      <w:tblGrid>
        <w:gridCol w:w="4680"/>
        <w:gridCol w:w="4680"/>
      </w:tblGrid>
      <w:tr>
        <w:tc>
          <w:tcPr>
            <w:tcW w:type="dxa" w:w="2592"/>
            <w:shd w:val="clear" w:color="auto" w:fill="F1F5F9"/>
          </w:tcPr>
          <w:p>
            <w:r>
              <w:rPr>
                <w:b/>
                <w:sz w:val="19"/>
              </w:rPr>
              <w:t>Plot Name</w:t>
            </w:r>
          </w:p>
        </w:tc>
        <w:tc>
          <w:tcPr>
            <w:tcW w:type="dxa" w:w="6768"/>
          </w:tcPr>
          <w:p>
            <w:r>
              <w:rPr>
                <w:sz w:val="19"/>
              </w:rPr>
              <w:t>Centerline + Orbit Overlay Plot</w:t>
            </w:r>
          </w:p>
        </w:tc>
      </w:tr>
      <w:tr>
        <w:tc>
          <w:tcPr>
            <w:tcW w:type="dxa" w:w="2592"/>
            <w:shd w:val="clear" w:color="auto" w:fill="F1F5F9"/>
          </w:tcPr>
          <w:p>
            <w:r>
              <w:rPr>
                <w:b/>
                <w:sz w:val="19"/>
              </w:rPr>
              <w:t>Purpose</w:t>
            </w:r>
          </w:p>
        </w:tc>
        <w:tc>
          <w:tcPr>
            <w:tcW w:type="dxa" w:w="6768"/>
          </w:tcPr>
          <w:p>
            <w:r>
              <w:rPr>
                <w:sz w:val="19"/>
              </w:rPr>
              <w:t>Overlays the steady centerline path curve with dynamic orbit snapshots at discrete target speeds. This provides a unified visualization of shaft stability, clearance margin, and attitude angle simultaneously.</w:t>
            </w:r>
          </w:p>
        </w:tc>
      </w:tr>
      <w:tr>
        <w:tc>
          <w:tcPr>
            <w:tcW w:type="dxa" w:w="2592"/>
            <w:shd w:val="clear" w:color="auto" w:fill="F1F5F9"/>
          </w:tcPr>
          <w:p>
            <w:r>
              <w:rPr>
                <w:b/>
                <w:sz w:val="19"/>
              </w:rPr>
              <w:t>Input Data Required</w:t>
            </w:r>
          </w:p>
        </w:tc>
        <w:tc>
          <w:tcPr>
            <w:tcW w:type="dxa" w:w="6768"/>
          </w:tcPr>
          <w:p>
            <w:r>
              <w:rPr>
                <w:sz w:val="19"/>
              </w:rPr>
              <w:t>Average Gap (DC), 1X Amplitude, and 1X Phase telemetry columns for both X and Y probes; speed column (RPM); clearance limits.</w:t>
            </w:r>
          </w:p>
        </w:tc>
      </w:tr>
      <w:tr>
        <w:tc>
          <w:tcPr>
            <w:tcW w:type="dxa" w:w="2592"/>
            <w:shd w:val="clear" w:color="auto" w:fill="F1F5F9"/>
          </w:tcPr>
          <w:p>
            <w:r>
              <w:rPr>
                <w:b/>
                <w:sz w:val="19"/>
              </w:rPr>
              <w:t>Axes, Units &amp; Labels</w:t>
            </w:r>
          </w:p>
        </w:tc>
        <w:tc>
          <w:tcPr>
            <w:tcW w:type="dxa" w:w="6768"/>
          </w:tcPr>
          <w:p>
            <w:r>
              <w:rPr>
                <w:sz w:val="19"/>
              </w:rPr>
              <w:t>Horizontal/Vertical physical displacement axes (mils or micrometers) centered inside the bearing clearance sleeve circle.</w:t>
            </w:r>
          </w:p>
        </w:tc>
      </w:tr>
      <w:tr>
        <w:tc>
          <w:tcPr>
            <w:tcW w:type="dxa" w:w="2592"/>
            <w:shd w:val="clear" w:color="auto" w:fill="F1F5F9"/>
          </w:tcPr>
          <w:p>
            <w:r>
              <w:rPr>
                <w:b/>
                <w:sz w:val="19"/>
              </w:rPr>
              <w:t>Calculations / Transformations</w:t>
            </w:r>
          </w:p>
        </w:tc>
        <w:tc>
          <w:tcPr>
            <w:tcW w:type="dxa" w:w="6768"/>
          </w:tcPr>
          <w:p>
            <w:r>
              <w:rPr>
                <w:sz w:val="19"/>
              </w:rPr>
              <w:t>Combined centerline position offset (dx, dy) plus dynamic orbit projection vector offsets mapped at specific RPM steps (e.g., 500, 1500, 2500, 3000 RPM).</w:t>
            </w:r>
          </w:p>
        </w:tc>
      </w:tr>
      <w:tr>
        <w:tc>
          <w:tcPr>
            <w:tcW w:type="dxa" w:w="2592"/>
            <w:shd w:val="clear" w:color="auto" w:fill="F1F5F9"/>
          </w:tcPr>
          <w:p>
            <w:r>
              <w:rPr>
                <w:b/>
                <w:sz w:val="19"/>
              </w:rPr>
              <w:t>Color Scheme &amp; Thresholds</w:t>
            </w:r>
          </w:p>
        </w:tc>
        <w:tc>
          <w:tcPr>
            <w:tcW w:type="dxa" w:w="6768"/>
          </w:tcPr>
          <w:p>
            <w:r>
              <w:rPr>
                <w:sz w:val="19"/>
              </w:rPr>
              <w:t>Centerline path in grey/slate. Clearance ring in dashed red. Speed-specific orbits colored in multi-step palettes (Red, Orange, Green, Blue).</w:t>
            </w:r>
          </w:p>
        </w:tc>
      </w:tr>
      <w:tr>
        <w:tc>
          <w:tcPr>
            <w:tcW w:type="dxa" w:w="2592"/>
            <w:shd w:val="clear" w:color="auto" w:fill="F1F5F9"/>
          </w:tcPr>
          <w:p>
            <w:r>
              <w:rPr>
                <w:b/>
                <w:sz w:val="19"/>
              </w:rPr>
              <w:t>Interactive Features</w:t>
            </w:r>
          </w:p>
        </w:tc>
        <w:tc>
          <w:tcPr>
            <w:tcW w:type="dxa" w:w="6768"/>
          </w:tcPr>
          <w:p>
            <w:r>
              <w:rPr>
                <w:sz w:val="19"/>
              </w:rPr>
              <w:t>Hover indicators on both the centerline points and target speed orbits; zoom, coordinate readouts.</w:t>
            </w:r>
          </w:p>
        </w:tc>
      </w:tr>
      <w:tr>
        <w:tc>
          <w:tcPr>
            <w:tcW w:type="dxa" w:w="2592"/>
            <w:shd w:val="clear" w:color="auto" w:fill="F1F5F9"/>
          </w:tcPr>
          <w:p>
            <w:r>
              <w:rPr>
                <w:b/>
                <w:sz w:val="19"/>
              </w:rPr>
              <w:t>Current Status</w:t>
            </w:r>
          </w:p>
        </w:tc>
        <w:tc>
          <w:tcPr>
            <w:tcW w:type="dxa" w:w="6768"/>
          </w:tcPr>
          <w:p>
            <w:r>
              <w:rPr>
                <w:sz w:val="19"/>
              </w:rPr>
              <w:t>Fully Implemented with custom probe math conversion integrations.</w:t>
            </w:r>
          </w:p>
        </w:tc>
      </w:tr>
      <w:tr>
        <w:tc>
          <w:tcPr>
            <w:tcW w:type="dxa" w:w="2592"/>
            <w:shd w:val="clear" w:color="auto" w:fill="F1F5F9"/>
          </w:tcPr>
          <w:p>
            <w:r>
              <w:rPr>
                <w:b/>
                <w:sz w:val="19"/>
              </w:rPr>
              <w:t>Open Issues / Gaps</w:t>
            </w:r>
          </w:p>
        </w:tc>
        <w:tc>
          <w:tcPr>
            <w:tcW w:type="dxa" w:w="6768"/>
          </w:tcPr>
          <w:p>
            <w:r>
              <w:rPr>
                <w:sz w:val="19"/>
              </w:rPr>
              <w:t>None.</w:t>
            </w:r>
          </w:p>
        </w:tc>
      </w:tr>
      <w:tr>
        <w:tc>
          <w:tcPr>
            <w:tcW w:type="dxa" w:w="2592"/>
            <w:shd w:val="clear" w:color="auto" w:fill="F1F5F9"/>
          </w:tcPr>
          <w:p>
            <w:r>
              <w:rPr>
                <w:b/>
                <w:sz w:val="19"/>
              </w:rPr>
              <w:t>Reference Standards</w:t>
            </w:r>
          </w:p>
        </w:tc>
        <w:tc>
          <w:tcPr>
            <w:tcW w:type="dxa" w:w="6768"/>
          </w:tcPr>
          <w:p>
            <w:r>
              <w:rPr>
                <w:sz w:val="19"/>
              </w:rPr>
              <w:t>ADRE Sxp bearing clearance attitude analysis overlay templates.</w:t>
            </w:r>
          </w:p>
        </w:tc>
      </w:tr>
    </w:tbl>
    <w:p>
      <w:pPr>
        <w:spacing w:after="240"/>
      </w:pPr>
    </w:p>
    <w:p>
      <w:pPr>
        <w:keepNext/>
        <w:spacing w:before="320" w:after="120"/>
      </w:pPr>
      <w:r>
        <w:rPr>
          <w:rFonts w:ascii="Arial" w:hAnsi="Arial"/>
          <w:b/>
          <w:color w:val="1E293B"/>
          <w:sz w:val="28"/>
        </w:rPr>
        <w:t>Bode Plot (2D &amp; 3D)</w:t>
      </w:r>
    </w:p>
    <w:tbl>
      <w:tblPr>
        <w:tblStyle w:val="TableGrid"/>
        <w:tblW w:type="auto" w:w="0"/>
        <w:tblLook w:firstColumn="1" w:firstRow="1" w:lastColumn="0" w:lastRow="0" w:noHBand="0" w:noVBand="1" w:val="04A0"/>
      </w:tblPr>
      <w:tblGrid>
        <w:gridCol w:w="4680"/>
        <w:gridCol w:w="4680"/>
      </w:tblGrid>
      <w:tr>
        <w:tc>
          <w:tcPr>
            <w:tcW w:type="dxa" w:w="2592"/>
            <w:shd w:val="clear" w:color="auto" w:fill="F1F5F9"/>
          </w:tcPr>
          <w:p>
            <w:r>
              <w:rPr>
                <w:b/>
                <w:sz w:val="19"/>
              </w:rPr>
              <w:t>Plot Name</w:t>
            </w:r>
          </w:p>
        </w:tc>
        <w:tc>
          <w:tcPr>
            <w:tcW w:type="dxa" w:w="6768"/>
          </w:tcPr>
          <w:p>
            <w:r>
              <w:rPr>
                <w:sz w:val="19"/>
              </w:rPr>
              <w:t>Bode Plot (2D &amp; 3D)</w:t>
            </w:r>
          </w:p>
        </w:tc>
      </w:tr>
      <w:tr>
        <w:tc>
          <w:tcPr>
            <w:tcW w:type="dxa" w:w="2592"/>
            <w:shd w:val="clear" w:color="auto" w:fill="F1F5F9"/>
          </w:tcPr>
          <w:p>
            <w:r>
              <w:rPr>
                <w:b/>
                <w:sz w:val="19"/>
              </w:rPr>
              <w:t>Purpose</w:t>
            </w:r>
          </w:p>
        </w:tc>
        <w:tc>
          <w:tcPr>
            <w:tcW w:type="dxa" w:w="6768"/>
          </w:tcPr>
          <w:p>
            <w:r>
              <w:rPr>
                <w:sz w:val="19"/>
              </w:rPr>
              <w:t>Plots 1X vibration amplitude and phase lag relative to speed (RPM). Essential for identifying critical speeds, rotor resonances, amplification factors, and phase lag shifts during startup/coastdown.</w:t>
            </w:r>
          </w:p>
        </w:tc>
      </w:tr>
      <w:tr>
        <w:tc>
          <w:tcPr>
            <w:tcW w:type="dxa" w:w="2592"/>
            <w:shd w:val="clear" w:color="auto" w:fill="F1F5F9"/>
          </w:tcPr>
          <w:p>
            <w:r>
              <w:rPr>
                <w:b/>
                <w:sz w:val="19"/>
              </w:rPr>
              <w:t>Input Data Required</w:t>
            </w:r>
          </w:p>
        </w:tc>
        <w:tc>
          <w:tcPr>
            <w:tcW w:type="dxa" w:w="6768"/>
          </w:tcPr>
          <w:p>
            <w:r>
              <w:rPr>
                <w:sz w:val="19"/>
              </w:rPr>
              <w:t>1X Amplitude, 1X Phase, Speed (RPM); optional Slow-Roll baseline vectors for runout subtraction.</w:t>
            </w:r>
          </w:p>
        </w:tc>
      </w:tr>
      <w:tr>
        <w:tc>
          <w:tcPr>
            <w:tcW w:type="dxa" w:w="2592"/>
            <w:shd w:val="clear" w:color="auto" w:fill="F1F5F9"/>
          </w:tcPr>
          <w:p>
            <w:r>
              <w:rPr>
                <w:b/>
                <w:sz w:val="19"/>
              </w:rPr>
              <w:t>Axes, Units &amp; Labels</w:t>
            </w:r>
          </w:p>
        </w:tc>
        <w:tc>
          <w:tcPr>
            <w:tcW w:type="dxa" w:w="6768"/>
          </w:tcPr>
          <w:p>
            <w:r>
              <w:rPr>
                <w:sz w:val="19"/>
              </w:rPr>
              <w:t>Shared X-Axis: Rotational Speed (RPM)</w:t>
              <w:br/>
              <w:t>Top Subplot Y-Axis: Phase Angle (degrees, 0 to 180 or -180 to 180)</w:t>
              <w:br/>
              <w:t>Bottom Subplot Y-Axis: Amplitude (mils or micrometers)</w:t>
            </w:r>
          </w:p>
        </w:tc>
      </w:tr>
      <w:tr>
        <w:tc>
          <w:tcPr>
            <w:tcW w:type="dxa" w:w="2592"/>
            <w:shd w:val="clear" w:color="auto" w:fill="F1F5F9"/>
          </w:tcPr>
          <w:p>
            <w:r>
              <w:rPr>
                <w:b/>
                <w:sz w:val="19"/>
              </w:rPr>
              <w:t>Calculations / Transformations</w:t>
            </w:r>
          </w:p>
        </w:tc>
        <w:tc>
          <w:tcPr>
            <w:tcW w:type="dxa" w:w="6768"/>
          </w:tcPr>
          <w:p>
            <w:r>
              <w:rPr>
                <w:sz w:val="19"/>
              </w:rPr>
              <w:t>Optional vector subtraction of low-speed (Slow-Roll) baseline vector:</w:t>
              <w:br/>
              <w:t>V_comp = V_raw - V_slow_roll</w:t>
              <w:br/>
              <w:t>Phase unwrapping algorithms applied to display continuous phase trends.</w:t>
            </w:r>
          </w:p>
        </w:tc>
      </w:tr>
      <w:tr>
        <w:tc>
          <w:tcPr>
            <w:tcW w:type="dxa" w:w="2592"/>
            <w:shd w:val="clear" w:color="auto" w:fill="F1F5F9"/>
          </w:tcPr>
          <w:p>
            <w:r>
              <w:rPr>
                <w:b/>
                <w:sz w:val="19"/>
              </w:rPr>
              <w:t>Color Scheme &amp; Thresholds</w:t>
            </w:r>
          </w:p>
        </w:tc>
        <w:tc>
          <w:tcPr>
            <w:tcW w:type="dxa" w:w="6768"/>
          </w:tcPr>
          <w:p>
            <w:r>
              <w:rPr>
                <w:sz w:val="19"/>
              </w:rPr>
              <w:t>Amplitude trace in sky blue. Phase trace in amber. Resonance peaks highlighted with yellow/orange critical speed bands.</w:t>
            </w:r>
          </w:p>
        </w:tc>
      </w:tr>
      <w:tr>
        <w:tc>
          <w:tcPr>
            <w:tcW w:type="dxa" w:w="2592"/>
            <w:shd w:val="clear" w:color="auto" w:fill="F1F5F9"/>
          </w:tcPr>
          <w:p>
            <w:r>
              <w:rPr>
                <w:b/>
                <w:sz w:val="19"/>
              </w:rPr>
              <w:t>Interactive Features</w:t>
            </w:r>
          </w:p>
        </w:tc>
        <w:tc>
          <w:tcPr>
            <w:tcW w:type="dxa" w:w="6768"/>
          </w:tcPr>
          <w:p>
            <w:r>
              <w:rPr>
                <w:sz w:val="19"/>
              </w:rPr>
              <w:t>Dual-subplot linked hover cursor showing exact RPM, Amplitude, and Phase simultaneously. Zoom and panning along speed axes.</w:t>
            </w:r>
          </w:p>
        </w:tc>
      </w:tr>
      <w:tr>
        <w:tc>
          <w:tcPr>
            <w:tcW w:type="dxa" w:w="2592"/>
            <w:shd w:val="clear" w:color="auto" w:fill="F1F5F9"/>
          </w:tcPr>
          <w:p>
            <w:r>
              <w:rPr>
                <w:b/>
                <w:sz w:val="19"/>
              </w:rPr>
              <w:t>Current Status</w:t>
            </w:r>
          </w:p>
        </w:tc>
        <w:tc>
          <w:tcPr>
            <w:tcW w:type="dxa" w:w="6768"/>
          </w:tcPr>
          <w:p>
            <w:r>
              <w:rPr>
                <w:sz w:val="19"/>
              </w:rPr>
              <w:t>Fully Implemented. Supports vector Slow-Roll subtraction, gearbox speed multipliers, and phase angle unwrapping.</w:t>
            </w:r>
          </w:p>
        </w:tc>
      </w:tr>
      <w:tr>
        <w:tc>
          <w:tcPr>
            <w:tcW w:type="dxa" w:w="2592"/>
            <w:shd w:val="clear" w:color="auto" w:fill="F1F5F9"/>
          </w:tcPr>
          <w:p>
            <w:r>
              <w:rPr>
                <w:b/>
                <w:sz w:val="19"/>
              </w:rPr>
              <w:t>Open Issues / Gaps</w:t>
            </w:r>
          </w:p>
        </w:tc>
        <w:tc>
          <w:tcPr>
            <w:tcW w:type="dxa" w:w="6768"/>
          </w:tcPr>
          <w:p>
            <w:r>
              <w:rPr>
                <w:sz w:val="19"/>
              </w:rPr>
              <w:t>None.</w:t>
            </w:r>
          </w:p>
        </w:tc>
      </w:tr>
      <w:tr>
        <w:tc>
          <w:tcPr>
            <w:tcW w:type="dxa" w:w="2592"/>
            <w:shd w:val="clear" w:color="auto" w:fill="F1F5F9"/>
          </w:tcPr>
          <w:p>
            <w:r>
              <w:rPr>
                <w:b/>
                <w:sz w:val="19"/>
              </w:rPr>
              <w:t>Reference Standards</w:t>
            </w:r>
          </w:p>
        </w:tc>
        <w:tc>
          <w:tcPr>
            <w:tcW w:type="dxa" w:w="6768"/>
          </w:tcPr>
          <w:p>
            <w:r>
              <w:rPr>
                <w:sz w:val="19"/>
              </w:rPr>
              <w:t>Standard ADRE Sxp Bode analysis.</w:t>
            </w:r>
          </w:p>
        </w:tc>
      </w:tr>
    </w:tbl>
    <w:p>
      <w:pPr>
        <w:spacing w:after="240"/>
      </w:pPr>
    </w:p>
    <w:p>
      <w:pPr>
        <w:keepNext/>
        <w:spacing w:before="320" w:after="120"/>
      </w:pPr>
      <w:r>
        <w:rPr>
          <w:rFonts w:ascii="Arial" w:hAnsi="Arial"/>
          <w:b/>
          <w:color w:val="1E293B"/>
          <w:sz w:val="28"/>
        </w:rPr>
        <w:t>Polar Plot</w:t>
      </w:r>
    </w:p>
    <w:tbl>
      <w:tblPr>
        <w:tblStyle w:val="TableGrid"/>
        <w:tblW w:type="auto" w:w="0"/>
        <w:tblLook w:firstColumn="1" w:firstRow="1" w:lastColumn="0" w:lastRow="0" w:noHBand="0" w:noVBand="1" w:val="04A0"/>
      </w:tblPr>
      <w:tblGrid>
        <w:gridCol w:w="4680"/>
        <w:gridCol w:w="4680"/>
      </w:tblGrid>
      <w:tr>
        <w:tc>
          <w:tcPr>
            <w:tcW w:type="dxa" w:w="2592"/>
            <w:shd w:val="clear" w:color="auto" w:fill="F1F5F9"/>
          </w:tcPr>
          <w:p>
            <w:r>
              <w:rPr>
                <w:b/>
                <w:sz w:val="19"/>
              </w:rPr>
              <w:t>Plot Name</w:t>
            </w:r>
          </w:p>
        </w:tc>
        <w:tc>
          <w:tcPr>
            <w:tcW w:type="dxa" w:w="6768"/>
          </w:tcPr>
          <w:p>
            <w:r>
              <w:rPr>
                <w:sz w:val="19"/>
              </w:rPr>
              <w:t>Polar Plot</w:t>
            </w:r>
          </w:p>
        </w:tc>
      </w:tr>
      <w:tr>
        <w:tc>
          <w:tcPr>
            <w:tcW w:type="dxa" w:w="2592"/>
            <w:shd w:val="clear" w:color="auto" w:fill="F1F5F9"/>
          </w:tcPr>
          <w:p>
            <w:r>
              <w:rPr>
                <w:b/>
                <w:sz w:val="19"/>
              </w:rPr>
              <w:t>Purpose</w:t>
            </w:r>
          </w:p>
        </w:tc>
        <w:tc>
          <w:tcPr>
            <w:tcW w:type="dxa" w:w="6768"/>
          </w:tcPr>
          <w:p>
            <w:r>
              <w:rPr>
                <w:sz w:val="19"/>
              </w:rPr>
              <w:t>Displays 1X vibration amplitude and phase vectors on a circular polar grid, representing the vector path as a function of RPM. Essential for balancing and estimating critical speed vectors.</w:t>
            </w:r>
          </w:p>
        </w:tc>
      </w:tr>
      <w:tr>
        <w:tc>
          <w:tcPr>
            <w:tcW w:type="dxa" w:w="2592"/>
            <w:shd w:val="clear" w:color="auto" w:fill="F1F5F9"/>
          </w:tcPr>
          <w:p>
            <w:r>
              <w:rPr>
                <w:b/>
                <w:sz w:val="19"/>
              </w:rPr>
              <w:t>Input Data Required</w:t>
            </w:r>
          </w:p>
        </w:tc>
        <w:tc>
          <w:tcPr>
            <w:tcW w:type="dxa" w:w="6768"/>
          </w:tcPr>
          <w:p>
            <w:r>
              <w:rPr>
                <w:sz w:val="19"/>
              </w:rPr>
              <w:t>1X Amplitude, 1X Phase, Speed (RPM); optional Slow-Roll compensation baseline vector.</w:t>
            </w:r>
          </w:p>
        </w:tc>
      </w:tr>
      <w:tr>
        <w:tc>
          <w:tcPr>
            <w:tcW w:type="dxa" w:w="2592"/>
            <w:shd w:val="clear" w:color="auto" w:fill="F1F5F9"/>
          </w:tcPr>
          <w:p>
            <w:r>
              <w:rPr>
                <w:b/>
                <w:sz w:val="19"/>
              </w:rPr>
              <w:t>Axes, Units &amp; Labels</w:t>
            </w:r>
          </w:p>
        </w:tc>
        <w:tc>
          <w:tcPr>
            <w:tcW w:type="dxa" w:w="6768"/>
          </w:tcPr>
          <w:p>
            <w:r>
              <w:rPr>
                <w:sz w:val="19"/>
              </w:rPr>
              <w:t>Radial Axis: Amplitude (mils)</w:t>
              <w:br/>
              <w:t>Angular Axis: Phase Angle (degrees)</w:t>
              <w:br/>
              <w:t>RPM / Time annotations plotted along the curve path.</w:t>
            </w:r>
          </w:p>
        </w:tc>
      </w:tr>
      <w:tr>
        <w:tc>
          <w:tcPr>
            <w:tcW w:type="dxa" w:w="2592"/>
            <w:shd w:val="clear" w:color="auto" w:fill="F1F5F9"/>
          </w:tcPr>
          <w:p>
            <w:r>
              <w:rPr>
                <w:b/>
                <w:sz w:val="19"/>
              </w:rPr>
              <w:t>Calculations / Transformations</w:t>
            </w:r>
          </w:p>
        </w:tc>
        <w:tc>
          <w:tcPr>
            <w:tcW w:type="dxa" w:w="6768"/>
          </w:tcPr>
          <w:p>
            <w:r>
              <w:rPr>
                <w:sz w:val="19"/>
              </w:rPr>
              <w:t>Slow-Roll vector compensation math (subtracting static runout vector). Phase angle mapping to polar coordinates.</w:t>
            </w:r>
          </w:p>
        </w:tc>
      </w:tr>
      <w:tr>
        <w:tc>
          <w:tcPr>
            <w:tcW w:type="dxa" w:w="2592"/>
            <w:shd w:val="clear" w:color="auto" w:fill="F1F5F9"/>
          </w:tcPr>
          <w:p>
            <w:r>
              <w:rPr>
                <w:b/>
                <w:sz w:val="19"/>
              </w:rPr>
              <w:t>Color Scheme &amp; Thresholds</w:t>
            </w:r>
          </w:p>
        </w:tc>
        <w:tc>
          <w:tcPr>
            <w:tcW w:type="dxa" w:w="6768"/>
          </w:tcPr>
          <w:p>
            <w:r>
              <w:rPr>
                <w:sz w:val="19"/>
              </w:rPr>
              <w:t>Circular grid lines in slate-200. Polar curve trace in magenta/purple gradient, with point color-mapping by speed.</w:t>
            </w:r>
          </w:p>
        </w:tc>
      </w:tr>
      <w:tr>
        <w:tc>
          <w:tcPr>
            <w:tcW w:type="dxa" w:w="2592"/>
            <w:shd w:val="clear" w:color="auto" w:fill="F1F5F9"/>
          </w:tcPr>
          <w:p>
            <w:r>
              <w:rPr>
                <w:b/>
                <w:sz w:val="19"/>
              </w:rPr>
              <w:t>Interactive Features</w:t>
            </w:r>
          </w:p>
        </w:tc>
        <w:tc>
          <w:tcPr>
            <w:tcW w:type="dxa" w:w="6768"/>
          </w:tcPr>
          <w:p>
            <w:r>
              <w:rPr>
                <w:sz w:val="19"/>
              </w:rPr>
              <w:t>Grid card header dropdown selector for labels ('Speed', 'Time', or 'None'). Interactive zoom, vector angle cursors, hover coordinates.</w:t>
            </w:r>
          </w:p>
        </w:tc>
      </w:tr>
      <w:tr>
        <w:tc>
          <w:tcPr>
            <w:tcW w:type="dxa" w:w="2592"/>
            <w:shd w:val="clear" w:color="auto" w:fill="F1F5F9"/>
          </w:tcPr>
          <w:p>
            <w:r>
              <w:rPr>
                <w:b/>
                <w:sz w:val="19"/>
              </w:rPr>
              <w:t>Current Status</w:t>
            </w:r>
          </w:p>
        </w:tc>
        <w:tc>
          <w:tcPr>
            <w:tcW w:type="dxa" w:w="6768"/>
          </w:tcPr>
          <w:p>
            <w:r>
              <w:rPr>
                <w:sz w:val="19"/>
              </w:rPr>
              <w:t>Fully Implemented. Features interactive Speed/Time annotations on curve points with smart spacing.</w:t>
            </w:r>
          </w:p>
        </w:tc>
      </w:tr>
      <w:tr>
        <w:tc>
          <w:tcPr>
            <w:tcW w:type="dxa" w:w="2592"/>
            <w:shd w:val="clear" w:color="auto" w:fill="F1F5F9"/>
          </w:tcPr>
          <w:p>
            <w:r>
              <w:rPr>
                <w:b/>
                <w:sz w:val="19"/>
              </w:rPr>
              <w:t>Open Issues / Gaps</w:t>
            </w:r>
          </w:p>
        </w:tc>
        <w:tc>
          <w:tcPr>
            <w:tcW w:type="dxa" w:w="6768"/>
          </w:tcPr>
          <w:p>
            <w:r>
              <w:rPr>
                <w:sz w:val="19"/>
              </w:rPr>
              <w:t>None.</w:t>
            </w:r>
          </w:p>
        </w:tc>
      </w:tr>
      <w:tr>
        <w:tc>
          <w:tcPr>
            <w:tcW w:type="dxa" w:w="2592"/>
            <w:shd w:val="clear" w:color="auto" w:fill="F1F5F9"/>
          </w:tcPr>
          <w:p>
            <w:r>
              <w:rPr>
                <w:b/>
                <w:sz w:val="19"/>
              </w:rPr>
              <w:t>Reference Standards</w:t>
            </w:r>
          </w:p>
        </w:tc>
        <w:tc>
          <w:tcPr>
            <w:tcW w:type="dxa" w:w="6768"/>
          </w:tcPr>
          <w:p>
            <w:r>
              <w:rPr>
                <w:sz w:val="19"/>
              </w:rPr>
              <w:t>ADRE Sxp Polar Sweep diagnostic plot.</w:t>
            </w:r>
          </w:p>
        </w:tc>
      </w:tr>
    </w:tbl>
    <w:p>
      <w:pPr>
        <w:spacing w:after="240"/>
      </w:pPr>
    </w:p>
    <w:p>
      <w:pPr>
        <w:keepNext/>
        <w:spacing w:before="320" w:after="120"/>
      </w:pPr>
      <w:r>
        <w:rPr>
          <w:rFonts w:ascii="Arial" w:hAnsi="Arial"/>
          <w:b/>
          <w:color w:val="1E293B"/>
          <w:sz w:val="28"/>
        </w:rPr>
        <w:t>FFT Spectrum Plot</w:t>
      </w:r>
    </w:p>
    <w:tbl>
      <w:tblPr>
        <w:tblStyle w:val="TableGrid"/>
        <w:tblW w:type="auto" w:w="0"/>
        <w:tblLook w:firstColumn="1" w:firstRow="1" w:lastColumn="0" w:lastRow="0" w:noHBand="0" w:noVBand="1" w:val="04A0"/>
      </w:tblPr>
      <w:tblGrid>
        <w:gridCol w:w="4680"/>
        <w:gridCol w:w="4680"/>
      </w:tblGrid>
      <w:tr>
        <w:tc>
          <w:tcPr>
            <w:tcW w:type="dxa" w:w="2592"/>
            <w:shd w:val="clear" w:color="auto" w:fill="F1F5F9"/>
          </w:tcPr>
          <w:p>
            <w:r>
              <w:rPr>
                <w:b/>
                <w:sz w:val="19"/>
              </w:rPr>
              <w:t>Plot Name</w:t>
            </w:r>
          </w:p>
        </w:tc>
        <w:tc>
          <w:tcPr>
            <w:tcW w:type="dxa" w:w="6768"/>
          </w:tcPr>
          <w:p>
            <w:r>
              <w:rPr>
                <w:sz w:val="19"/>
              </w:rPr>
              <w:t>FFT Spectrum Plot</w:t>
            </w:r>
          </w:p>
        </w:tc>
      </w:tr>
      <w:tr>
        <w:tc>
          <w:tcPr>
            <w:tcW w:type="dxa" w:w="2592"/>
            <w:shd w:val="clear" w:color="auto" w:fill="F1F5F9"/>
          </w:tcPr>
          <w:p>
            <w:r>
              <w:rPr>
                <w:b/>
                <w:sz w:val="19"/>
              </w:rPr>
              <w:t>Purpose</w:t>
            </w:r>
          </w:p>
        </w:tc>
        <w:tc>
          <w:tcPr>
            <w:tcW w:type="dxa" w:w="6768"/>
          </w:tcPr>
          <w:p>
            <w:r>
              <w:rPr>
                <w:sz w:val="19"/>
              </w:rPr>
              <w:t>Converts time-series vibration waveforms into the frequency domain, displaying amplitude vs. frequency. Helps identify the frequency content of vibrations (e.g. 1X unbalance, 2X misalignment, sub-synchronous oil whirl).</w:t>
            </w:r>
          </w:p>
        </w:tc>
      </w:tr>
      <w:tr>
        <w:tc>
          <w:tcPr>
            <w:tcW w:type="dxa" w:w="2592"/>
            <w:shd w:val="clear" w:color="auto" w:fill="F1F5F9"/>
          </w:tcPr>
          <w:p>
            <w:r>
              <w:rPr>
                <w:b/>
                <w:sz w:val="19"/>
              </w:rPr>
              <w:t>Input Data Required</w:t>
            </w:r>
          </w:p>
        </w:tc>
        <w:tc>
          <w:tcPr>
            <w:tcW w:type="dxa" w:w="6768"/>
          </w:tcPr>
          <w:p>
            <w:r>
              <w:rPr>
                <w:sz w:val="19"/>
              </w:rPr>
              <w:t>Proximity probe AC dynamic waveform samples, sample frequency (Hz).</w:t>
            </w:r>
          </w:p>
        </w:tc>
      </w:tr>
      <w:tr>
        <w:tc>
          <w:tcPr>
            <w:tcW w:type="dxa" w:w="2592"/>
            <w:shd w:val="clear" w:color="auto" w:fill="F1F5F9"/>
          </w:tcPr>
          <w:p>
            <w:r>
              <w:rPr>
                <w:b/>
                <w:sz w:val="19"/>
              </w:rPr>
              <w:t>Axes, Units &amp; Labels</w:t>
            </w:r>
          </w:p>
        </w:tc>
        <w:tc>
          <w:tcPr>
            <w:tcW w:type="dxa" w:w="6768"/>
          </w:tcPr>
          <w:p>
            <w:r>
              <w:rPr>
                <w:sz w:val="19"/>
              </w:rPr>
              <w:t>Horizontal Axis: Frequency (Hz or Cycles Per Minute - CPM)</w:t>
              <w:br/>
              <w:t>Vertical Axis: Amplitude (mils, mm/s, or g's)</w:t>
            </w:r>
          </w:p>
        </w:tc>
      </w:tr>
      <w:tr>
        <w:tc>
          <w:tcPr>
            <w:tcW w:type="dxa" w:w="2592"/>
            <w:shd w:val="clear" w:color="auto" w:fill="F1F5F9"/>
          </w:tcPr>
          <w:p>
            <w:r>
              <w:rPr>
                <w:b/>
                <w:sz w:val="19"/>
              </w:rPr>
              <w:t>Calculations / Transformations</w:t>
            </w:r>
          </w:p>
        </w:tc>
        <w:tc>
          <w:tcPr>
            <w:tcW w:type="dxa" w:w="6768"/>
          </w:tcPr>
          <w:p>
            <w:r>
              <w:rPr>
                <w:sz w:val="19"/>
              </w:rPr>
              <w:t>Cooley-Tukey Fast Fourier Transform (FFT) algorithm calculated client-side in JS, converting raw waveform amplitudes to spectral energy peaks.</w:t>
            </w:r>
          </w:p>
        </w:tc>
      </w:tr>
      <w:tr>
        <w:tc>
          <w:tcPr>
            <w:tcW w:type="dxa" w:w="2592"/>
            <w:shd w:val="clear" w:color="auto" w:fill="F1F5F9"/>
          </w:tcPr>
          <w:p>
            <w:r>
              <w:rPr>
                <w:b/>
                <w:sz w:val="19"/>
              </w:rPr>
              <w:t>Color Scheme &amp; Thresholds</w:t>
            </w:r>
          </w:p>
        </w:tc>
        <w:tc>
          <w:tcPr>
            <w:tcW w:type="dxa" w:w="6768"/>
          </w:tcPr>
          <w:p>
            <w:r>
              <w:rPr>
                <w:sz w:val="19"/>
              </w:rPr>
              <w:t>Spectral bar peaks colored in orange/amber. ISO 20816 severity limit overlays in horizontal colored lines.</w:t>
            </w:r>
          </w:p>
        </w:tc>
      </w:tr>
      <w:tr>
        <w:tc>
          <w:tcPr>
            <w:tcW w:type="dxa" w:w="2592"/>
            <w:shd w:val="clear" w:color="auto" w:fill="F1F5F9"/>
          </w:tcPr>
          <w:p>
            <w:r>
              <w:rPr>
                <w:b/>
                <w:sz w:val="19"/>
              </w:rPr>
              <w:t>Interactive Features</w:t>
            </w:r>
          </w:p>
        </w:tc>
        <w:tc>
          <w:tcPr>
            <w:tcW w:type="dxa" w:w="6768"/>
          </w:tcPr>
          <w:p>
            <w:r>
              <w:rPr>
                <w:sz w:val="19"/>
              </w:rPr>
              <w:t>Automatic peak marking with frequency order indicators (e.g., 0.5X, 1X, 2X), tooltips showing amplitude and CPM on hover.</w:t>
            </w:r>
          </w:p>
        </w:tc>
      </w:tr>
      <w:tr>
        <w:tc>
          <w:tcPr>
            <w:tcW w:type="dxa" w:w="2592"/>
            <w:shd w:val="clear" w:color="auto" w:fill="F1F5F9"/>
          </w:tcPr>
          <w:p>
            <w:r>
              <w:rPr>
                <w:b/>
                <w:sz w:val="19"/>
              </w:rPr>
              <w:t>Current Status</w:t>
            </w:r>
          </w:p>
        </w:tc>
        <w:tc>
          <w:tcPr>
            <w:tcW w:type="dxa" w:w="6768"/>
          </w:tcPr>
          <w:p>
            <w:r>
              <w:rPr>
                <w:sz w:val="19"/>
              </w:rPr>
              <w:t>Fully Implemented. Calculated client-side at 60 FPS.</w:t>
            </w:r>
          </w:p>
        </w:tc>
      </w:tr>
      <w:tr>
        <w:tc>
          <w:tcPr>
            <w:tcW w:type="dxa" w:w="2592"/>
            <w:shd w:val="clear" w:color="auto" w:fill="F1F5F9"/>
          </w:tcPr>
          <w:p>
            <w:r>
              <w:rPr>
                <w:b/>
                <w:sz w:val="19"/>
              </w:rPr>
              <w:t>Open Issues / Gaps</w:t>
            </w:r>
          </w:p>
        </w:tc>
        <w:tc>
          <w:tcPr>
            <w:tcW w:type="dxa" w:w="6768"/>
          </w:tcPr>
          <w:p>
            <w:r>
              <w:rPr>
                <w:sz w:val="19"/>
              </w:rPr>
              <w:t>None.</w:t>
            </w:r>
          </w:p>
        </w:tc>
      </w:tr>
      <w:tr>
        <w:tc>
          <w:tcPr>
            <w:tcW w:type="dxa" w:w="2592"/>
            <w:shd w:val="clear" w:color="auto" w:fill="F1F5F9"/>
          </w:tcPr>
          <w:p>
            <w:r>
              <w:rPr>
                <w:b/>
                <w:sz w:val="19"/>
              </w:rPr>
              <w:t>Reference Standards</w:t>
            </w:r>
          </w:p>
        </w:tc>
        <w:tc>
          <w:tcPr>
            <w:tcW w:type="dxa" w:w="6768"/>
          </w:tcPr>
          <w:p>
            <w:r>
              <w:rPr>
                <w:sz w:val="19"/>
              </w:rPr>
              <w:t>ADRE Sxp Spectrum Analyzer diagnostics.</w:t>
            </w:r>
          </w:p>
        </w:tc>
      </w:tr>
    </w:tbl>
    <w:p>
      <w:pPr>
        <w:spacing w:after="240"/>
      </w:pPr>
    </w:p>
    <w:p>
      <w:pPr>
        <w:keepNext/>
        <w:spacing w:before="320" w:after="120"/>
      </w:pPr>
      <w:r>
        <w:rPr>
          <w:rFonts w:ascii="Arial" w:hAnsi="Arial"/>
          <w:b/>
          <w:color w:val="1E293B"/>
          <w:sz w:val="28"/>
        </w:rPr>
        <w:t>3D Waterfall Cascade Plot</w:t>
      </w:r>
    </w:p>
    <w:tbl>
      <w:tblPr>
        <w:tblStyle w:val="TableGrid"/>
        <w:tblW w:type="auto" w:w="0"/>
        <w:tblLook w:firstColumn="1" w:firstRow="1" w:lastColumn="0" w:lastRow="0" w:noHBand="0" w:noVBand="1" w:val="04A0"/>
      </w:tblPr>
      <w:tblGrid>
        <w:gridCol w:w="4680"/>
        <w:gridCol w:w="4680"/>
      </w:tblGrid>
      <w:tr>
        <w:tc>
          <w:tcPr>
            <w:tcW w:type="dxa" w:w="2592"/>
            <w:shd w:val="clear" w:color="auto" w:fill="F1F5F9"/>
          </w:tcPr>
          <w:p>
            <w:r>
              <w:rPr>
                <w:b/>
                <w:sz w:val="19"/>
              </w:rPr>
              <w:t>Plot Name</w:t>
            </w:r>
          </w:p>
        </w:tc>
        <w:tc>
          <w:tcPr>
            <w:tcW w:type="dxa" w:w="6768"/>
          </w:tcPr>
          <w:p>
            <w:r>
              <w:rPr>
                <w:sz w:val="19"/>
              </w:rPr>
              <w:t>3D Waterfall Cascade Plot</w:t>
            </w:r>
          </w:p>
        </w:tc>
      </w:tr>
      <w:tr>
        <w:tc>
          <w:tcPr>
            <w:tcW w:type="dxa" w:w="2592"/>
            <w:shd w:val="clear" w:color="auto" w:fill="F1F5F9"/>
          </w:tcPr>
          <w:p>
            <w:r>
              <w:rPr>
                <w:b/>
                <w:sz w:val="19"/>
              </w:rPr>
              <w:t>Purpose</w:t>
            </w:r>
          </w:p>
        </w:tc>
        <w:tc>
          <w:tcPr>
            <w:tcW w:type="dxa" w:w="6768"/>
          </w:tcPr>
          <w:p>
            <w:r>
              <w:rPr>
                <w:sz w:val="19"/>
              </w:rPr>
              <w:t>Stacks FFT spectra sequentially across speed steps, showing how frequencies (such as sub-synchronous oil whirl) grow vs RPM.</w:t>
            </w:r>
          </w:p>
        </w:tc>
      </w:tr>
      <w:tr>
        <w:tc>
          <w:tcPr>
            <w:tcW w:type="dxa" w:w="2592"/>
            <w:shd w:val="clear" w:color="auto" w:fill="F1F5F9"/>
          </w:tcPr>
          <w:p>
            <w:r>
              <w:rPr>
                <w:b/>
                <w:sz w:val="19"/>
              </w:rPr>
              <w:t>Input Data Required</w:t>
            </w:r>
          </w:p>
        </w:tc>
        <w:tc>
          <w:tcPr>
            <w:tcW w:type="dxa" w:w="6768"/>
          </w:tcPr>
          <w:p>
            <w:r>
              <w:rPr>
                <w:sz w:val="19"/>
              </w:rPr>
              <w:t>Sequential speed-indexed FFT spectra arrays; Speed (RPM) telemetry.</w:t>
            </w:r>
          </w:p>
        </w:tc>
      </w:tr>
      <w:tr>
        <w:tc>
          <w:tcPr>
            <w:tcW w:type="dxa" w:w="2592"/>
            <w:shd w:val="clear" w:color="auto" w:fill="F1F5F9"/>
          </w:tcPr>
          <w:p>
            <w:r>
              <w:rPr>
                <w:b/>
                <w:sz w:val="19"/>
              </w:rPr>
              <w:t>Axes, Units &amp; Labels</w:t>
            </w:r>
          </w:p>
        </w:tc>
        <w:tc>
          <w:tcPr>
            <w:tcW w:type="dxa" w:w="6768"/>
          </w:tcPr>
          <w:p>
            <w:r>
              <w:rPr>
                <w:sz w:val="19"/>
              </w:rPr>
              <w:t>X-Axis: Frequency (Hz or orders)</w:t>
              <w:br/>
              <w:t>Y-Axis: Rotational Speed (RPM)</w:t>
              <w:br/>
              <w:t>Z-Axis: Amplitude (mils/micrometers)</w:t>
            </w:r>
          </w:p>
        </w:tc>
      </w:tr>
      <w:tr>
        <w:tc>
          <w:tcPr>
            <w:tcW w:type="dxa" w:w="2592"/>
            <w:shd w:val="clear" w:color="auto" w:fill="F1F5F9"/>
          </w:tcPr>
          <w:p>
            <w:r>
              <w:rPr>
                <w:b/>
                <w:sz w:val="19"/>
              </w:rPr>
              <w:t>Calculations / Transformations</w:t>
            </w:r>
          </w:p>
        </w:tc>
        <w:tc>
          <w:tcPr>
            <w:tcW w:type="dxa" w:w="6768"/>
          </w:tcPr>
          <w:p>
            <w:r>
              <w:rPr>
                <w:sz w:val="19"/>
              </w:rPr>
              <w:t>3D surface mesh generation interpolating sequential FFT slices across the rotational speed dimension.</w:t>
            </w:r>
          </w:p>
        </w:tc>
      </w:tr>
      <w:tr>
        <w:tc>
          <w:tcPr>
            <w:tcW w:type="dxa" w:w="2592"/>
            <w:shd w:val="clear" w:color="auto" w:fill="F1F5F9"/>
          </w:tcPr>
          <w:p>
            <w:r>
              <w:rPr>
                <w:b/>
                <w:sz w:val="19"/>
              </w:rPr>
              <w:t>Color Scheme &amp; Thresholds</w:t>
            </w:r>
          </w:p>
        </w:tc>
        <w:tc>
          <w:tcPr>
            <w:tcW w:type="dxa" w:w="6768"/>
          </w:tcPr>
          <w:p>
            <w:r>
              <w:rPr>
                <w:sz w:val="19"/>
              </w:rPr>
              <w:t>WebGL-accelerated color maps (Viridis/Plasma) indicating amplitude intensity heights.</w:t>
            </w:r>
          </w:p>
        </w:tc>
      </w:tr>
      <w:tr>
        <w:tc>
          <w:tcPr>
            <w:tcW w:type="dxa" w:w="2592"/>
            <w:shd w:val="clear" w:color="auto" w:fill="F1F5F9"/>
          </w:tcPr>
          <w:p>
            <w:r>
              <w:rPr>
                <w:b/>
                <w:sz w:val="19"/>
              </w:rPr>
              <w:t>Interactive Features</w:t>
            </w:r>
          </w:p>
        </w:tc>
        <w:tc>
          <w:tcPr>
            <w:tcW w:type="dxa" w:w="6768"/>
          </w:tcPr>
          <w:p>
            <w:r>
              <w:rPr>
                <w:sz w:val="19"/>
              </w:rPr>
              <w:t>3D orbital rotation, panning, zoom limits, viewpoint angle cursor, single-slice highlight overlays.</w:t>
            </w:r>
          </w:p>
        </w:tc>
      </w:tr>
      <w:tr>
        <w:tc>
          <w:tcPr>
            <w:tcW w:type="dxa" w:w="2592"/>
            <w:shd w:val="clear" w:color="auto" w:fill="F1F5F9"/>
          </w:tcPr>
          <w:p>
            <w:r>
              <w:rPr>
                <w:b/>
                <w:sz w:val="19"/>
              </w:rPr>
              <w:t>Current Status</w:t>
            </w:r>
          </w:p>
        </w:tc>
        <w:tc>
          <w:tcPr>
            <w:tcW w:type="dxa" w:w="6768"/>
          </w:tcPr>
          <w:p>
            <w:r>
              <w:rPr>
                <w:sz w:val="19"/>
              </w:rPr>
              <w:t>Fully Implemented. Runs client-side using hardware-accelerated Plotly 3D scatter surfaces.</w:t>
            </w:r>
          </w:p>
        </w:tc>
      </w:tr>
      <w:tr>
        <w:tc>
          <w:tcPr>
            <w:tcW w:type="dxa" w:w="2592"/>
            <w:shd w:val="clear" w:color="auto" w:fill="F1F5F9"/>
          </w:tcPr>
          <w:p>
            <w:r>
              <w:rPr>
                <w:b/>
                <w:sz w:val="19"/>
              </w:rPr>
              <w:t>Open Issues / Gaps</w:t>
            </w:r>
          </w:p>
        </w:tc>
        <w:tc>
          <w:tcPr>
            <w:tcW w:type="dxa" w:w="6768"/>
          </w:tcPr>
          <w:p>
            <w:r>
              <w:rPr>
                <w:sz w:val="19"/>
              </w:rPr>
              <w:t>None.</w:t>
            </w:r>
          </w:p>
        </w:tc>
      </w:tr>
      <w:tr>
        <w:tc>
          <w:tcPr>
            <w:tcW w:type="dxa" w:w="2592"/>
            <w:shd w:val="clear" w:color="auto" w:fill="F1F5F9"/>
          </w:tcPr>
          <w:p>
            <w:r>
              <w:rPr>
                <w:b/>
                <w:sz w:val="19"/>
              </w:rPr>
              <w:t>Reference Standards</w:t>
            </w:r>
          </w:p>
        </w:tc>
        <w:tc>
          <w:tcPr>
            <w:tcW w:type="dxa" w:w="6768"/>
          </w:tcPr>
          <w:p>
            <w:r>
              <w:rPr>
                <w:sz w:val="19"/>
              </w:rPr>
              <w:t>Standard ADRE Sxp 3D Waterfall / Cascade analyzer.</w:t>
            </w:r>
          </w:p>
        </w:tc>
      </w:tr>
    </w:tbl>
    <w:p>
      <w:pPr>
        <w:spacing w:after="240"/>
      </w:pPr>
    </w:p>
    <w:p>
      <w:pPr>
        <w:keepNext/>
        <w:spacing w:before="320" w:after="120"/>
      </w:pPr>
      <w:r>
        <w:rPr>
          <w:rFonts w:ascii="Arial" w:hAnsi="Arial"/>
          <w:b/>
          <w:color w:val="1E293B"/>
          <w:sz w:val="28"/>
        </w:rPr>
        <w:t>Trend Plots</w:t>
      </w:r>
    </w:p>
    <w:tbl>
      <w:tblPr>
        <w:tblStyle w:val="TableGrid"/>
        <w:tblW w:type="auto" w:w="0"/>
        <w:tblLook w:firstColumn="1" w:firstRow="1" w:lastColumn="0" w:lastRow="0" w:noHBand="0" w:noVBand="1" w:val="04A0"/>
      </w:tblPr>
      <w:tblGrid>
        <w:gridCol w:w="4680"/>
        <w:gridCol w:w="4680"/>
      </w:tblGrid>
      <w:tr>
        <w:tc>
          <w:tcPr>
            <w:tcW w:type="dxa" w:w="2592"/>
            <w:shd w:val="clear" w:color="auto" w:fill="F1F5F9"/>
          </w:tcPr>
          <w:p>
            <w:r>
              <w:rPr>
                <w:b/>
                <w:sz w:val="19"/>
              </w:rPr>
              <w:t>Plot Name</w:t>
            </w:r>
          </w:p>
        </w:tc>
        <w:tc>
          <w:tcPr>
            <w:tcW w:type="dxa" w:w="6768"/>
          </w:tcPr>
          <w:p>
            <w:r>
              <w:rPr>
                <w:sz w:val="19"/>
              </w:rPr>
              <w:t>Trend Plots</w:t>
            </w:r>
          </w:p>
        </w:tc>
      </w:tr>
      <w:tr>
        <w:tc>
          <w:tcPr>
            <w:tcW w:type="dxa" w:w="2592"/>
            <w:shd w:val="clear" w:color="auto" w:fill="F1F5F9"/>
          </w:tcPr>
          <w:p>
            <w:r>
              <w:rPr>
                <w:b/>
                <w:sz w:val="19"/>
              </w:rPr>
              <w:t>Purpose</w:t>
            </w:r>
          </w:p>
        </w:tc>
        <w:tc>
          <w:tcPr>
            <w:tcW w:type="dxa" w:w="6768"/>
          </w:tcPr>
          <w:p>
            <w:r>
              <w:rPr>
                <w:sz w:val="19"/>
              </w:rPr>
              <w:t>Monitors long-term trends of key vibration parameters (Direct, 1X, 2X, Gap, Temp) over time.</w:t>
            </w:r>
          </w:p>
        </w:tc>
      </w:tr>
      <w:tr>
        <w:tc>
          <w:tcPr>
            <w:tcW w:type="dxa" w:w="2592"/>
            <w:shd w:val="clear" w:color="auto" w:fill="F1F5F9"/>
          </w:tcPr>
          <w:p>
            <w:r>
              <w:rPr>
                <w:b/>
                <w:sz w:val="19"/>
              </w:rPr>
              <w:t>Input Data Required</w:t>
            </w:r>
          </w:p>
        </w:tc>
        <w:tc>
          <w:tcPr>
            <w:tcW w:type="dxa" w:w="6768"/>
          </w:tcPr>
          <w:p>
            <w:r>
              <w:rPr>
                <w:sz w:val="19"/>
              </w:rPr>
              <w:t>Vibration database trends history log; timestamps.</w:t>
            </w:r>
          </w:p>
        </w:tc>
      </w:tr>
      <w:tr>
        <w:tc>
          <w:tcPr>
            <w:tcW w:type="dxa" w:w="2592"/>
            <w:shd w:val="clear" w:color="auto" w:fill="F1F5F9"/>
          </w:tcPr>
          <w:p>
            <w:r>
              <w:rPr>
                <w:b/>
                <w:sz w:val="19"/>
              </w:rPr>
              <w:t>Axes, Units &amp; Labels</w:t>
            </w:r>
          </w:p>
        </w:tc>
        <w:tc>
          <w:tcPr>
            <w:tcW w:type="dxa" w:w="6768"/>
          </w:tcPr>
          <w:p>
            <w:r>
              <w:rPr>
                <w:sz w:val="19"/>
              </w:rPr>
              <w:t>Horizontal Axis: Timestamp (Date/Time)</w:t>
              <w:br/>
              <w:t>Vertical Axis: Parameter value (mils, degrees, volts, or Celsius)</w:t>
            </w:r>
          </w:p>
        </w:tc>
      </w:tr>
      <w:tr>
        <w:tc>
          <w:tcPr>
            <w:tcW w:type="dxa" w:w="2592"/>
            <w:shd w:val="clear" w:color="auto" w:fill="F1F5F9"/>
          </w:tcPr>
          <w:p>
            <w:r>
              <w:rPr>
                <w:b/>
                <w:sz w:val="19"/>
              </w:rPr>
              <w:t>Calculations / Transformations</w:t>
            </w:r>
          </w:p>
        </w:tc>
        <w:tc>
          <w:tcPr>
            <w:tcW w:type="dxa" w:w="6768"/>
          </w:tcPr>
          <w:p>
            <w:r>
              <w:rPr>
                <w:sz w:val="19"/>
              </w:rPr>
              <w:t>Moving average filters and peak calculation algorithms for trend smoothing.</w:t>
            </w:r>
          </w:p>
        </w:tc>
      </w:tr>
      <w:tr>
        <w:tc>
          <w:tcPr>
            <w:tcW w:type="dxa" w:w="2592"/>
            <w:shd w:val="clear" w:color="auto" w:fill="F1F5F9"/>
          </w:tcPr>
          <w:p>
            <w:r>
              <w:rPr>
                <w:b/>
                <w:sz w:val="19"/>
              </w:rPr>
              <w:t>Color Scheme &amp; Thresholds</w:t>
            </w:r>
          </w:p>
        </w:tc>
        <w:tc>
          <w:tcPr>
            <w:tcW w:type="dxa" w:w="6768"/>
          </w:tcPr>
          <w:p>
            <w:r>
              <w:rPr>
                <w:sz w:val="19"/>
              </w:rPr>
              <w:t>Color-coded multi-trace lines corresponding to parameters. ISO threshold bands overlaying background colors.</w:t>
            </w:r>
          </w:p>
        </w:tc>
      </w:tr>
      <w:tr>
        <w:tc>
          <w:tcPr>
            <w:tcW w:type="dxa" w:w="2592"/>
            <w:shd w:val="clear" w:color="auto" w:fill="F1F5F9"/>
          </w:tcPr>
          <w:p>
            <w:r>
              <w:rPr>
                <w:b/>
                <w:sz w:val="19"/>
              </w:rPr>
              <w:t>Interactive Features</w:t>
            </w:r>
          </w:p>
        </w:tc>
        <w:tc>
          <w:tcPr>
            <w:tcW w:type="dxa" w:w="6768"/>
          </w:tcPr>
          <w:p>
            <w:r>
              <w:rPr>
                <w:sz w:val="19"/>
              </w:rPr>
              <w:t>Range box slider syncing, dual cursor measurement delta readouts, hover value tooltips.</w:t>
            </w:r>
          </w:p>
        </w:tc>
      </w:tr>
      <w:tr>
        <w:tc>
          <w:tcPr>
            <w:tcW w:type="dxa" w:w="2592"/>
            <w:shd w:val="clear" w:color="auto" w:fill="F1F5F9"/>
          </w:tcPr>
          <w:p>
            <w:r>
              <w:rPr>
                <w:b/>
                <w:sz w:val="19"/>
              </w:rPr>
              <w:t>Current Status</w:t>
            </w:r>
          </w:p>
        </w:tc>
        <w:tc>
          <w:tcPr>
            <w:tcW w:type="dxa" w:w="6768"/>
          </w:tcPr>
          <w:p>
            <w:r>
              <w:rPr>
                <w:sz w:val="19"/>
              </w:rPr>
              <w:t>Fully Implemented. Timeline range slider synchronized with active cursors.</w:t>
            </w:r>
          </w:p>
        </w:tc>
      </w:tr>
      <w:tr>
        <w:tc>
          <w:tcPr>
            <w:tcW w:type="dxa" w:w="2592"/>
            <w:shd w:val="clear" w:color="auto" w:fill="F1F5F9"/>
          </w:tcPr>
          <w:p>
            <w:r>
              <w:rPr>
                <w:b/>
                <w:sz w:val="19"/>
              </w:rPr>
              <w:t>Open Issues / Gaps</w:t>
            </w:r>
          </w:p>
        </w:tc>
        <w:tc>
          <w:tcPr>
            <w:tcW w:type="dxa" w:w="6768"/>
          </w:tcPr>
          <w:p>
            <w:r>
              <w:rPr>
                <w:sz w:val="19"/>
              </w:rPr>
              <w:t>None.</w:t>
            </w:r>
          </w:p>
        </w:tc>
      </w:tr>
      <w:tr>
        <w:tc>
          <w:tcPr>
            <w:tcW w:type="dxa" w:w="2592"/>
            <w:shd w:val="clear" w:color="auto" w:fill="F1F5F9"/>
          </w:tcPr>
          <w:p>
            <w:r>
              <w:rPr>
                <w:b/>
                <w:sz w:val="19"/>
              </w:rPr>
              <w:t>Reference Standards</w:t>
            </w:r>
          </w:p>
        </w:tc>
        <w:tc>
          <w:tcPr>
            <w:tcW w:type="dxa" w:w="6768"/>
          </w:tcPr>
          <w:p>
            <w:r>
              <w:rPr>
                <w:sz w:val="19"/>
              </w:rPr>
              <w:t>ADRE Sxp long-term trend logging module.</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