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28"/>
        </w:rPr>
        <w:t>Lab 3: Component Modelling &amp; Architectural Pattern Selection</w:t>
      </w:r>
    </w:p>
    <w:p>
      <w:pPr>
        <w:spacing w:after="0"/>
        <w:jc w:val="center"/>
      </w:pPr>
      <w:r>
        <w:rPr>
          <w:b w:val="0"/>
          <w:i w:val="0"/>
          <w:sz w:val="22"/>
        </w:rPr>
        <w:t>Written Justification — Student Club Event Ticketing &amp; Budget Portal</w:t>
      </w:r>
    </w:p>
    <w:p>
      <w:pPr>
        <w:spacing w:after="80"/>
        <w:jc w:val="center"/>
      </w:pPr>
      <w:r>
        <w:rPr>
          <w:b w:val="0"/>
          <w:i/>
          <w:sz w:val="20"/>
        </w:rPr>
        <w:t>Mohammad Bilal A  |  PES1UG24AM162  |  Section C</w:t>
      </w:r>
    </w:p>
    <w:p>
      <w:pPr>
        <w:spacing w:after="40" w:before="120"/>
        <w:pBdr>
          <w:bottom w:val="single" w:sz="6" w:space="1" w:color="1F3A5F"/>
        </w:pBdr>
      </w:pPr>
      <w:r>
        <w:rPr>
          <w:b/>
          <w:i w:val="0"/>
          <w:color w:val="1F3A5F"/>
          <w:sz w:val="23"/>
        </w:rPr>
        <w:t>Architecture Selection</w:t>
      </w:r>
    </w:p>
    <w:p>
      <w:pPr>
        <w:spacing w:after="40"/>
      </w:pPr>
      <w:r>
        <w:rPr>
          <w:b w:val="0"/>
        </w:rPr>
        <w:t xml:space="preserve">“We chose a </w:t>
      </w:r>
      <w:r>
        <w:rPr>
          <w:b/>
        </w:rPr>
        <w:t>Layered (3-tier) Architecture</w:t>
      </w:r>
      <w:r>
        <w:rPr>
          <w:b w:val="0"/>
        </w:rPr>
        <w:t xml:space="preserve"> for the Student Club Event Ticketing &amp; Budget Portal System.”</w:t>
      </w:r>
    </w:p>
    <w:p>
      <w:pPr>
        <w:spacing w:after="60"/>
      </w:pPr>
      <w:r>
        <w:rPr>
          <w:b w:val="0"/>
        </w:rPr>
        <w:t xml:space="preserve">The system is split into a </w:t>
      </w:r>
      <w:r>
        <w:rPr>
          <w:b/>
        </w:rPr>
        <w:t>Presentation layer</w:t>
      </w:r>
      <w:r>
        <w:rPr>
          <w:b w:val="0"/>
        </w:rPr>
        <w:t xml:space="preserve"> (Web Portal UI), a </w:t>
      </w:r>
      <w:r>
        <w:rPr>
          <w:b/>
        </w:rPr>
        <w:t>Business layer</w:t>
      </w:r>
      <w:r>
        <w:rPr>
          <w:b w:val="0"/>
        </w:rPr>
        <w:t xml:space="preserve"> (Auth &amp; RBAC, Proposal &amp; Budget Manager, Approval Workflow Engine, QR Ticketing, Dashboard &amp; Reporting, Notification Service) and a </w:t>
      </w:r>
      <w:r>
        <w:rPr>
          <w:b/>
        </w:rPr>
        <w:t>Data layer</w:t>
      </w:r>
      <w:r>
        <w:rPr>
          <w:b w:val="0"/>
        </w:rPr>
        <w:t xml:space="preserve"> (Data Access Layer and MySQL Portal Database). Each layer only calls the layer directly below it through the interfaces shown in the component diagram (IAuth, IProposal, IApproval, ITicket, IReport, IWorkflow, ITicketGen, INotify, IDataAccess, ISQL, ISMTP).</w:t>
      </w:r>
    </w:p>
    <w:p>
      <w:pPr>
        <w:spacing w:after="40" w:before="120"/>
        <w:pBdr>
          <w:bottom w:val="single" w:sz="6" w:space="1" w:color="1F3A5F"/>
        </w:pBdr>
      </w:pPr>
      <w:r>
        <w:rPr>
          <w:b/>
          <w:i w:val="0"/>
          <w:color w:val="1F3A5F"/>
          <w:sz w:val="23"/>
        </w:rPr>
        <w:t>Architectural Style Analysis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6F2"/>
          </w:tcPr>
          <w:p>
            <w:pPr>
              <w:spacing w:after="0"/>
            </w:pPr>
            <w:r/>
            <w:r>
              <w:rPr>
                <w:b/>
                <w:sz w:val="19"/>
              </w:rPr>
              <w:t>Style</w:t>
            </w:r>
          </w:p>
        </w:tc>
        <w:tc>
          <w:tcPr>
            <w:tcW w:type="dxa" w:w="6576"/>
            <w:shd w:val="clear" w:color="auto" w:fill="DCE6F2"/>
          </w:tcPr>
          <w:p>
            <w:pPr>
              <w:spacing w:after="0"/>
            </w:pPr>
            <w:r/>
            <w:r>
              <w:rPr>
                <w:b/>
                <w:sz w:val="19"/>
              </w:rPr>
              <w:t>Fit for this portal</w:t>
            </w:r>
          </w:p>
        </w:tc>
        <w:tc>
          <w:tcPr>
            <w:tcW w:type="dxa" w:w="1474"/>
            <w:shd w:val="clear" w:color="auto" w:fill="DCE6F2"/>
          </w:tcPr>
          <w:p>
            <w:pPr>
              <w:spacing w:after="0"/>
            </w:pPr>
            <w:r/>
            <w:r>
              <w:rPr>
                <w:b/>
                <w:sz w:val="19"/>
              </w:rPr>
              <w:t>Verdict</w:t>
            </w:r>
          </w:p>
        </w:tc>
      </w:tr>
      <w:tr>
        <w:tc>
          <w:tcPr>
            <w:tcW w:type="dxa" w:w="1587"/>
          </w:tcPr>
          <w:p>
            <w:pPr>
              <w:spacing w:after="0"/>
            </w:pPr>
            <w:r/>
            <w:r>
              <w:rPr>
                <w:b/>
                <w:sz w:val="19"/>
              </w:rPr>
              <w:t>Layered</w:t>
            </w:r>
          </w:p>
        </w:tc>
        <w:tc>
          <w:tcPr>
            <w:tcW w:type="dxa" w:w="6576"/>
          </w:tcPr>
          <w:p>
            <w:pPr>
              <w:spacing w:after="0"/>
            </w:pPr>
            <w:r/>
            <w:r>
              <w:rPr>
                <w:b w:val="0"/>
                <w:sz w:val="19"/>
              </w:rPr>
              <w:t>Clear UI / business-rule / data separation; one shared database keeps proposal, budget and approval status consistent; easy for a student team to build and test.</w:t>
            </w:r>
          </w:p>
        </w:tc>
        <w:tc>
          <w:tcPr>
            <w:tcW w:type="dxa" w:w="1474"/>
          </w:tcPr>
          <w:p>
            <w:pPr>
              <w:spacing w:after="0"/>
            </w:pPr>
            <w:r/>
            <w:r>
              <w:rPr>
                <w:b/>
                <w:sz w:val="19"/>
              </w:rPr>
              <w:t>Selected</w:t>
            </w:r>
          </w:p>
        </w:tc>
      </w:tr>
      <w:tr>
        <w:tc>
          <w:tcPr>
            <w:tcW w:type="dxa" w:w="1587"/>
          </w:tcPr>
          <w:p>
            <w:pPr>
              <w:spacing w:after="0"/>
            </w:pPr>
            <w:r/>
            <w:r>
              <w:rPr>
                <w:b/>
                <w:sz w:val="19"/>
              </w:rPr>
              <w:t>Microservices</w:t>
            </w:r>
          </w:p>
        </w:tc>
        <w:tc>
          <w:tcPr>
            <w:tcW w:type="dxa" w:w="6576"/>
          </w:tcPr>
          <w:p>
            <w:pPr>
              <w:spacing w:after="0"/>
            </w:pPr>
            <w:r/>
            <w:r>
              <w:rPr>
                <w:b w:val="0"/>
                <w:sz w:val="19"/>
              </w:rPr>
              <w:t>Independent scaling is unnecessary for a single-campus load; adds network latency, distributed data and DevOps overhead for the multi-stage approval chain.</w:t>
            </w:r>
          </w:p>
        </w:tc>
        <w:tc>
          <w:tcPr>
            <w:tcW w:type="dxa" w:w="1474"/>
          </w:tcPr>
          <w:p>
            <w:pPr>
              <w:spacing w:after="0"/>
            </w:pPr>
            <w:r/>
            <w:r>
              <w:rPr>
                <w:b w:val="0"/>
                <w:sz w:val="19"/>
              </w:rPr>
              <w:t>Over-engineered</w:t>
            </w:r>
          </w:p>
        </w:tc>
      </w:tr>
      <w:tr>
        <w:tc>
          <w:tcPr>
            <w:tcW w:type="dxa" w:w="1587"/>
          </w:tcPr>
          <w:p>
            <w:pPr>
              <w:spacing w:after="0"/>
            </w:pPr>
            <w:r/>
            <w:r>
              <w:rPr>
                <w:b/>
                <w:sz w:val="19"/>
              </w:rPr>
              <w:t>Client-Server</w:t>
            </w:r>
          </w:p>
        </w:tc>
        <w:tc>
          <w:tcPr>
            <w:tcW w:type="dxa" w:w="6576"/>
          </w:tcPr>
          <w:p>
            <w:pPr>
              <w:spacing w:after="0"/>
            </w:pPr>
            <w:r/>
            <w:r>
              <w:rPr>
                <w:b w:val="0"/>
                <w:sz w:val="19"/>
              </w:rPr>
              <w:t>Simple, but a single monolithic server mixes UI and logic, making RBAC rules and the approval workflow hard to isolate, reuse and test.</w:t>
            </w:r>
          </w:p>
        </w:tc>
        <w:tc>
          <w:tcPr>
            <w:tcW w:type="dxa" w:w="1474"/>
          </w:tcPr>
          <w:p>
            <w:pPr>
              <w:spacing w:after="0"/>
            </w:pPr>
            <w:r/>
            <w:r>
              <w:rPr>
                <w:b w:val="0"/>
                <w:sz w:val="19"/>
              </w:rPr>
              <w:t>Too coarse</w:t>
            </w:r>
          </w:p>
        </w:tc>
      </w:tr>
    </w:tbl>
    <w:p>
      <w:pPr>
        <w:spacing w:after="40" w:before="120"/>
        <w:pBdr>
          <w:bottom w:val="single" w:sz="6" w:space="1" w:color="1F3A5F"/>
        </w:pBdr>
      </w:pPr>
      <w:r>
        <w:rPr>
          <w:b/>
          <w:i w:val="0"/>
          <w:color w:val="1F3A5F"/>
          <w:sz w:val="23"/>
        </w:rPr>
        <w:t>Two Reasons for the Choice</w:t>
      </w:r>
    </w:p>
    <w:p>
      <w:pPr>
        <w:spacing w:after="60"/>
      </w:pPr>
      <w:r>
        <w:rPr>
          <w:b/>
        </w:rPr>
        <w:t xml:space="preserve">1. Multi-stage approval needs isolated, consistent business rules. </w:t>
      </w:r>
      <w:r>
        <w:rPr>
          <w:b w:val="0"/>
        </w:rPr>
        <w:t>A proposal moves Faculty Coordinator → Finance Officer → Dean, and its budget, status and QR tickets must always agree. Keeping this logic in one Approval Workflow Engine in the business layer, over a single transactional database, avoids the distributed-consistency problems a microservice split would create, while the UI stays a thin client.</w:t>
      </w:r>
    </w:p>
    <w:p>
      <w:pPr>
        <w:spacing w:after="60"/>
      </w:pPr>
      <w:r>
        <w:rPr>
          <w:b/>
        </w:rPr>
        <w:t xml:space="preserve">2. Separation of concerns matches the team and the roles. </w:t>
      </w:r>
      <w:r>
        <w:rPr>
          <w:b w:val="0"/>
        </w:rPr>
        <w:t>Each team member owned one epic (proposals, approvals, ticketing, dashboard). Layering lets each business component be developed and tested independently behind its interface, and the same business services serve every role view (Club Lead, approvers, Campus Admin, students) without duplicating logic in the UI. A component can be replaced (e.g. a new PDF report engine or SMS notifier) without touching the other layers.</w:t>
      </w:r>
    </w:p>
    <w:p>
      <w:pPr>
        <w:spacing w:after="40" w:before="120"/>
        <w:pBdr>
          <w:bottom w:val="single" w:sz="6" w:space="1" w:color="1F3A5F"/>
        </w:pBdr>
      </w:pPr>
      <w:r>
        <w:rPr>
          <w:b/>
          <w:i w:val="0"/>
          <w:color w:val="1F3A5F"/>
          <w:sz w:val="23"/>
        </w:rPr>
        <w:t>Security Advantage</w:t>
      </w:r>
    </w:p>
    <w:p>
      <w:pPr>
        <w:spacing w:after="60"/>
      </w:pPr>
      <w:r>
        <w:rPr>
          <w:b/>
        </w:rPr>
        <w:t xml:space="preserve">Defence in depth through a closed layer boundary. </w:t>
      </w:r>
      <w:r>
        <w:rPr>
          <w:b w:val="0"/>
        </w:rPr>
        <w:t>The UI can never reach the database directly: every request must pass the Auth &amp; RBAC Service (IAuth / IAuthorize) in the business layer, which checks the user’s role before any data is returned. This enforces club-level data isolation (a Club Lead sees only their own club’s proposals and budgets), and because all persistence goes through the Data Access Layer’s parameterised queries (IDataAccess → ISQL), SQL injection and unauthorised budget edits are blocked at one central point, which is also where the audit trail of approvals and report exports is written.</w:t>
      </w:r>
    </w:p>
    <w:p>
      <w:pPr>
        <w:spacing w:after="40" w:before="120"/>
        <w:pBdr>
          <w:bottom w:val="single" w:sz="6" w:space="1" w:color="1F3A5F"/>
        </w:pBdr>
      </w:pPr>
      <w:r>
        <w:rPr>
          <w:b/>
          <w:i w:val="0"/>
          <w:color w:val="1F3A5F"/>
          <w:sz w:val="23"/>
        </w:rPr>
        <w:t>Performance Benefit</w:t>
      </w:r>
    </w:p>
    <w:p>
      <w:pPr>
        <w:spacing w:after="60"/>
      </w:pPr>
      <w:r>
        <w:rPr>
          <w:b/>
        </w:rPr>
        <w:t xml:space="preserve">Fast in-process calls and cacheable read paths. </w:t>
      </w:r>
      <w:r>
        <w:rPr>
          <w:b w:val="0"/>
        </w:rPr>
        <w:t>Business components communicate through in-process interface calls instead of network hops, so routing a proposal through three approval stages and issuing QR tickets completes in a single database transaction with low latency. The Dashboard &amp; Reporting component reads through the same Data Access Layer, so pipeline counts and budget totals can be cached / indexed there, and slow work such as sending emails is handed off asynchronously to the Notification Service so approvers get an immediate response from the portal.</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Justification</dc:title>
  <dc:subject/>
  <dc:creator>Mohammad Bilal A</dc:creator>
  <cp:keywords/>
  <dc:description/>
  <cp:lastModifiedBy>Mohammad Bilal A</cp:lastModifiedBy>
  <cp:revision>1</cp:revision>
  <dcterms:created xsi:type="dcterms:W3CDTF">2026-10-15T21:16:01Z</dcterms:created>
  <dcterms:modified xsi:type="dcterms:W3CDTF">2026-10-15T21:16:01Z</dcterms:modified>
  <cp:category/>
</cp:coreProperties>
</file>