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34"/>
          <w:szCs w:val="34"/>
        </w:rPr>
        <w:t xml:space="preserve">Lab 3: Architecture Justification</w:t>
      </w:r>
    </w:p>
    <w:p>
      <w:pPr>
        <w:spacing w:after="120"/>
        <w:jc w:val="center"/>
      </w:pPr>
      <w:r>
        <w:rPr>
          <w:rFonts w:ascii="Calibri" w:cs="Calibri" w:eastAsia="Calibri" w:hAnsi="Calibri"/>
          <w:i/>
          <w:iCs/>
          <w:color w:val="555555"/>
          <w:sz w:val="21"/>
          <w:szCs w:val="21"/>
        </w:rPr>
        <w:t xml:space="preserve">Self-Service Coffee Kiosk System</w:t>
      </w:r>
    </w:p>
    <w:p>
      <w:pPr>
        <w:pBdr>
          <w:bottom w:val="single" w:color="1E3A8A" w:sz="4" w:space="1"/>
        </w:pBdr>
        <w:spacing w:after="60" w:before="140"/>
      </w:pPr>
      <w:r>
        <w:rPr>
          <w:rFonts w:ascii="Calibri" w:cs="Calibri" w:eastAsia="Calibri" w:hAnsi="Calibri"/>
          <w:b/>
          <w:bCs/>
          <w:color w:val="1E3A8A"/>
          <w:sz w:val="24"/>
          <w:szCs w:val="24"/>
        </w:rPr>
        <w:t xml:space="preserve">Chosen Architecture</w:t>
      </w:r>
    </w:p>
    <w:p>
      <w:pPr>
        <w:spacing w:after="100" w:line="264"/>
      </w:pPr>
      <w:r>
        <w:rPr>
          <w:rFonts w:ascii="Calibri" w:cs="Calibri" w:eastAsia="Calibri" w:hAnsi="Calibri"/>
          <w:sz w:val="21"/>
          <w:szCs w:val="21"/>
        </w:rPr>
        <w:t xml:space="preserve">The kiosk is designed as a </w:t>
      </w:r>
      <w:r>
        <w:rPr>
          <w:rFonts w:ascii="Calibri" w:cs="Calibri" w:eastAsia="Calibri" w:hAnsi="Calibri"/>
          <w:b/>
          <w:bCs/>
          <w:sz w:val="21"/>
          <w:szCs w:val="21"/>
        </w:rPr>
        <w:t xml:space="preserve">layered, component-based (service-oriented) architecture</w:t>
      </w:r>
      <w:r>
        <w:rPr>
          <w:rFonts w:ascii="Calibri" w:cs="Calibri" w:eastAsia="Calibri" w:hAnsi="Calibri"/>
          <w:sz w:val="21"/>
          <w:szCs w:val="21"/>
        </w:rPr>
        <w:t xml:space="preserve">. A Kiosk UI layer talks only to an Order Service, which orchestrates four specialised components through well-defined interfaces: Payment Service (IPayment), Inventory Service (IInventory), Brewing Controller (IBrew) and Receipt &amp; Notification (INotify). Payment Service in turn depends on an external Payment Gateway (IGateway). Every dependency is expressed as a provided/required interface, so components communicate only through their contracts.</w:t>
      </w:r>
    </w:p>
    <w:p>
      <w:pPr>
        <w:pBdr>
          <w:bottom w:val="single" w:color="1E3A8A" w:sz="4" w:space="1"/>
        </w:pBdr>
        <w:spacing w:after="60" w:before="140"/>
      </w:pPr>
      <w:r>
        <w:rPr>
          <w:rFonts w:ascii="Calibri" w:cs="Calibri" w:eastAsia="Calibri" w:hAnsi="Calibri"/>
          <w:b/>
          <w:bCs/>
          <w:color w:val="1E3A8A"/>
          <w:sz w:val="24"/>
          <w:szCs w:val="24"/>
        </w:rPr>
        <w:t xml:space="preserve">Why This Architecture Fits (Two Reasons)</w:t>
      </w:r>
    </w:p>
    <w:p>
      <w:pPr>
        <w:pStyle w:val="ListParagraph"/>
        <w:numPr>
          <w:ilvl w:val="0"/>
          <w:numId w:val="2"/>
        </w:numPr>
        <w:spacing w:after="80" w:line="264"/>
      </w:pPr>
      <w:r>
        <w:rPr>
          <w:rFonts w:ascii="Calibri" w:cs="Calibri" w:eastAsia="Calibri" w:hAnsi="Calibri"/>
          <w:b/>
          <w:bCs/>
          <w:sz w:val="21"/>
          <w:szCs w:val="21"/>
        </w:rPr>
        <w:t xml:space="preserve">1. Separation of concerns and maintainability. </w:t>
      </w:r>
      <w:r>
        <w:rPr>
          <w:rFonts w:ascii="Calibri" w:cs="Calibri" w:eastAsia="Calibri" w:hAnsi="Calibri"/>
          <w:sz w:val="21"/>
          <w:szCs w:val="21"/>
        </w:rPr>
        <w:t xml:space="preserve">Each component has a single responsibility (ordering, payment, stock, hardware, receipts). A new payment method, a new drink recipe or a different coffee machine only changes one component, as long as its interface stays the same. Teams can build and test components in parallel, and each can be replaced with a mock during CI/CD testing.</w:t>
      </w:r>
    </w:p>
    <w:p>
      <w:pPr>
        <w:pStyle w:val="ListParagraph"/>
        <w:numPr>
          <w:ilvl w:val="0"/>
          <w:numId w:val="2"/>
        </w:numPr>
        <w:spacing w:after="80" w:line="264"/>
      </w:pPr>
      <w:r>
        <w:rPr>
          <w:rFonts w:ascii="Calibri" w:cs="Calibri" w:eastAsia="Calibri" w:hAnsi="Calibri"/>
          <w:b/>
          <w:bCs/>
          <w:sz w:val="21"/>
          <w:szCs w:val="21"/>
        </w:rPr>
        <w:t xml:space="preserve">2. Flexibility and extensibility. </w:t>
      </w:r>
      <w:r>
        <w:rPr>
          <w:rFonts w:ascii="Calibri" w:cs="Calibri" w:eastAsia="Calibri" w:hAnsi="Calibri"/>
          <w:sz w:val="21"/>
          <w:szCs w:val="21"/>
        </w:rPr>
        <w:t xml:space="preserve">Because the Order Service depends on interfaces rather than concrete implementations, the kiosk can later add loyalty points, a mobile-app ordering channel or a remote admin dashboard by plugging in new components, without rewriting existing ones.</w:t>
      </w:r>
    </w:p>
    <w:p>
      <w:pPr>
        <w:pBdr>
          <w:bottom w:val="single" w:color="1E3A8A" w:sz="4" w:space="1"/>
        </w:pBdr>
        <w:spacing w:after="60" w:before="140"/>
      </w:pPr>
      <w:r>
        <w:rPr>
          <w:rFonts w:ascii="Calibri" w:cs="Calibri" w:eastAsia="Calibri" w:hAnsi="Calibri"/>
          <w:b/>
          <w:bCs/>
          <w:color w:val="1E3A8A"/>
          <w:sz w:val="24"/>
          <w:szCs w:val="24"/>
        </w:rPr>
        <w:t xml:space="preserve">Security Advantage</w:t>
      </w:r>
    </w:p>
    <w:p>
      <w:pPr>
        <w:spacing w:after="100" w:line="264"/>
      </w:pPr>
      <w:r>
        <w:rPr>
          <w:rFonts w:ascii="Calibri" w:cs="Calibri" w:eastAsia="Calibri" w:hAnsi="Calibri"/>
          <w:sz w:val="21"/>
          <w:szCs w:val="21"/>
        </w:rPr>
        <w:t xml:space="preserve">Payment handling is isolated in a single Payment Service. The Kiosk UI and Order Service never see raw card data; they only receive an approved or declined result, and the Payment Service forwards tokenised data to the external gateway. This shrinks the sensitive attack surface, simplifies PCI-DSS compliance, and means a compromise of the UI or the brewing hardware cannot directly expose payment details. The interface also acts as a validation point: the Brewing Controller accepts only well-formed brew commands from the Order Service, not arbitrary input from the touchscreen.</w:t>
      </w:r>
    </w:p>
    <w:p>
      <w:pPr>
        <w:pBdr>
          <w:bottom w:val="single" w:color="1E3A8A" w:sz="4" w:space="1"/>
        </w:pBdr>
        <w:spacing w:after="60" w:before="140"/>
      </w:pPr>
      <w:r>
        <w:rPr>
          <w:rFonts w:ascii="Calibri" w:cs="Calibri" w:eastAsia="Calibri" w:hAnsi="Calibri"/>
          <w:b/>
          <w:bCs/>
          <w:color w:val="1E3A8A"/>
          <w:sz w:val="24"/>
          <w:szCs w:val="24"/>
        </w:rPr>
        <w:t xml:space="preserve">Performance Benefit</w:t>
      </w:r>
    </w:p>
    <w:p>
      <w:pPr>
        <w:spacing w:after="100" w:line="264"/>
      </w:pPr>
      <w:r>
        <w:rPr>
          <w:rFonts w:ascii="Calibri" w:cs="Calibri" w:eastAsia="Calibri" w:hAnsi="Calibri"/>
          <w:sz w:val="21"/>
          <w:szCs w:val="21"/>
        </w:rPr>
        <w:t xml:space="preserve">Loosely coupled components allow independent, parallel work. Once payment is approved, the Order Service can reserve stock through IInventory, start brewing through IBrew and print the receipt through INotify at the same time instead of in strict sequence, which shortens each customer’s wait. The Payment Service and Inventory Service can also be scaled or optimised (for example, caching stock levels locally) without slowing down the touchscreen UI, keeping the interface responsive during busy periods.</w:t>
      </w:r>
    </w:p>
    <w:p>
      <w:pPr>
        <w:pBdr>
          <w:bottom w:val="single" w:color="1E3A8A" w:sz="4" w:space="1"/>
        </w:pBdr>
        <w:spacing w:after="60" w:before="140"/>
      </w:pPr>
      <w:r>
        <w:rPr>
          <w:rFonts w:ascii="Calibri" w:cs="Calibri" w:eastAsia="Calibri" w:hAnsi="Calibri"/>
          <w:b/>
          <w:bCs/>
          <w:color w:val="1E3A8A"/>
          <w:sz w:val="24"/>
          <w:szCs w:val="24"/>
        </w:rPr>
        <w:t xml:space="preserve">Conclusion</w:t>
      </w:r>
    </w:p>
    <w:p>
      <w:pPr>
        <w:spacing w:after="100" w:line="264"/>
      </w:pPr>
      <w:r>
        <w:rPr>
          <w:rFonts w:ascii="Calibri" w:cs="Calibri" w:eastAsia="Calibri" w:hAnsi="Calibri"/>
          <w:sz w:val="21"/>
          <w:szCs w:val="21"/>
        </w:rPr>
        <w:t xml:space="preserve">A layered, component-based design gives the coffee kiosk clear interfaces, safer payment handling and faster order fulfilment, while remaining easy to test, maintain and extend. The attached component diagram shows the six components, five interfaces and the data flow between them.</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2026-10-23T17:27:35.833Z</dcterms:created>
  <dcterms:modified xsi:type="dcterms:W3CDTF">2026-10-23T17:27:35.838Z</dcterms:modified>
</cp:coreProperties>
</file>

<file path=docProps/custom.xml><?xml version="1.0" encoding="utf-8"?>
<Properties xmlns="http://schemas.openxmlformats.org/officeDocument/2006/custom-properties" xmlns:vt="http://schemas.openxmlformats.org/officeDocument/2006/docPropsVTypes"/>
</file>