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D4CC" w14:textId="77777777" w:rsidR="00925D7C" w:rsidRDefault="00925D7C" w:rsidP="00925D7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145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LITERATURE SURVEY</w:t>
      </w:r>
    </w:p>
    <w:p w14:paraId="4C806EEB" w14:textId="77777777" w:rsidR="00E545C7" w:rsidRDefault="00E545C7" w:rsidP="00F025C3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0B61BFD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Zimmermann et al. (2023)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explored Retrieval-Augmented Generation (RAG) in chatbots by combining real-time textual data retrieval with LLMs, improving performance and reducing hallucination in AI-driven documentation.</w:t>
      </w:r>
    </w:p>
    <w:p w14:paraId="755C8D47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Hosney (2022)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highlighted the use of PlantUML and Mermaid for treating diagrams as maintainable code artifacts. His work emphasized the importance of automation, version control, and CI/CD integration in modern documentation.</w:t>
      </w:r>
    </w:p>
    <w:p w14:paraId="7AA4CADC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Parsons et al. (2022)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introduced platforms like IcePanel and Structurizr that enable collaborative diagram modeling. These tools use object reuse and flow visualization to align technical and business teams.</w:t>
      </w:r>
    </w:p>
    <w:p w14:paraId="1F0753AF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Pavlovic (2023)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proposed a framework based on category theory, modeling programs as diagrammatic transformations. His work supports the foundational mathematics behind treating code and diagrams as interchangeable structures.</w:t>
      </w:r>
    </w:p>
    <w:p w14:paraId="77221A7E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Yang et al. (2023)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applied CNNs and transformers to recognize and interpret single-line diagrams, enhancing the precision of visual understanding in software and electrical system documentation.</w:t>
      </w:r>
    </w:p>
    <w:p w14:paraId="725F3D45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Trifan et al. (2023)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integrated Finite State Machines with PlantUML for workflow visualization in ML pipelines, showcasing the practical value of combining formal models with visual representations for better interpretability.</w:t>
      </w:r>
    </w:p>
    <w:p w14:paraId="4ABE76AD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Ye et al. (2024)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developed Penrose, a system that translates mathematical notation into visual diagrams using domain-specific languages, improving the readability of abstract technical content.</w:t>
      </w:r>
    </w:p>
    <w:p w14:paraId="07DBB95F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Hunger (2024)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implemented Claude-MCP integration with Neo4j to enable natural language queries over software diagrams, bridging the gap between human intent and complex graph queries.</w:t>
      </w:r>
    </w:p>
    <w:p w14:paraId="136321EB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Toumi et al. (2023)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introduced DisCoPy, a graphical language framework in Python to support visual reasoning across quantum computing and linguistics, emphasizing reusable diagram structures.</w:t>
      </w:r>
    </w:p>
    <w:p w14:paraId="5D18F4E2" w14:textId="77777777" w:rsidR="001610E5" w:rsidRPr="001610E5" w:rsidRDefault="001610E5" w:rsidP="001610E5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  </w:t>
      </w:r>
      <w:r w:rsidRPr="001610E5">
        <w:rPr>
          <w:rFonts w:ascii="Times New Roman" w:hAnsi="Times New Roman" w:cs="Times New Roman"/>
          <w:b/>
          <w:bCs/>
          <w:sz w:val="24"/>
          <w:szCs w:val="24"/>
          <w:lang w:val="en-IN"/>
        </w:rPr>
        <w:t>Greyling (2024)</w:t>
      </w:r>
      <w:r w:rsidRPr="001610E5">
        <w:rPr>
          <w:rFonts w:ascii="Times New Roman" w:hAnsi="Times New Roman" w:cs="Times New Roman"/>
          <w:sz w:val="24"/>
          <w:szCs w:val="24"/>
          <w:lang w:val="en-IN"/>
        </w:rPr>
        <w:t xml:space="preserve"> emphasized interpretability, controllability, and safety in Generative AI, aligning with the goals of creating transparent, maintainable diagram-as-code ecosystems</w:t>
      </w:r>
    </w:p>
    <w:p w14:paraId="35F3B194" w14:textId="60746BDA" w:rsidR="00F025C3" w:rsidRPr="00F025C3" w:rsidRDefault="00F025C3" w:rsidP="00F025C3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F91197B" w14:textId="77777777" w:rsidR="00212A51" w:rsidRPr="00773017" w:rsidRDefault="00212A51" w:rsidP="007730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2F6C9E" w14:textId="77777777" w:rsidR="00E7624C" w:rsidRPr="00773017" w:rsidRDefault="00E7624C" w:rsidP="00773017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7624C" w:rsidRPr="00773017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1F5"/>
    <w:multiLevelType w:val="multilevel"/>
    <w:tmpl w:val="3C7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44CC"/>
    <w:multiLevelType w:val="multilevel"/>
    <w:tmpl w:val="028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786"/>
    <w:multiLevelType w:val="multilevel"/>
    <w:tmpl w:val="BA4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45506"/>
    <w:multiLevelType w:val="multilevel"/>
    <w:tmpl w:val="12B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F056F"/>
    <w:multiLevelType w:val="multilevel"/>
    <w:tmpl w:val="40D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540F2"/>
    <w:multiLevelType w:val="multilevel"/>
    <w:tmpl w:val="A4F0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2660F"/>
    <w:multiLevelType w:val="multilevel"/>
    <w:tmpl w:val="368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27C6"/>
    <w:multiLevelType w:val="multilevel"/>
    <w:tmpl w:val="2C6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243D2"/>
    <w:multiLevelType w:val="hybridMultilevel"/>
    <w:tmpl w:val="7918F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76509"/>
    <w:multiLevelType w:val="multilevel"/>
    <w:tmpl w:val="996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A47F7"/>
    <w:multiLevelType w:val="multilevel"/>
    <w:tmpl w:val="0ED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32F17"/>
    <w:multiLevelType w:val="multilevel"/>
    <w:tmpl w:val="71F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80707">
    <w:abstractNumId w:val="6"/>
  </w:num>
  <w:num w:numId="2" w16cid:durableId="988021017">
    <w:abstractNumId w:val="10"/>
  </w:num>
  <w:num w:numId="3" w16cid:durableId="1322736817">
    <w:abstractNumId w:val="11"/>
  </w:num>
  <w:num w:numId="4" w16cid:durableId="1095125311">
    <w:abstractNumId w:val="1"/>
  </w:num>
  <w:num w:numId="5" w16cid:durableId="1277635948">
    <w:abstractNumId w:val="9"/>
  </w:num>
  <w:num w:numId="6" w16cid:durableId="843589838">
    <w:abstractNumId w:val="7"/>
  </w:num>
  <w:num w:numId="7" w16cid:durableId="427508809">
    <w:abstractNumId w:val="0"/>
  </w:num>
  <w:num w:numId="8" w16cid:durableId="1653177585">
    <w:abstractNumId w:val="2"/>
  </w:num>
  <w:num w:numId="9" w16cid:durableId="1854873862">
    <w:abstractNumId w:val="4"/>
  </w:num>
  <w:num w:numId="10" w16cid:durableId="1914507602">
    <w:abstractNumId w:val="8"/>
  </w:num>
  <w:num w:numId="11" w16cid:durableId="1994916858">
    <w:abstractNumId w:val="5"/>
  </w:num>
  <w:num w:numId="12" w16cid:durableId="127482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35"/>
    <w:rsid w:val="000540F9"/>
    <w:rsid w:val="00104EFB"/>
    <w:rsid w:val="001610E5"/>
    <w:rsid w:val="00212A51"/>
    <w:rsid w:val="00463B35"/>
    <w:rsid w:val="0053022F"/>
    <w:rsid w:val="00773017"/>
    <w:rsid w:val="007E4587"/>
    <w:rsid w:val="00925D7C"/>
    <w:rsid w:val="009C2B8D"/>
    <w:rsid w:val="00B61948"/>
    <w:rsid w:val="00D11133"/>
    <w:rsid w:val="00E545C7"/>
    <w:rsid w:val="00E7624C"/>
    <w:rsid w:val="00F025C3"/>
    <w:rsid w:val="00F442D2"/>
    <w:rsid w:val="00F53B0E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7537"/>
  <w15:chartTrackingRefBased/>
  <w15:docId w15:val="{9FD289BE-3C58-42DB-8E9C-DC35A88F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7C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25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D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7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25D7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7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25D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5D7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25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D7C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25D7C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925D7C"/>
  </w:style>
  <w:style w:type="character" w:customStyle="1" w:styleId="pln">
    <w:name w:val="pln"/>
    <w:basedOn w:val="DefaultParagraphFont"/>
    <w:rsid w:val="00925D7C"/>
  </w:style>
  <w:style w:type="character" w:customStyle="1" w:styleId="pun">
    <w:name w:val="pun"/>
    <w:basedOn w:val="DefaultParagraphFont"/>
    <w:rsid w:val="00925D7C"/>
  </w:style>
  <w:style w:type="character" w:customStyle="1" w:styleId="str">
    <w:name w:val="str"/>
    <w:basedOn w:val="DefaultParagraphFont"/>
    <w:rsid w:val="00925D7C"/>
  </w:style>
  <w:style w:type="character" w:customStyle="1" w:styleId="typ">
    <w:name w:val="typ"/>
    <w:basedOn w:val="DefaultParagraphFont"/>
    <w:rsid w:val="00925D7C"/>
  </w:style>
  <w:style w:type="character" w:customStyle="1" w:styleId="lit">
    <w:name w:val="lit"/>
    <w:basedOn w:val="DefaultParagraphFont"/>
    <w:rsid w:val="00925D7C"/>
  </w:style>
  <w:style w:type="character" w:styleId="UnresolvedMention">
    <w:name w:val="Unresolved Mention"/>
    <w:basedOn w:val="DefaultParagraphFont"/>
    <w:uiPriority w:val="99"/>
    <w:semiHidden/>
    <w:unhideWhenUsed/>
    <w:rsid w:val="00212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sweetykadali90140@gmail.com</dc:creator>
  <cp:keywords/>
  <dc:description/>
  <cp:lastModifiedBy>ARAVINDH MYAKALA</cp:lastModifiedBy>
  <cp:revision>10</cp:revision>
  <dcterms:created xsi:type="dcterms:W3CDTF">2022-08-26T05:26:00Z</dcterms:created>
  <dcterms:modified xsi:type="dcterms:W3CDTF">2025-07-12T05:16:00Z</dcterms:modified>
</cp:coreProperties>
</file>