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B0CB1F2" w:rsidR="005B2106" w:rsidRPr="00AB20AC" w:rsidRDefault="00456FAA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0562B4">
              <w:rPr>
                <w:rFonts w:cstheme="minorHAnsi"/>
              </w:rPr>
              <w:t>3-08-</w:t>
            </w:r>
            <w:r>
              <w:rPr>
                <w:rFonts w:cstheme="minorHAnsi"/>
              </w:rPr>
              <w:t>2023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4F6482D" w:rsidR="000708AF" w:rsidRPr="00AB20AC" w:rsidRDefault="000562B4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LTVIP2023TMID06601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297A681" w:rsidR="000708AF" w:rsidRPr="00AB20AC" w:rsidRDefault="00456FAA" w:rsidP="000708AF">
            <w:pPr>
              <w:rPr>
                <w:rFonts w:cstheme="minorHAnsi"/>
              </w:rPr>
            </w:pPr>
            <w:r w:rsidRPr="0002764F">
              <w:rPr>
                <w:rFonts w:ascii="Times New Roman" w:eastAsia="Times New Roman" w:hAnsi="Times New Roman" w:cs="Times New Roman"/>
                <w:b/>
                <w:bCs/>
                <w:color w:val="2D2828"/>
                <w:sz w:val="38"/>
                <w:szCs w:val="38"/>
                <w:lang w:val="en-US" w:bidi="ta-IN"/>
              </w:rPr>
              <w:t xml:space="preserve">Advanced Breast Cancer Prediction </w:t>
            </w:r>
            <w:proofErr w:type="gramStart"/>
            <w:r w:rsidRPr="0002764F">
              <w:rPr>
                <w:rFonts w:ascii="Times New Roman" w:eastAsia="Times New Roman" w:hAnsi="Times New Roman" w:cs="Times New Roman"/>
                <w:b/>
                <w:bCs/>
                <w:color w:val="2D2828"/>
                <w:sz w:val="38"/>
                <w:szCs w:val="38"/>
                <w:lang w:val="en-US" w:bidi="ta-IN"/>
              </w:rPr>
              <w:t>With</w:t>
            </w:r>
            <w:proofErr w:type="gramEnd"/>
            <w:r w:rsidRPr="0002764F">
              <w:rPr>
                <w:rFonts w:ascii="Times New Roman" w:eastAsia="Times New Roman" w:hAnsi="Times New Roman" w:cs="Times New Roman"/>
                <w:b/>
                <w:bCs/>
                <w:color w:val="2D2828"/>
                <w:sz w:val="38"/>
                <w:szCs w:val="38"/>
                <w:lang w:val="en-US" w:bidi="ta-IN"/>
              </w:rPr>
              <w:t xml:space="preserve"> Deep Learnin</w:t>
            </w:r>
            <w:r>
              <w:rPr>
                <w:rFonts w:ascii="Times New Roman" w:eastAsia="Times New Roman" w:hAnsi="Times New Roman" w:cs="Times New Roman"/>
                <w:b/>
                <w:bCs/>
                <w:color w:val="2D2828"/>
                <w:sz w:val="38"/>
                <w:szCs w:val="38"/>
                <w:lang w:val="en-US" w:bidi="ta-IN"/>
              </w:rPr>
              <w:t>g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4F6A7B23" w14:textId="3EF943E8" w:rsidR="007208C9" w:rsidRPr="00AB20AC" w:rsidRDefault="000F0ECD" w:rsidP="00D711AE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</w:rPr>
        <w:lastRenderedPageBreak/>
        <w:drawing>
          <wp:inline distT="0" distB="0" distL="0" distR="0" wp14:anchorId="1F3357A3" wp14:editId="27D57F69">
            <wp:extent cx="5399096" cy="419083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oice applications in clinical research powered by AI on AWS – Part 1:  Architecture and design considerations | AWS for Industr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096" cy="419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584644">
    <w:abstractNumId w:val="0"/>
  </w:num>
  <w:num w:numId="2" w16cid:durableId="271673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562B4"/>
    <w:rsid w:val="000708AF"/>
    <w:rsid w:val="000923A6"/>
    <w:rsid w:val="000F0ECD"/>
    <w:rsid w:val="00101566"/>
    <w:rsid w:val="00213958"/>
    <w:rsid w:val="00374433"/>
    <w:rsid w:val="003C4A8E"/>
    <w:rsid w:val="003E3A16"/>
    <w:rsid w:val="00456FAA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BA5162"/>
    <w:rsid w:val="00C717FC"/>
    <w:rsid w:val="00CF00A9"/>
    <w:rsid w:val="00D711A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NIKHIL TEPPALA</cp:lastModifiedBy>
  <cp:revision>8</cp:revision>
  <dcterms:created xsi:type="dcterms:W3CDTF">2022-10-03T08:27:00Z</dcterms:created>
  <dcterms:modified xsi:type="dcterms:W3CDTF">2023-08-02T12:18:00Z</dcterms:modified>
</cp:coreProperties>
</file>