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r>
        <w:t xml:space="preserve"/>
      </w:r>
    </w:p>
    <w:p>
      <w:pPr>
        <w:jc w:val="center"/>
      </w:pPr>
      <w:r>
        <w:rPr>
          <w:rFonts w:ascii="Arial" w:cs="Arial" w:eastAsia="Arial" w:hAnsi="Arial"/>
          <w:b/>
          <w:bCs/>
          <w:color w:val="888888"/>
          <w:sz w:val="28"/>
          <w:szCs w:val="28"/>
        </w:rPr>
        <w:t xml:space="preserve">NSW GP ADHD ENDORSED PRESCRIBING TRAINING</w:t>
      </w:r>
    </w:p>
    <w:p>
      <w:pPr>
        <w:spacing w:after="80" w:before="80"/>
      </w:pPr>
      <w:r>
        <w:t xml:space="preserve"/>
      </w:r>
    </w:p>
    <w:p>
      <w:pPr>
        <w:jc w:val="center"/>
      </w:pPr>
      <w:r>
        <w:rPr>
          <w:rFonts w:ascii="Arial" w:cs="Arial" w:eastAsia="Arial" w:hAnsi="Arial"/>
          <w:b/>
          <w:bCs/>
          <w:color w:val="1B3A6B"/>
          <w:sz w:val="52"/>
          <w:szCs w:val="52"/>
        </w:rPr>
        <w:t xml:space="preserve">ASSESSMENT &amp; EXAMINATION BANK</w:t>
      </w:r>
    </w:p>
    <w:p>
      <w:pPr>
        <w:spacing w:after="80" w:before="80"/>
      </w:pPr>
      <w:r>
        <w:t xml:space="preserve"/>
      </w:r>
    </w:p>
    <w:p>
      <w:pPr>
        <w:jc w:val="center"/>
      </w:pPr>
      <w:r>
        <w:rPr>
          <w:rFonts w:ascii="Arial" w:cs="Arial" w:eastAsia="Arial" w:hAnsi="Arial"/>
          <w:b/>
          <w:bCs/>
          <w:color w:val="0F6E56"/>
          <w:sz w:val="32"/>
          <w:szCs w:val="32"/>
        </w:rPr>
        <w:t xml:space="preserve">RACGP-Style MCQs  |  SBA Questions</w:t>
      </w:r>
    </w:p>
    <w:p>
      <w:pPr>
        <w:jc w:val="center"/>
      </w:pPr>
      <w:r>
        <w:rPr>
          <w:rFonts w:ascii="Arial" w:cs="Arial" w:eastAsia="Arial" w:hAnsi="Arial"/>
          <w:b/>
          <w:bCs/>
          <w:color w:val="0F6E56"/>
          <w:sz w:val="32"/>
          <w:szCs w:val="32"/>
        </w:rPr>
        <w:t xml:space="preserve">OSCE Stations  |  Marking Rubrics  |  Model Answers</w:t>
      </w:r>
    </w:p>
    <w:p>
      <w:pPr>
        <w:spacing w:after="200" w:before="200"/>
      </w:pPr>
      <w:r>
        <w:t xml:space="preserve"/>
      </w:r>
    </w:p>
    <w:p>
      <w:pPr>
        <w:jc w:val="center"/>
      </w:pPr>
      <w:r>
        <w:rPr>
          <w:rFonts w:ascii="Arial" w:cs="Arial" w:eastAsia="Arial" w:hAnsi="Arial"/>
          <w:color w:val="555555"/>
          <w:sz w:val="22"/>
          <w:szCs w:val="22"/>
        </w:rPr>
        <w:t xml:space="preserve">Aligned with: AADPA Clinical Practice Guideline 2024  |  DSM-5-TR  |  NSW Health Framework</w:t>
      </w:r>
    </w:p>
    <w:p>
      <w:pPr>
        <w:jc w:val="center"/>
      </w:pPr>
      <w:r>
        <w:rPr>
          <w:rFonts w:ascii="Arial" w:cs="Arial" w:eastAsia="Arial" w:hAnsi="Arial"/>
          <w:color w:val="555555"/>
          <w:sz w:val="22"/>
          <w:szCs w:val="22"/>
        </w:rPr>
        <w:t xml:space="preserve">RACGP  |  ACRRM  |  Medical Board of Australia  |  HCCC Standards</w:t>
      </w:r>
    </w:p>
    <w:p>
      <w:pPr>
        <w:spacing w:after="300" w:before="300"/>
      </w:pPr>
      <w:r>
        <w:t xml:space="preserve"/>
      </w:r>
    </w:p>
    <w:p>
      <w:pPr>
        <w:jc w:val="center"/>
      </w:pPr>
      <w:r>
        <w:rPr>
          <w:rFonts w:ascii="Arial" w:cs="Arial" w:eastAsia="Arial" w:hAnsi="Arial"/>
          <w:color w:val="666666"/>
          <w:sz w:val="22"/>
          <w:szCs w:val="22"/>
        </w:rPr>
        <w:t xml:space="preserve">Month 6 of 6  |  Final Examination Preparation</w:t>
      </w:r>
    </w:p>
    <w:p>
      <w:pPr>
        <w:spacing w:after="100" w:before="100"/>
      </w:pPr>
      <w:r>
        <w:t xml:space="preserve"/>
      </w:r>
    </w:p>
    <w:p>
      <w:pPr>
        <w:jc w:val="center"/>
      </w:pPr>
      <w:r>
        <w:rPr>
          <w:rFonts w:ascii="Arial" w:cs="Arial" w:eastAsia="Arial" w:hAnsi="Arial"/>
          <w:b/>
          <w:bCs/>
          <w:color w:val="1B3A6B"/>
          <w:sz w:val="24"/>
          <w:szCs w:val="24"/>
        </w:rPr>
        <w:t xml:space="preserve">50 MCQ/SBA Questions  |  3 Full OSCE Stations with Marking Rubrics</w:t>
      </w:r>
    </w:p>
    <w:p>
      <w:r>
        <w:br w:type="page"/>
      </w:r>
    </w:p>
    <w:p>
      <w:pPr>
        <w:pStyle w:val="Heading1"/>
        <w:spacing w:after="200" w:before="480"/>
      </w:pPr>
      <w:r>
        <w:rPr>
          <w:rFonts w:ascii="Arial" w:cs="Arial" w:eastAsia="Arial" w:hAnsi="Arial"/>
          <w:b/>
          <w:bCs/>
          <w:color w:val="1B3A6B"/>
          <w:sz w:val="36"/>
          <w:szCs w:val="36"/>
        </w:rPr>
        <w:t xml:space="preserve">Examination Guide</w:t>
      </w:r>
    </w:p>
    <w:p>
      <w:pPr>
        <w:spacing w:after="80" w:before="80"/>
        <w:jc w:val="both"/>
      </w:pPr>
      <w:r>
        <w:rPr>
          <w:rFonts w:ascii="Arial" w:cs="Arial" w:eastAsia="Arial" w:hAnsi="Arial"/>
          <w:sz w:val="22"/>
          <w:szCs w:val="22"/>
        </w:rPr>
        <w:t xml:space="preserve">This examination bank is structured in three parts, mirroring the domains tested in the NSW ADHD Endorsed Prescribing Training competency assessment:</w:t>
      </w:r>
    </w:p>
    <w:p>
      <w:pPr>
        <w:spacing w:after="40" w:before="4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000"/>
        <w:gridCol w:w="3400"/>
        <w:gridCol w:w="2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Format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Questions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Domain Tested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Time Estimate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Part A</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RACGP-Style MCQs / SBAs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Q1–25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Foundational knowledge — neurobiology, DSM-5, pharmacology, guidelines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45–50 minutes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Part 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Extended SBA / Clinical Reasoning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Q26–50</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Applied clinical reasoning — diagnosis, comorbidity, prescribing, risk management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50–60 minutes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Part 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OSCE Stations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 stations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skills — interview, documentation, consent, case management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20 min per station</w:t>
            </w:r>
          </w:p>
        </w:tc>
      </w:tr>
    </w:tbl>
    <w:p>
      <w:pPr>
        <w:spacing w:after="60" w:before="60"/>
      </w:pPr>
      <w:r>
        <w:t xml:space="preserve"/>
      </w:r>
    </w:p>
    <w:p>
      <w:pPr>
        <w:spacing w:after="80" w:before="80"/>
        <w:jc w:val="both"/>
      </w:pPr>
      <w:r>
        <w:rPr>
          <w:rFonts w:ascii="Arial" w:cs="Arial" w:eastAsia="Arial" w:hAnsi="Arial"/>
          <w:sz w:val="22"/>
          <w:szCs w:val="22"/>
        </w:rPr>
        <w:t xml:space="preserve">All MCQs and SBAs use the single best answer (SBA) format — one correct answer from five options. Distractors are clinically plausible but clearly distinguishable with sound knowledge. The stem always presents a clinical scenario rather than a decontextualised knowledge question.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2E" w:sz="8"/>
              <w:left w:val="single" w:color="1A6B2E" w:sz="8"/>
              <w:bottom w:val="single" w:color="1A6B2E" w:sz="8"/>
              <w:right w:val="single" w:color="1A6B2E" w:sz="8"/>
            </w:tcBorders>
            <w:shd w:fill="E8F5E9" w:val="clear"/>
            <w:tcMar>
              <w:top w:type="dxa" w:w="100"/>
              <w:left w:type="dxa" w:w="200"/>
              <w:bottom w:type="dxa" w:w="40"/>
              <w:right w:type="dxa" w:w="200"/>
            </w:tcMar>
          </w:tcPr>
          <w:p>
            <w:pPr>
              <w:spacing w:after="40" w:before="40"/>
            </w:pPr>
            <w:r>
              <w:rPr>
                <w:rFonts w:ascii="Arial" w:cs="Arial" w:eastAsia="Arial" w:hAnsi="Arial"/>
                <w:b/>
                <w:bCs/>
                <w:color w:val="1A6B2E"/>
                <w:sz w:val="22"/>
                <w:szCs w:val="22"/>
              </w:rPr>
              <w:t xml:space="preserve">💡  Examiner's Note</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RACGP EXAMINATION STANDARD — What This Bank Tests:</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These questions are written at the standard required for a GP exercising independent ADHD endorsed prescribing authority in NSW. They test:</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 Applied clinical reasoning — not rote recall of diagnostic criteria</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 NSW-specific regulatory knowledge — authority prescribing, S8 obligations</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 Safe prescribing decision-making — agent selection, titration, monitoring</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 Medicolegal documentation standards</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 Recognition of high-risk presentations — diversion, bipolar, cardiac risk</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 Special population competency — women, children, Aboriginal patients, ASD, SUD</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Passing standard: 80% on MCQ/SBA sections. OSCE: Competent on all three stations.</w:t>
            </w:r>
          </w:p>
        </w:tc>
      </w:tr>
      <w:tr>
        <w:tc>
          <w:tcPr>
            <w:tcBorders>
              <w:top w:val="none" w:color="FFFFFF" w:sz="0"/>
              <w:left w:val="single" w:color="1A6B2E" w:sz="8"/>
              <w:bottom w:val="single" w:color="1A6B2E" w:sz="8"/>
              <w:right w:val="single" w:color="1A6B2E" w:sz="8"/>
            </w:tcBorders>
            <w:shd w:fill="E8F5E9"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r>
        <w:br w:type="page"/>
      </w:r>
    </w:p>
    <w:p>
      <w:pPr>
        <w:pStyle w:val="Heading1"/>
        <w:spacing w:after="200" w:before="480"/>
      </w:pPr>
      <w:r>
        <w:rPr>
          <w:rFonts w:ascii="Arial" w:cs="Arial" w:eastAsia="Arial" w:hAnsi="Arial"/>
          <w:b/>
          <w:bCs/>
          <w:color w:val="1B3A6B"/>
          <w:sz w:val="36"/>
          <w:szCs w:val="36"/>
        </w:rPr>
        <w:t xml:space="preserve">Part A — RACGP-Style MCQ/SBA Questions (Q1–Q25)</w:t>
      </w:r>
    </w:p>
    <w:p>
      <w:pPr>
        <w:spacing w:after="80" w:before="80"/>
        <w:jc w:val="both"/>
      </w:pPr>
      <w:r>
        <w:rPr>
          <w:rFonts w:ascii="Arial" w:cs="Arial" w:eastAsia="Arial" w:hAnsi="Arial"/>
          <w:sz w:val="22"/>
          <w:szCs w:val="22"/>
        </w:rPr>
        <w:t xml:space="preserve">Foundational knowledge: neurobiology, DSM-5 criteria, assessment standards, pharmacology, guidelines, and special populations.</w:t>
      </w:r>
    </w:p>
    <w:p>
      <w:pPr>
        <w:spacing w:after="60" w:before="60"/>
      </w:pPr>
      <w:r>
        <w:t xml:space="preserve"/>
      </w:r>
    </w:p>
    <w:p>
      <w:pPr>
        <w:spacing w:after="80" w:before="160"/>
      </w:pPr>
      <w:r>
        <w:rPr>
          <w:rFonts w:ascii="Arial" w:cs="Arial" w:eastAsia="Arial" w:hAnsi="Arial"/>
          <w:b/>
          <w:bCs/>
          <w:color w:val="1B3A6B"/>
          <w:sz w:val="22"/>
          <w:szCs w:val="22"/>
        </w:rPr>
        <w:t xml:space="preserve">Question 1</w:t>
      </w:r>
      <w:r>
        <w:rPr>
          <w:rFonts w:ascii="Arial" w:cs="Arial" w:eastAsia="Arial" w:hAnsi="Arial"/>
          <w:i/>
          <w:iCs/>
          <w:color w:val="888888"/>
          <w:sz w:val="20"/>
          <w:szCs w:val="20"/>
        </w:rPr>
        <w:t xml:space="preserve">  [Diagnosis / DSM-5]</w:t>
      </w:r>
    </w:p>
    <w:p>
      <w:pPr>
        <w:spacing w:after="80" w:before="40"/>
        <w:ind w:left="0"/>
      </w:pPr>
      <w:r>
        <w:rPr>
          <w:rFonts w:ascii="Arial" w:cs="Arial" w:eastAsia="Arial" w:hAnsi="Arial"/>
          <w:sz w:val="22"/>
          <w:szCs w:val="22"/>
        </w:rPr>
        <w:t xml:space="preserve">A 34-year-old female presents reporting lifelong difficulties with concentration, organisation, and task completion. Her ASRS-v1.1 score is 19/24. She has a history of generalised anxiety disorder and depression, both currently in remission. She has detailed school reports from Kindergarten through Year 12 showing consistent teacher comments including 'could do better,' 'tends to daydream,' and 'not reaching potential.' Which of the following best represents the AADPA-recommended diagnostic approach?</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Diagnose ADHD based on the ASRS score and school report evidence, and initiate lisdexamfetamine.</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Defer the ADHD diagnosis because anxiety and depression are more likely primary diagnoses.</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Conduct a comprehensive assessment integrating clinical interview, developmental history, functional impairment, collateral evidence, and differential diagnosis reasoning before making a diagnostic formulation.</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Diagnose ADHD and refer to psychiatry before prescribing, as GP prescribing of stimulants requires prior specialist assessment.</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Request formal neuropsychological testing before making any diagnosis.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CCR 2.1.2–2.1.4: Assessment must integrate clinical interview, developmental history, functional impairment, observer reports, and medical assessment. AADPA CCR 2.1.4 explicitly states diagnosis should NOT be made solely on rating scales. Option A is insufficient (scale + reports only). Option B incorrectly uses comorbidities to exclude ADHD. Option D is incorrect — endorsed GPs can prescribe without prior specialist assessment. Option E is not routinely required.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Rating scale score alone never constitutes ADHD diagnosis (AADPA CCR 2.1.4).</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2</w:t>
      </w:r>
      <w:r>
        <w:rPr>
          <w:rFonts w:ascii="Arial" w:cs="Arial" w:eastAsia="Arial" w:hAnsi="Arial"/>
          <w:i/>
          <w:iCs/>
          <w:color w:val="888888"/>
          <w:sz w:val="20"/>
          <w:szCs w:val="20"/>
        </w:rPr>
        <w:t xml:space="preserve">  [Pharmacotherapy / NSW S8]</w:t>
      </w:r>
    </w:p>
    <w:p>
      <w:pPr>
        <w:spacing w:after="80" w:before="40"/>
        <w:ind w:left="0"/>
      </w:pPr>
      <w:r>
        <w:rPr>
          <w:rFonts w:ascii="Arial" w:cs="Arial" w:eastAsia="Arial" w:hAnsi="Arial"/>
          <w:sz w:val="22"/>
          <w:szCs w:val="22"/>
        </w:rPr>
        <w:t xml:space="preserve">A GP who has completed NSW ADHD endorsed prescribing training is initiating lisdexamfetamine for a 28-year-old patient with confirmed ADHD. Which of the following is a legal requirement before the first prescription can be issued?</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An ECG demonstrating no cardiac abnormality.</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A letter of support from a psychiatrist confirming the ADHD diagnosis.</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Documentation that at least two non-pharmacological interventions have been trialled.</w:t>
      </w:r>
    </w:p>
    <w:p>
      <w:pPr>
        <w:spacing w:after="40" w:before="40"/>
        <w:ind w:left="400"/>
      </w:pPr>
      <w:r>
        <w:rPr>
          <w:rFonts w:ascii="Arial" w:cs="Arial" w:eastAsia="Arial" w:hAnsi="Arial"/>
          <w:b/>
          <w:bCs/>
          <w:sz w:val="22"/>
          <w:szCs w:val="22"/>
        </w:rPr>
        <w:t xml:space="preserve">D.  </w:t>
      </w:r>
      <w:r>
        <w:rPr>
          <w:rFonts w:ascii="Arial" w:cs="Arial" w:eastAsia="Arial" w:hAnsi="Arial"/>
          <w:b/>
          <w:bCs/>
          <w:color w:val="0F6E56"/>
          <w:sz w:val="22"/>
          <w:szCs w:val="22"/>
        </w:rPr>
        <w:t xml:space="preserve">A current NSW Health authority permit to prescribe Schedule 8 stimulants for this patient.</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Baseline neuropsychological testing to confirm cognitive impairment.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NSW Poisons and Therapeutic Goods Act 1966 and Poisons and Therapeutic Goods Regulation 2008: GPs must hold a current NSW Health authority permit specifically to prescribe S8 stimulants for ADHD. This is a patient-specific, legally required permit. An ECG is not routinely required (AADPA CPP 5.1.2 — only if cardiac risk features present). Psychiatrist support letter is not required for endorsed GPs. Non-pharmacological trials are recommended but not a legal precondition.</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Prescribing S8 stimulants without a current authority permit is a criminal offence under NSW law.</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3</w:t>
      </w:r>
      <w:r>
        <w:rPr>
          <w:rFonts w:ascii="Arial" w:cs="Arial" w:eastAsia="Arial" w:hAnsi="Arial"/>
          <w:i/>
          <w:iCs/>
          <w:color w:val="888888"/>
          <w:sz w:val="20"/>
          <w:szCs w:val="20"/>
        </w:rPr>
        <w:t xml:space="preserve">  [Diagnosis / Differential]</w:t>
      </w:r>
    </w:p>
    <w:p>
      <w:pPr>
        <w:spacing w:after="80" w:before="40"/>
        <w:ind w:left="0"/>
      </w:pPr>
      <w:r>
        <w:rPr>
          <w:rFonts w:ascii="Arial" w:cs="Arial" w:eastAsia="Arial" w:hAnsi="Arial"/>
          <w:sz w:val="22"/>
          <w:szCs w:val="22"/>
        </w:rPr>
        <w:t xml:space="preserve">A 42-year-old male with a 3-year history of treatment for generalised anxiety disorder presents requesting ADHD assessment. He reports that his anxiety treatment with an SSRI and CBT has produced only partial improvement. He describes 'my mind just wanders — not to worries, just to random things.' He reports lifelong organisational difficulties and multiple incomplete projects. His psychologist has also noticed these features and suggested assessment. Which feature of his history is MOST diagnostically differentiating for ADHD versus GAD?</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The failure of SSRI treatment to produce full remission.</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The description of non-specific mind wandering rather than worry-content distraction.</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The lifelong pattern of organisational difficulties.</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The psychologist's clinical observation and referral.</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The incomplete projects and task non-completion pattern.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single most differentiating feature between ADHD and GAD-driven concentration difficulties is the CHARACTER of the attentional distraction. In ADHD: mind drifts to random content (DMN intrusion — non-specific). In GAD: mind is occupied by specific worry content. Options A, C, D, and E are all consistent with ADHD but are not specifically differentiating from GAD. The character of the distraction resolves the differential most directly.</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All other options are consistent with ADHD but could also be explained by GAD. The non-specific vs worry-content distinction is pathognomonic.</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4</w:t>
      </w:r>
      <w:r>
        <w:rPr>
          <w:rFonts w:ascii="Arial" w:cs="Arial" w:eastAsia="Arial" w:hAnsi="Arial"/>
          <w:i/>
          <w:iCs/>
          <w:color w:val="888888"/>
          <w:sz w:val="20"/>
          <w:szCs w:val="20"/>
        </w:rPr>
        <w:t xml:space="preserve">  [Pharmacotherapy — Agent Selection]</w:t>
      </w:r>
    </w:p>
    <w:p>
      <w:pPr>
        <w:spacing w:after="80" w:before="40"/>
        <w:ind w:left="0"/>
      </w:pPr>
      <w:r>
        <w:rPr>
          <w:rFonts w:ascii="Arial" w:cs="Arial" w:eastAsia="Arial" w:hAnsi="Arial"/>
          <w:sz w:val="22"/>
          <w:szCs w:val="22"/>
        </w:rPr>
        <w:t xml:space="preserve">A 31-year-old male with confirmed ADHD and a history of methamphetamine use disorder (currently 6 months abstinent, engaged with AOD counsellor) is ready to commence ADHD pharmacotherapy. Which agent is most appropriate as first-line treatment in this clinical context?</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Dexamfetamine 5mg immediate-release twice daily.</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Methylphenidate immediate-release 10mg twice daily.</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Lisdexamfetamine 20mg daily.</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Atomoxetine 40mg daily, with plan to transition to stimulant once SUD is fully resolved.</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Guanfacine extended-release 1mg daily.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CCR 6.3.7: Long-acting stimulants preferred in SUD context to minimise risk of diversion and misuse. AADPA CCR 6.3.8: If abstinent/stabilised, stimulant is appropriate. LDX is the preferred stimulant in SUD — it is a prodrug requiring oral enzymatic cleavage, making IV/intranasal misuse ineffective. Dexamfetamine IR (A) has the highest misuse and diversion risk and is specifically contraindicated in this context (AADPA CPP 5.6.5). MPH IR (B) also carries higher misuse risk than LDX. Atomoxetine (D) alone is appropriate if SUD is not yet stabilised — but this patient is stabilised. Guanfacine (E) has insufficient ADHD efficacy as sole agent for moderate ADHD.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Dexamfetamine IR is contraindicated when any SUD risk is present — select LDX always in this context.</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5</w:t>
      </w:r>
      <w:r>
        <w:rPr>
          <w:rFonts w:ascii="Arial" w:cs="Arial" w:eastAsia="Arial" w:hAnsi="Arial"/>
          <w:i/>
          <w:iCs/>
          <w:color w:val="888888"/>
          <w:sz w:val="20"/>
          <w:szCs w:val="20"/>
        </w:rPr>
        <w:t xml:space="preserve">  [Pharmacotherapy — Adverse Effects]</w:t>
      </w:r>
    </w:p>
    <w:p>
      <w:pPr>
        <w:spacing w:after="80" w:before="40"/>
        <w:ind w:left="0"/>
      </w:pPr>
      <w:r>
        <w:rPr>
          <w:rFonts w:ascii="Arial" w:cs="Arial" w:eastAsia="Arial" w:hAnsi="Arial"/>
          <w:sz w:val="22"/>
          <w:szCs w:val="22"/>
        </w:rPr>
        <w:t xml:space="preserve">A 9-year-old girl with ADHD Combined Type has been on methylphenidate LA 20mg for 8 weeks. Her mother reports she is 'not herself — flat, robotic, and has lost her spark.' Academic performance has improved. What is the most appropriate clinical response?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Cease methylphenidate and commence atomoxetine — this represents a stimulant intolerance.</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Reassure the parent that emotional flattening is a normal therapeutic response to adequate ADHD treatment.</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Reduce the dose by one step — the 'zombie effect' indicates the dose is too high.</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Add guanfacine to address the emotional side effect while maintaining the current methylphenidate dose.</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Switch to lisdexamfetamine as it has a smoother plasma profile and less emotional blunting.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'zombie effect' — emotional blunting, flat affect, loss of personality on stimulants — is a dose-too-high indicator, not a reason to cease medication or switch agents. The correct first response is dose reduction by one step. At the correct dose, academic benefit is maintained without emotional blunting. Ceasing (A) discards a working treatment. Reassuring (B) is incorrect — this is a clinically significant adverse effect requiring action. Adding guanfacine (D) adds complexity before trying dose reduction. Switching to LDX (E) may be appropriate if dose reduction fails, but is not the first step.</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Zombie effect = dose too high → reduce the dose, do not cease the medication.</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6</w:t>
      </w:r>
      <w:r>
        <w:rPr>
          <w:rFonts w:ascii="Arial" w:cs="Arial" w:eastAsia="Arial" w:hAnsi="Arial"/>
          <w:i/>
          <w:iCs/>
          <w:color w:val="888888"/>
          <w:sz w:val="20"/>
          <w:szCs w:val="20"/>
        </w:rPr>
        <w:t xml:space="preserve">  [Assessment / Documentation]</w:t>
      </w:r>
    </w:p>
    <w:p>
      <w:pPr>
        <w:spacing w:after="80" w:before="40"/>
        <w:ind w:left="0"/>
      </w:pPr>
      <w:r>
        <w:rPr>
          <w:rFonts w:ascii="Arial" w:cs="Arial" w:eastAsia="Arial" w:hAnsi="Arial"/>
          <w:sz w:val="22"/>
          <w:szCs w:val="22"/>
        </w:rPr>
        <w:t xml:space="preserve">A GP is reviewing the consultation note written by a colleague for an adult ADHD assessment. The note reads: 'ADHD confirmed. ASRS 22/24. Long history of symptoms. Commenced Vyvanse 30mg. Review 4 weeks.' According to the AADPA Clinical Practice Guideline 2024 and NSW medicolegal standards, which is the MOST critical documentation deficiency in this note?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The methylphenidate class was not trialled before lisdexamfetamine.</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No GPCCMP was prepared before initiating pharmacotherapy.</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No differential diagnosis section was documented, and diagnosis appears based on rating scale alone.</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The ECG result before stimulant initiation was not recorded.</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The note does not record the patient's weight and height.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CCR 2.1.4: Diagnosis should NOT be made solely on rating scales. AADPA CCR 2.1.3: Assessment must include differential diagnosis consideration. NSW medicolegal standard: If not documented, it may be interpreted as not assessed. The note documents no developmental history, no functional impairment, no collateral, no differential diagnoses, and relies on a rating scale score as the diagnostic basis. This is the most critical deficiency — it renders the diagnosis medicolegally indefensible. Options A (agent hierarchy), B (GPCCMP), and D (ECG — not routinely required) are not the primary deficiency. Option E (height/weight) is a monitoring deficiency but secondary to the diagnostic failure.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The most critical documentation failure is always the diagnostic reasoning, not the monitoring parameters.</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7</w:t>
      </w:r>
      <w:r>
        <w:rPr>
          <w:rFonts w:ascii="Arial" w:cs="Arial" w:eastAsia="Arial" w:hAnsi="Arial"/>
          <w:i/>
          <w:iCs/>
          <w:color w:val="888888"/>
          <w:sz w:val="20"/>
          <w:szCs w:val="20"/>
        </w:rPr>
        <w:t xml:space="preserve">  [Special Populations — Women]</w:t>
      </w:r>
    </w:p>
    <w:p>
      <w:pPr>
        <w:spacing w:after="80" w:before="40"/>
        <w:ind w:left="0"/>
      </w:pPr>
      <w:r>
        <w:rPr>
          <w:rFonts w:ascii="Arial" w:cs="Arial" w:eastAsia="Arial" w:hAnsi="Arial"/>
          <w:sz w:val="22"/>
          <w:szCs w:val="22"/>
        </w:rPr>
        <w:t xml:space="preserve">A 47-year-old woman with a 5-year history of confirmed ADHD on lisdexamfetamine 50mg presents reporting that 'my medication has stopped working' over the past 12 months. She has recently commenced perimenopause with irregular cycles, hot flushes, and mood lability. Her ASRS score is 18/24 (previously stable at 10/24). What is the most appropriate initial clinical response?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Increase lisdexamfetamine to 60mg at this consultation.</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Switch from lisdexamfetamine to methylphenidate — tolerance to one stimulant class may have developed.</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Add atomoxetine as an adjunct to address the deteriorating ADHD symptoms.</w:t>
      </w:r>
    </w:p>
    <w:p>
      <w:pPr>
        <w:spacing w:after="40" w:before="40"/>
        <w:ind w:left="400"/>
      </w:pPr>
      <w:r>
        <w:rPr>
          <w:rFonts w:ascii="Arial" w:cs="Arial" w:eastAsia="Arial" w:hAnsi="Arial"/>
          <w:b/>
          <w:bCs/>
          <w:sz w:val="22"/>
          <w:szCs w:val="22"/>
        </w:rPr>
        <w:t xml:space="preserve">D.  </w:t>
      </w:r>
      <w:r>
        <w:rPr>
          <w:rFonts w:ascii="Arial" w:cs="Arial" w:eastAsia="Arial" w:hAnsi="Arial"/>
          <w:b/>
          <w:bCs/>
          <w:color w:val="0F6E56"/>
          <w:sz w:val="22"/>
          <w:szCs w:val="22"/>
        </w:rPr>
        <w:t xml:space="preserve">Investigate contributory factors including hormonal changes and sleep quality before adjusting medication.</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Refer to psychiatry for medication optimisation given treatment resistance.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deterioration coincides with perimenopausal oestrogen decline. Oestrogen modulates DA receptor sensitivity — declining oestrogen reduces medication effectiveness. Additionally, sleep disturbance from perimenopausal symptoms significantly worsens ADHD symptom burden. The correct approach is to investigate contributory factors first: assess sleep (STOP-BANG, sleep diary), consider HRT discussion with gynaecologist, review oestrogen status. Increasing LDX (A) addresses none of the underlying hormonal mechanism and may be unnecessary once oestrogen is restored. Switching classes (B) or adding adjuncts (C) are premature. Psychiatric referral (E) is not indicated for a perimenopausal hormonal change.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Perimenopausal ADHD deterioration is hormonally driven — investigate before escalating medication.</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8</w:t>
      </w:r>
      <w:r>
        <w:rPr>
          <w:rFonts w:ascii="Arial" w:cs="Arial" w:eastAsia="Arial" w:hAnsi="Arial"/>
          <w:i/>
          <w:iCs/>
          <w:color w:val="888888"/>
          <w:sz w:val="20"/>
          <w:szCs w:val="20"/>
        </w:rPr>
        <w:t xml:space="preserve">  [Pharmacotherapy — Pre-prescribing]</w:t>
      </w:r>
    </w:p>
    <w:p>
      <w:pPr>
        <w:spacing w:after="80" w:before="40"/>
        <w:ind w:left="0"/>
      </w:pPr>
      <w:r>
        <w:rPr>
          <w:rFonts w:ascii="Arial" w:cs="Arial" w:eastAsia="Arial" w:hAnsi="Arial"/>
          <w:sz w:val="22"/>
          <w:szCs w:val="22"/>
        </w:rPr>
        <w:t xml:space="preserve">Before initiating stimulant medication for ADHD, a 35-year-old patient reports that his father died suddenly at age 38 'of a heart problem.' He is otherwise healthy with no personal cardiac symptoms. BP is 118/72, HR 74. What is the most appropriate action?</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Proceed with stimulant initiation — the BP and HR are normal and there are no personal cardiac symptoms.</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Order an ECG before initiating stimulants — this is required whenever family cardiac history is present.</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Refer for a cardiology opinion before commencing stimulant medication.</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Initiate atomoxetine instead of stimulants as it is cardiovascularly safer.</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Order a full cardiac workup including echocardiogram and 24-hour Holter monitor before any treatment.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CCR 5.1.3: People with ADHD should be referred for a cardiology opinion before commencing stimulant medication if there is 'a history of sudden death in a first-degree relative under 40 years suggesting a cardiac disease.' The father died suddenly at 38 — this meets the criterion exactly. Option A incorrectly relies on normal current vitals to override the family history flag. Option B (ECG only) is insufficient — CCR 5.1.3 specifies cardiology opinion, not just an ECG. Option D (atomoxetine only) avoids the immediate issue but a cardiology opinion is still prudent. Option E is excessive — cardiology opinion, not full workup at this stage.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Sudden death in first-degree relative under 40 = cardiology referral BEFORE stimulants, regardless of normal current vitals.</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9</w:t>
      </w:r>
      <w:r>
        <w:rPr>
          <w:rFonts w:ascii="Arial" w:cs="Arial" w:eastAsia="Arial" w:hAnsi="Arial"/>
          <w:i/>
          <w:iCs/>
          <w:color w:val="888888"/>
          <w:sz w:val="20"/>
          <w:szCs w:val="20"/>
        </w:rPr>
        <w:t xml:space="preserve">  [Diagnosis — Bipolar Differential]</w:t>
      </w:r>
    </w:p>
    <w:p>
      <w:pPr>
        <w:spacing w:after="80" w:before="40"/>
        <w:ind w:left="0"/>
      </w:pPr>
      <w:r>
        <w:rPr>
          <w:rFonts w:ascii="Arial" w:cs="Arial" w:eastAsia="Arial" w:hAnsi="Arial"/>
          <w:sz w:val="22"/>
          <w:szCs w:val="22"/>
        </w:rPr>
        <w:t xml:space="preserve">A 26-year-old man presents for ADHD assessment. He endorses significant inattention, impulsivity, and emotional dysregulation. His ASRS is 20/24. On systematic review, he discloses that 18 months ago he had a 3-week period when he 'felt amazing, needed only 4 hours sleep but had more energy than ever, started three businesses, and made some very impulsive financial decisions.' His girlfriend confirmed this episode. What is the most appropriate clinical action?</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Confirm ADHD diagnosis and initiate lisdexamfetamine — mood elevation episodes are common in ADHD.</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Diagnose bipolar disorder and refer to psychiatry — ADHD is excluded by the mood elevation history.</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Do not initiate stimulants; refer to psychiatry for assessment of bipolar disorder before proceeding with ADHD pharmacotherapy.</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Initiate a mood stabiliser before any ADHD treatment.</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Diagnose ADHD with emotional dysregulation and initiate guanfacine for mood stabilisation alongside stimulant.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described episode — 3 weeks of elevated mood with decreased sleep NEED, increased goal-directed activity, and impulsive decisions — is a classic hypomanic episode. Decreased sleep need with maintained energy is the single most specific feature of bipolar mood elevation (not ADHD — ADHD patients have difficulty getting to sleep but still need sleep). AADPA CPP 5.6.2: If a psychotic or manic episode occurs during stimulant treatment, cease and review. The safer approach is psychiatric assessment before stimulants, not after an induced episode. Option A incorrectly attributes the episode to ADHD. Option B incorrectly excludes ADHD — both conditions can coexist. Option D (mood stabiliser without psychiatric input) is not appropriate for a GP to initiate unilaterally.</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Decreased sleep NEED with maintained energy = hypomanic episode = psychiatric review BEFORE stimulants.</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10</w:t>
      </w:r>
      <w:r>
        <w:rPr>
          <w:rFonts w:ascii="Arial" w:cs="Arial" w:eastAsia="Arial" w:hAnsi="Arial"/>
          <w:i/>
          <w:iCs/>
          <w:color w:val="888888"/>
          <w:sz w:val="20"/>
          <w:szCs w:val="20"/>
        </w:rPr>
        <w:t xml:space="preserve">  [Special Populations — Children]</w:t>
      </w:r>
    </w:p>
    <w:p>
      <w:pPr>
        <w:spacing w:after="80" w:before="40"/>
        <w:ind w:left="0"/>
      </w:pPr>
      <w:r>
        <w:rPr>
          <w:rFonts w:ascii="Arial" w:cs="Arial" w:eastAsia="Arial" w:hAnsi="Arial"/>
          <w:sz w:val="22"/>
          <w:szCs w:val="22"/>
        </w:rPr>
        <w:t xml:space="preserve">The parents of an 8-year-old boy with ADHD Combined Type request that medication be commenced before the end of school term in 2 weeks. The GP has confirmed the ADHD diagnosis, completed the pre-prescribing assessment, and obtained NSW S8 authority. Which of the following is the most appropriate clinical response?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Commence lisdexamfetamine 20mg immediately — the diagnosis is confirmed and the authority is obtained.</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Decline medication this term and review at the start of next term to ensure holidays do not confound the titration.</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Discuss timing considerations with the parents — commencing during school term allows teacher feedback during titration, but a 2-week window is adequate to start if parents understand the titration process.</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Commence methylphenidate IR at the lowest dose only, as lisdexamfetamine should not be first-line in primary school children.</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Require a further 4-week non-pharmacological trial before medication is appropriate.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Commencing stimulants during school term is often preferred because teachers can provide meaningful feedback on the titration response — valuable for optimising the dose. A 2-week window before holidays is adequate to begin titration at 20mg and assess initial response, provided parents understand: (1) this is a starting dose only; (2) titration continues; (3) teacher feedback is important. Option B unnecessarily delays treatment that has been appropriately assessed. Option A is broadly correct but incomplete — the explanation to parents about the titration process is clinically important. Option D is incorrect — LDX is a recommended first-line option for children (AADPA EBR 5.3.1). Option E: non-pharmacological trial is recommended alongside, not as a prerequisite.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Starting stimulants during school term is preferred — teacher feedback is a valuable titration tool.</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11</w:t>
      </w:r>
      <w:r>
        <w:rPr>
          <w:rFonts w:ascii="Arial" w:cs="Arial" w:eastAsia="Arial" w:hAnsi="Arial"/>
          <w:i/>
          <w:iCs/>
          <w:color w:val="888888"/>
          <w:sz w:val="20"/>
          <w:szCs w:val="20"/>
        </w:rPr>
        <w:t xml:space="preserve">  [Assessment — Collateral / AADPA Standards]</w:t>
      </w:r>
    </w:p>
    <w:p>
      <w:pPr>
        <w:spacing w:after="80" w:before="40"/>
        <w:ind w:left="0"/>
      </w:pPr>
      <w:r>
        <w:rPr>
          <w:rFonts w:ascii="Arial" w:cs="Arial" w:eastAsia="Arial" w:hAnsi="Arial"/>
          <w:sz w:val="22"/>
          <w:szCs w:val="22"/>
        </w:rPr>
        <w:t xml:space="preserve">A GP is assessing a 32-year-old woman for ADHD. She has completed a detailed self-report questionnaire and provides compelling verbal accounts of lifelong inattentive symptoms with significant functional impairment across occupational and relationship domains. Which single step would most significantly strengthen the diagnostic formulation according to AADPA standards?</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Administer the Conners Adult ADHD Rating Scales in addition to the ASRS.</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Obtain formal neuropsychological testing.</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Obtain collateral information from at least one person who has observed the patient across a significant domain of life.</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Arrange a sleep study to exclude obstructive sleep apnoea before finalising the diagnosis.</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Request records from any previous psychiatrist or psychologist who has assessed the patient.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CCR 2.1.5: 'Observations from more than one setting and reporter should be used to confirm if symptoms, function, and participation difficulties occur in more than one setting.' The single step that most strengthens the formulation is collateral from a second informant — partner, parent, sibling, or employer who has observed the patient across a significant domain. Option A adds a second scale but remains single-informant. Option B is not routinely required. Option D (sleep study) is a comorbidity consideration, not a diagnostic strengthening step. Option E (prior records) is useful but is secondary to obtaining current cross-situational collateral.</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Cross-situational collateral from a second informant is the most diagnostically strengthening single step.</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12</w:t>
      </w:r>
      <w:r>
        <w:rPr>
          <w:rFonts w:ascii="Arial" w:cs="Arial" w:eastAsia="Arial" w:hAnsi="Arial"/>
          <w:i/>
          <w:iCs/>
          <w:color w:val="888888"/>
          <w:sz w:val="20"/>
          <w:szCs w:val="20"/>
        </w:rPr>
        <w:t xml:space="preserve">  [Pharmacotherapy — Titration]</w:t>
      </w:r>
    </w:p>
    <w:p>
      <w:pPr>
        <w:spacing w:after="80" w:before="40"/>
        <w:ind w:left="0"/>
      </w:pPr>
      <w:r>
        <w:rPr>
          <w:rFonts w:ascii="Arial" w:cs="Arial" w:eastAsia="Arial" w:hAnsi="Arial"/>
          <w:sz w:val="22"/>
          <w:szCs w:val="22"/>
        </w:rPr>
        <w:t xml:space="preserve">A 24-year-old woman commences lisdexamfetamine 20mg for confirmed ADHD. At her 2-week review she reports 'some improvement' but finds concentration is adequate only for the first 4 hours of her workday. She has no significant adverse effects. What is the most appropriate next step?</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Maintain the current dose for a further 4 weeks — early partial response often improves with time.</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Increase the dose to 30mg — a partial response with good tolerability at 2 weeks warrants dose escalation.</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Switch to methylphenidate LA — partial response to LDX suggests amphetamine class may not be optimal.</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Add methylphenidate IR as an afternoon booster dose.</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Refer to psychiatry for medication optimisation.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CPP 5.1.6: The dose should be titrated against symptoms, level of functioning, and adverse effects until the optimal dose is identified. A partial response with good tolerability at 2 weeks is the clinical indication to increase the dose — this is the titration process. Staying at the same dose (A) when partial response and good tolerability are present is unnecessarily slow. Switching class (C) is premature after only one dose level of one agent. Adding MPH IR (D) adds complexity before titrating the primary agent. Psychiatric referral (E) is not indicated.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Partial response + good tolerability + 2 weeks elapsed = increase the dose. This is titration, not treatment resistance.</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13</w:t>
      </w:r>
      <w:r>
        <w:rPr>
          <w:rFonts w:ascii="Arial" w:cs="Arial" w:eastAsia="Arial" w:hAnsi="Arial"/>
          <w:i/>
          <w:iCs/>
          <w:color w:val="888888"/>
          <w:sz w:val="20"/>
          <w:szCs w:val="20"/>
        </w:rPr>
        <w:t xml:space="preserve">  [Documentation / Medicolegal]</w:t>
      </w:r>
    </w:p>
    <w:p>
      <w:pPr>
        <w:spacing w:after="80" w:before="40"/>
        <w:ind w:left="0"/>
      </w:pPr>
      <w:r>
        <w:rPr>
          <w:rFonts w:ascii="Arial" w:cs="Arial" w:eastAsia="Arial" w:hAnsi="Arial"/>
          <w:sz w:val="22"/>
          <w:szCs w:val="22"/>
        </w:rPr>
        <w:t xml:space="preserve">Following a complaint to the HCCC about an ADHD prescribing decision, a GP reviews their notes and discovers that the 3-monthly medication review note from 6 months ago reads only: 'ADHD review — continue Vyvanse 50mg. Next review 3/12.' The GP wishes to add a note clarifying that they did in fact conduct a comprehensive review at that appointment. What is the correct action?</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Add a supplementary note to the record dated today, documenting what was done at the 6-month-ago appointment.</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Do not alter the record in any way. Contact your MDO before taking any action.</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Amend the 6-month-old note to add the missing clinical details, documenting the amendment date.</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Delete the original note and replace it with a comprehensive account of the consultation.</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Add a note to the record explaining the original note was abbreviated due to time pressure.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first and most important action when a complaint is made is to contact your MDO (Medical Defence Organisation) BEFORE doing anything with the records. This is paramount. Retrospective alteration of records — however well-intentioned — constitutes falsification and is a separate offence. The inadequate note must be defended as it stands with MDO support. Option A (adding a backdated account) is a form of retrospective alteration. Option C (amending with amendment date) is better practice than A but still requires MDO guidance before proceeding. Option D (deleting and replacing) is severe falsification. Option E may be appropriate with MDO guidance but should not be done independently.</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NEVER alter clinical records after a complaint. MDO first — before ANY record action.</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14</w:t>
      </w:r>
      <w:r>
        <w:rPr>
          <w:rFonts w:ascii="Arial" w:cs="Arial" w:eastAsia="Arial" w:hAnsi="Arial"/>
          <w:i/>
          <w:iCs/>
          <w:color w:val="888888"/>
          <w:sz w:val="20"/>
          <w:szCs w:val="20"/>
        </w:rPr>
        <w:t xml:space="preserve">  [Special Populations — ADHD+ASD]</w:t>
      </w:r>
    </w:p>
    <w:p>
      <w:pPr>
        <w:spacing w:after="80" w:before="40"/>
        <w:ind w:left="0"/>
      </w:pPr>
      <w:r>
        <w:rPr>
          <w:rFonts w:ascii="Arial" w:cs="Arial" w:eastAsia="Arial" w:hAnsi="Arial"/>
          <w:sz w:val="22"/>
          <w:szCs w:val="22"/>
        </w:rPr>
        <w:t xml:space="preserve">A 19-year-old male with a dual diagnosis of ADHD Combined Type and ASD is commenced on lisdexamfetamine. He is started at the standard adult dose of 20mg daily. At his 2-week review, he reports significant irritability, increased rigidity in his daily routines, and emotional meltdowns, despite modest improvement in focus. What does this presentation indicate and what is the most appropriate response?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The irritability indicates a manic switch — cease stimulants and refer to psychiatry urgently.</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The dose is likely too high for this patient — reduce the dose and titrate more slowly per AADPA CCR 5.1.7.</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Switch from lisdexamfetamine to methylphenidate — amphetamines are less well-tolerated in ASD.</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Add an antipsychotic to manage the irritability and continue lisdexamfetamine at 20mg.</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The adverse effects are acceptable collateral — continue at current dose and reassess at 4 weeks.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CCR 5.1.7: Dose titration should be slower and monitoring more frequent in ASD. ASD patients have altered DA/NA receptor sensitivity and a narrower therapeutic window. The presentation — irritability, increased rigidity, emotional lability — is the characteristic ASD-specific adverse effect profile from an excessive stimulant dose. The 20mg starting dose is standard for neurotypical adults but may be too high for this patient. The correct response is dose reduction (e.g., 10mg) and restarting the titration more slowly. A manic switch (A) is possible but the presentation is more consistent with ASD-specific stimulant sensitivity. Switching to MPH (C) may be appropriate eventually but dose reduction of the current agent is the first step. Adding antipsychotic (D) adds complexity before trying dose reduction.</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Irritability + rigidity + emotional lability in ASD on stimulants = dose too high, not mania switch.</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15</w:t>
      </w:r>
      <w:r>
        <w:rPr>
          <w:rFonts w:ascii="Arial" w:cs="Arial" w:eastAsia="Arial" w:hAnsi="Arial"/>
          <w:i/>
          <w:iCs/>
          <w:color w:val="888888"/>
          <w:sz w:val="20"/>
          <w:szCs w:val="20"/>
        </w:rPr>
        <w:t xml:space="preserve">  [Diagnosis — ADHD vs PTSD]</w:t>
      </w:r>
    </w:p>
    <w:p>
      <w:pPr>
        <w:spacing w:after="80" w:before="40"/>
        <w:ind w:left="0"/>
      </w:pPr>
      <w:r>
        <w:rPr>
          <w:rFonts w:ascii="Arial" w:cs="Arial" w:eastAsia="Arial" w:hAnsi="Arial"/>
          <w:sz w:val="22"/>
          <w:szCs w:val="22"/>
        </w:rPr>
        <w:t xml:space="preserve">A 28-year-old woman presents for ADHD assessment. She experienced a traumatic assault at age 25 and was diagnosed with PTSD. She is currently in trauma-focused therapy. On systematic review, she reports: lifelong difficulty sustaining concentration since primary school; losing items chronically since childhood; and inability to initiate tasks. She also reports post-trauma nightmares, hypervigilance specifically in public places, and intrusive memories. What is the most accurate diagnostic conclusion?</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PTSD alone explains the entire presentation — ADHD assessment should be deferred until PTSD is resolved.</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ADHD alone explains the entire presentation — PTSD features are a misattribution of ADHD emotional dysregulation.</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The symptoms are indistinguishable and a diagnosis cannot be made until PTSD treatment is complete.</w:t>
      </w:r>
    </w:p>
    <w:p>
      <w:pPr>
        <w:spacing w:after="40" w:before="40"/>
        <w:ind w:left="400"/>
      </w:pPr>
      <w:r>
        <w:rPr>
          <w:rFonts w:ascii="Arial" w:cs="Arial" w:eastAsia="Arial" w:hAnsi="Arial"/>
          <w:b/>
          <w:bCs/>
          <w:sz w:val="22"/>
          <w:szCs w:val="22"/>
        </w:rPr>
        <w:t xml:space="preserve">D.  </w:t>
      </w:r>
      <w:r>
        <w:rPr>
          <w:rFonts w:ascii="Arial" w:cs="Arial" w:eastAsia="Arial" w:hAnsi="Arial"/>
          <w:b/>
          <w:bCs/>
          <w:color w:val="0F6E56"/>
          <w:sz w:val="22"/>
          <w:szCs w:val="22"/>
        </w:rPr>
        <w:t xml:space="preserve">Both ADHD and PTSD may be present concurrently — ADHD features that predate the trauma are developmentally consistent, while post-trauma features are consistent with PTSD.</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ADHD should be diagnosed but medication should not be initiated until PTSD has fully remitted.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ADHD and PTSD commonly co-occur and neither excludes the other. The timeline is the key diagnostic tool: ADHD features (concentration, losing items, task initiation) clearly predate the trauma (from primary school). Post-trauma features (nightmares, hypervigilance in public, intrusive memories) are consistent with PTSD. The co-occurrence must be identified and both treated. Option A incorrectly defers ADHD assessment (ADHD was present before the trauma). Option B incorrectly dismisses PTSD features as ADHD. Option C incorrectly states diagnosis cannot be made. Option E partially correct but overly restrictive — ADHD treatment can be initiated alongside PTSD treatment (with non-stimulant preference if PTSD is active).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The timeline is pathognomonic: ADHD features predating the trauma = ADHD present independent of PTSD.</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16</w:t>
      </w:r>
      <w:r>
        <w:rPr>
          <w:rFonts w:ascii="Arial" w:cs="Arial" w:eastAsia="Arial" w:hAnsi="Arial"/>
          <w:i/>
          <w:iCs/>
          <w:color w:val="888888"/>
          <w:sz w:val="20"/>
          <w:szCs w:val="20"/>
        </w:rPr>
        <w:t xml:space="preserve">  [Pharmacotherapy — Non-Stimulant]</w:t>
      </w:r>
    </w:p>
    <w:p>
      <w:pPr>
        <w:spacing w:after="80" w:before="40"/>
        <w:ind w:left="0"/>
      </w:pPr>
      <w:r>
        <w:rPr>
          <w:rFonts w:ascii="Arial" w:cs="Arial" w:eastAsia="Arial" w:hAnsi="Arial"/>
          <w:sz w:val="22"/>
          <w:szCs w:val="22"/>
        </w:rPr>
        <w:t xml:space="preserve">A 23-year-old woman with confirmed ADHD Combined Type, moderate severity, is commenced on atomoxetine 40mg daily. At her 4-week review she reports no improvement. Her GP considers increasing the dose. What is the most important clinical consideration?</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Switch to a stimulant — atomoxetine is ineffective for ADHD.</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Increase to 80mg — 4 weeks is adequate time to assess the response to starting dose.</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Atomoxetine requires 4–8 weeks at therapeutic dose to reach full effect — 4 weeks at 40mg is early in the therapeutic course; continue and increase per protocol.</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Add lisdexamfetamine as an adjunct while continuing atomoxetine.</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Refer to psychiatry — non-response to atomoxetine at 4 weeks suggests diagnostic uncertainty.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Atomoxetine is a selective noradrenaline reuptake inhibitor with a delayed therapeutic onset of 4–8 weeks from initiation. Unlike stimulants (which work from the first dose), atomoxetine requires sustained daily dosing to build therapeutic effect. At 4 weeks on the starting dose of 40mg, the patient is still in the early therapeutic phase. The correct action is to confirm adequate dosing (40mg is below the therapeutic target of 60–80mg in most adults) and continue titrating. Option A is premature — 4 weeks on starting dose is insufficient to declare atomoxetine failure. Option B is partially correct in direction but the rationale matters. Option D adds complexity prematurely. Option E is not indicated.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Atomoxetine takes 4–8 weeks to reach therapeutic effect — do not declare failure at 4 weeks on starting dose.</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17</w:t>
      </w:r>
      <w:r>
        <w:rPr>
          <w:rFonts w:ascii="Arial" w:cs="Arial" w:eastAsia="Arial" w:hAnsi="Arial"/>
          <w:i/>
          <w:iCs/>
          <w:color w:val="888888"/>
          <w:sz w:val="20"/>
          <w:szCs w:val="20"/>
        </w:rPr>
        <w:t xml:space="preserve">  [Assessment — ADHD in Aboriginal Patients]</w:t>
      </w:r>
    </w:p>
    <w:p>
      <w:pPr>
        <w:spacing w:after="80" w:before="40"/>
        <w:ind w:left="0"/>
      </w:pPr>
      <w:r>
        <w:rPr>
          <w:rFonts w:ascii="Arial" w:cs="Arial" w:eastAsia="Arial" w:hAnsi="Arial"/>
          <w:sz w:val="22"/>
          <w:szCs w:val="22"/>
        </w:rPr>
        <w:t xml:space="preserve">A GP is assessing a 12-year-old Aboriginal girl for ADHD. Her teacher has completed a SNAP-IV rating scale which scores above threshold for inattention. Her grandmother, who is her primary carer, describes long-standing difficulties with concentration and task completion. The girl maintains minimal eye contact throughout the consultation. What is the most appropriate interpretation of the rating scale score?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The SNAP-IV score above threshold confirms ADHD — proceed to diagnostic formulation.</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The SNAP-IV score should be used as a primary diagnostic instrument alongside the clinical interview.</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The SNAP-IV score is a valuable adjunct but should be interpreted with caution — rating scales were not developed or validated in Aboriginal and Torres Strait Islander populations.</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Rating scales are unreliable in all paediatric patients — rely on clinical interview alone.</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The minimal eye contact and rating scale result together confirm ADHD diagnosis.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CPP 6.2.1: Clinicians should be aware that ADHD symptom questionnaires and other tools used for screening and assessing ADHD may not be valid in Aboriginal and Torres Strait Islander peoples and should be used with caution. The rating scale is a useful clinical adjunct but cannot be used as a primary diagnostic instrument in this population. The cultural context — norms for eye contact (avoiding sustained eye contact is respectful in many Aboriginal communities, not inattentive), activity level, and educational engagement — must be incorporated into interpretation. Options A and B incorrectly treat the scale score as confirmatory or primary. Option D is too broad — rating scales are valid in most paediatric populations outside this specific context. Option E incorrectly combines a culturally normative behaviour (minimal eye contact) with the scale score to reach a diagnosis.</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Minimal eye contact in an Aboriginal patient = culturally respectful, NOT an ADHD symptom.</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18</w:t>
      </w:r>
      <w:r>
        <w:rPr>
          <w:rFonts w:ascii="Arial" w:cs="Arial" w:eastAsia="Arial" w:hAnsi="Arial"/>
          <w:i/>
          <w:iCs/>
          <w:color w:val="888888"/>
          <w:sz w:val="20"/>
          <w:szCs w:val="20"/>
        </w:rPr>
        <w:t xml:space="preserve">  [Pharmacotherapy — Cardiovascular Monitoring]</w:t>
      </w:r>
    </w:p>
    <w:p>
      <w:pPr>
        <w:spacing w:after="80" w:before="40"/>
        <w:ind w:left="0"/>
      </w:pPr>
      <w:r>
        <w:rPr>
          <w:rFonts w:ascii="Arial" w:cs="Arial" w:eastAsia="Arial" w:hAnsi="Arial"/>
          <w:sz w:val="22"/>
          <w:szCs w:val="22"/>
        </w:rPr>
        <w:t xml:space="preserve">A 10-year-old boy on methylphenidate LA 30mg has his blood pressure measured at a routine review: 118/78 mmHg. His height is 142cm. According to AADPA guidelines, what is the most appropriate clinical response?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This blood pressure is elevated and stimulant medication should be immediately ceased.</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Refer immediately to a cardiologist.</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Refer to an appropriate physician as blood pressure appears to be above age-based normal values for this child's age and height.</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Continue current medication — this blood pressure is within normal adult range.</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Increase the dose at this visit as planned — blood pressure is acceptable.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CCR 5.1.4: People with ADHD should be referred to an appropriate physician if blood pressure is consistently above age-based normal values, or for children and adolescents above the 95th centile for age and height. BP interpretation in children requires age- and height-adjusted percentile tables, not adult reference ranges. For a 10-year-old male at 142cm, 118/78 mmHg is likely at or above the 95th centile and warrants physician review. Option A (ceasing medication) is premature — referral first. Option B (cardiologist) is too specialised — an appropriate physician (paediatrician) is correct. Option D incorrectly applies adult BP norms to a paediatric patient. Option E is incorrect — dose increase with elevated BP is not appropriate.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Never apply adult BP reference ranges to children — always use age and height percentile tables.</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19</w:t>
      </w:r>
      <w:r>
        <w:rPr>
          <w:rFonts w:ascii="Arial" w:cs="Arial" w:eastAsia="Arial" w:hAnsi="Arial"/>
          <w:i/>
          <w:iCs/>
          <w:color w:val="888888"/>
          <w:sz w:val="20"/>
          <w:szCs w:val="20"/>
        </w:rPr>
        <w:t xml:space="preserve">  [Diagnosis — Functional Impairment]</w:t>
      </w:r>
    </w:p>
    <w:p>
      <w:pPr>
        <w:spacing w:after="80" w:before="40"/>
        <w:ind w:left="0"/>
      </w:pPr>
      <w:r>
        <w:rPr>
          <w:rFonts w:ascii="Arial" w:cs="Arial" w:eastAsia="Arial" w:hAnsi="Arial"/>
          <w:sz w:val="22"/>
          <w:szCs w:val="22"/>
        </w:rPr>
        <w:t xml:space="preserve">A 40-year-old man scores 18/24 on the ASRS and reports lifelong attention difficulties. He has a stable, fulfilling career, satisfying relationships, and no significant life impairment. He reports his difficulties are 'just a personality quirk — I'm a bit absent-minded.' Which of the following best applies?</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Diagnose ADHD and initiate treatment — the ASRS score exceeds threshold.</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ADHD cannot be diagnosed in the absence of clinically significant impairment — further assessment is required to determine whether Criterion D is met.</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Diagnose ADHD with mild severity — impairment is not required for diagnosis.</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The symptoms represent a normal variation in attention — no further assessment needed.</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Refer to neuropsychology to quantify cognitive deficits before making any diagnosis.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DSM-5 Criterion D requires 'clear evidence that the symptoms interfere with, or reduce the quality of, social, academic, or occupational functioning.' AADPA CCR 2.1.3 requires that symptoms 'cause clinically significant psychological, social and/or educational or occupational impairment.' Without documented functional impairment across relevant domains, ADHD cannot be diagnosed regardless of symptom count or rating scale score. Further assessment is required to thoroughly explore all functional domains — the patient's self-report of 'no impairment' warrants careful clinical exploration (some patients compensate heavily and underreport impairment). Options A and C are incorrect — impairment is a required diagnostic criterion. Option D closes assessment prematurely.</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Symptoms without documented impairment do not constitute ADHD disorder — criterion D is mandatory.</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20</w:t>
      </w:r>
      <w:r>
        <w:rPr>
          <w:rFonts w:ascii="Arial" w:cs="Arial" w:eastAsia="Arial" w:hAnsi="Arial"/>
          <w:i/>
          <w:iCs/>
          <w:color w:val="888888"/>
          <w:sz w:val="20"/>
          <w:szCs w:val="20"/>
        </w:rPr>
        <w:t xml:space="preserve">  [Pharmacotherapy — Diversion Risk]</w:t>
      </w:r>
    </w:p>
    <w:p>
      <w:pPr>
        <w:spacing w:after="80" w:before="40"/>
        <w:ind w:left="0"/>
      </w:pPr>
      <w:r>
        <w:rPr>
          <w:rFonts w:ascii="Arial" w:cs="Arial" w:eastAsia="Arial" w:hAnsi="Arial"/>
          <w:sz w:val="22"/>
          <w:szCs w:val="22"/>
        </w:rPr>
        <w:t xml:space="preserve">A 22-year-old university student with confirmed ADHD requests dexamfetamine immediate-release 5mg three times daily, stating he finds it 'more effective' than the lisdexamfetamine he was previously on. He reports good academic response to dexamfetamine from a friend who gave him some to try. What is the most appropriate clinical response?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Prescribe dexamfetamine IR as requested — patient choice in medication selection should be respected.</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Decline dexamfetamine IR; continue or recommence lisdexamfetamine; document diversion concern; provide clinical explanation.</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Prescribe dexamfetamine IR with a weekly supply limit to reduce diversion risk.</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Report the patient to police for obtaining stimulants illegally from a friend.</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Prescribe dexamfetamine IR but reduce the dose to 2.5mg TDS to minimise misuse potential.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This presentation raises significant diversion concerns: (1) the patient has used a friend's stimulants — indicating access to illicit stimulants and possible diversion network; (2) specific request for the highest-diversion-risk formulation (dex IR) over LDX; (3) the basis for the preference is experience with diverted medication, not therapeutic trial. AADPA CPP 5.6.5: Clinicians should not offer immediate-release stimulants that can be easily injected or inhaled if there is a risk of stimulant misuse or diversion. LDX is the appropriate agent. The diversion concern must be documented. Police reporting (D) is not indicated for a patient disclosing previous personal use of a friend's medication.</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Specific request for IR formulation over LA, based on illicit trial = significant diversion flag. LDX only.</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21</w:t>
      </w:r>
      <w:r>
        <w:rPr>
          <w:rFonts w:ascii="Arial" w:cs="Arial" w:eastAsia="Arial" w:hAnsi="Arial"/>
          <w:i/>
          <w:iCs/>
          <w:color w:val="888888"/>
          <w:sz w:val="20"/>
          <w:szCs w:val="20"/>
        </w:rPr>
        <w:t xml:space="preserve">  [Telehealth / Medicolegal]</w:t>
      </w:r>
    </w:p>
    <w:p>
      <w:pPr>
        <w:spacing w:after="80" w:before="40"/>
        <w:ind w:left="0"/>
      </w:pPr>
      <w:r>
        <w:rPr>
          <w:rFonts w:ascii="Arial" w:cs="Arial" w:eastAsia="Arial" w:hAnsi="Arial"/>
          <w:sz w:val="22"/>
          <w:szCs w:val="22"/>
        </w:rPr>
        <w:t xml:space="preserve">A GP conducts a new patient ADHD assessment entirely via telehealth video. The patient is a 35-year-old male with no prior ADHD assessment. Based on the video consultation, the GP confirms ADHD and immediately issues an LDX 20mg prescription via telehealth. No in-person consultation has occurred. What is the most significant clinical and medicolegal deficiency in this approach?</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LDX is not permitted to be prescribed via telehealth in NSW.</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An authority to prescribe S8 medications cannot be used for telehealth consultations.</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A physical examination including cardiovascular baseline assessment (BP, HR) has not been conducted, and ADHD diagnosis based solely on telehealth assessment without physical examination is clinically substandard.</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The patient has not been seen by a psychiatrist before GP stimulant prescribing.</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A cognitive assessment tool such as the QbTest has not been administered.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Initiating stimulant medication requires a pre-prescribing assessment including cardiovascular assessment — baseline BP and HR are specifically required by AADPA CPP 5.1.2. This cannot be obtained via telehealth. Additionally, a full ADHD assessment via telehealth alone, without any in-person component, is considered clinically substandard because physical and non-verbal examination are part of the assessment process. AHPRA and NSW Health have indicated concerns about telehealth-only ADHD diagnosis and prescribing. Option A is incorrect — LDX is not telehealth-prohibited by category. Option B is incorrect — authority can be used for telehealth. Option D is incorrect — endorsed GPs do not require psychiatrist input. Option E is incorrect — cognitive tools are not routinely required.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Stimulant initiation always requires at least one in-person assessment for cardiovascular baseline — telehealth cannot substitute.</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22</w:t>
      </w:r>
      <w:r>
        <w:rPr>
          <w:rFonts w:ascii="Arial" w:cs="Arial" w:eastAsia="Arial" w:hAnsi="Arial"/>
          <w:i/>
          <w:iCs/>
          <w:color w:val="888888"/>
          <w:sz w:val="20"/>
          <w:szCs w:val="20"/>
        </w:rPr>
        <w:t xml:space="preserve">  [Special Populations — Adolescent Consent]</w:t>
      </w:r>
    </w:p>
    <w:p>
      <w:pPr>
        <w:spacing w:after="80" w:before="40"/>
        <w:ind w:left="0"/>
      </w:pPr>
      <w:r>
        <w:rPr>
          <w:rFonts w:ascii="Arial" w:cs="Arial" w:eastAsia="Arial" w:hAnsi="Arial"/>
          <w:sz w:val="22"/>
          <w:szCs w:val="22"/>
        </w:rPr>
        <w:t xml:space="preserve">A 16-year-old girl presents requesting ADHD assessment without parental knowledge. She is articulate, clearly understands the assessment process, and provides a coherent clinical history with significant functional impairment. Her parents are estranged and she is independent. Which is the most appropriate approach?</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Refuse assessment — parental consent is legally required for all medical assessments in patients under 18.</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Assess Gillick competence; if the adolescent demonstrates sufficient maturity and understanding, her own consent is legally sufficient for the assessment.</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Conduct a brief assessment only and delay diagnostic disclosure until parental consent can be obtained.</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Diagnose ADHD if appropriate but refuse to prescribe S8 medications without parental consent.</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Refer to a paediatrician — GP ADHD assessment is not appropriate for patients under 18 without parental involvement.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Under Australian law, the Gillick competence principle (supported by Marion's Case [1992] HCA 15) holds that a minor who demonstrates sufficient maturity and understanding to appreciate the nature, purpose, and consequences of a proposed procedure may provide their own valid consent. At 16 with clear articulacy and independent circumstances, this patient should have her Gillick competence formally assessed and documented. If competent, her own consent is legally sufficient for the assessment. Option A incorrectly states parental consent is always required for under-18s. Options C and D partially address some elements but are overly restrictive. Option E incorrectly limits GP scope.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Gillick-competent adolescent = own consent is legally sufficient for assessment and most treatments.</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23</w:t>
      </w:r>
      <w:r>
        <w:rPr>
          <w:rFonts w:ascii="Arial" w:cs="Arial" w:eastAsia="Arial" w:hAnsi="Arial"/>
          <w:i/>
          <w:iCs/>
          <w:color w:val="888888"/>
          <w:sz w:val="20"/>
          <w:szCs w:val="20"/>
        </w:rPr>
        <w:t xml:space="preserve">  [Comorbidities — Sleep]</w:t>
      </w:r>
    </w:p>
    <w:p>
      <w:pPr>
        <w:spacing w:after="80" w:before="40"/>
        <w:ind w:left="0"/>
      </w:pPr>
      <w:r>
        <w:rPr>
          <w:rFonts w:ascii="Arial" w:cs="Arial" w:eastAsia="Arial" w:hAnsi="Arial"/>
          <w:sz w:val="22"/>
          <w:szCs w:val="22"/>
        </w:rPr>
        <w:t xml:space="preserve">A 48-year-old man with ADHD on lisdexamfetamine 50mg presents for annual review. He reports increasing daytime fatigue, non-restorative sleep, and difficulty concentrating despite his medication 'always working well before.' His BMI is 34 and his wife reports he snores loudly with occasional apnoeic episodes. His STOP-BANG score is 5/8. What is the most appropriate immediate clinical action?</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Increase LDX to 60mg — his ADHD symptoms have deteriorated and dose escalation is warranted.</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Switch to dexamfetamine — LDX tolerance may have developed with long-term use.</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Order a polysomnography (sleep study) and hold any medication dose changes pending the result.</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Add modafinil to address the daytime fatigue while maintaining current LDX.</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Refer to psychiatry for assessment of treatment-resistant ADHD.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This is the sleep-first clinical rule in action. The triad of BMI &gt;30 + loud snoring + apnoeic episodes + STOP-BANG 5/8 indicates high-risk for moderate-severe OSA. OSA produces inattention, executive dysfunction, and cognitive fog clinically indistinguishable from ADHD deterioration. Increasing LDX without first treating OSA would be ineffective if OSA is the primary driver of the deterioration, and may increase cardiovascular risk. The correct approach is to investigate OSA first (polysomnography) and reassess ADHD medication effectiveness after OSA treatment. Option A escalates without investigating cause. Option B (switching) is not indicated. Option D adds a second stimulant-class drug without addressing the cause. Option E is not indicated.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OSA mimics ADHD deterioration — always apply the sleep-first rule before escalating stimulant dose.</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24</w:t>
      </w:r>
      <w:r>
        <w:rPr>
          <w:rFonts w:ascii="Arial" w:cs="Arial" w:eastAsia="Arial" w:hAnsi="Arial"/>
          <w:i/>
          <w:iCs/>
          <w:color w:val="888888"/>
          <w:sz w:val="20"/>
          <w:szCs w:val="20"/>
        </w:rPr>
        <w:t xml:space="preserve">  [Pharmacotherapy — Titration Problem]</w:t>
      </w:r>
    </w:p>
    <w:p>
      <w:pPr>
        <w:spacing w:after="80" w:before="40"/>
        <w:ind w:left="0"/>
      </w:pPr>
      <w:r>
        <w:rPr>
          <w:rFonts w:ascii="Arial" w:cs="Arial" w:eastAsia="Arial" w:hAnsi="Arial"/>
          <w:sz w:val="22"/>
          <w:szCs w:val="22"/>
        </w:rPr>
        <w:t xml:space="preserve">A 14-year-old girl with ADHD on lisdexamfetamine 30mg reports that her afternoon homework period (4–7pm) is extremely difficult. She struggles significantly with focus and emotional control in the afternoons despite good morning school coverage from the medication. Her parents and teacher confirm excellent school performance during the day. What is the most likely explanation and most appropriate management?</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The dose is inadequate — increase to 40mg to extend coverage.</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Stimulant rebound — the LDX plasma level falls in the afternoon producing transient under-treatment below baseline; consider switching to dexamfetamine IR which has a longer duration.</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Stimulant rebound — address by reviewing dose timing, considering switch to a smoother formulation, or adding a small IR booster or evening guanfacine.</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She has developed tolerance to LDX — switch to methylphenidate LA.</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The homework difficulties are anxiety-related — refer to psychology for CBT.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pattern — good daytime coverage with afternoon/evening deterioration — is characteristic of stimulant rebound. LDX has a 12–14 hour duration; the rebound typically occurs 12-14 hours after morning dosing as plasma levels fall. The deterioration below baseline (not just return to baseline) is the characteristic feature. Management options: (1) review LDX dose timing (earlier morning dose); (2) add a small dexamfetamine IR booster dose at 2–3pm; (3) consider evening guanfacine to dampen the rebound response. Option A (increasing LDX) may extend the main dose but doesn't address the pharmacokinetic mechanism of rebound and risks worsening insomnia. Option B incorrectly suggests dexamfetamine IR has longer duration than LDX — it does not. Option D (tolerance) is not the mechanism. Option E is plausible but premature without exploring the pharmacokinetic explanation.</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Afternoon deterioration after good AM coverage = stimulant rebound. Manage the plasma curve, not the dose.</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25</w:t>
      </w:r>
      <w:r>
        <w:rPr>
          <w:rFonts w:ascii="Arial" w:cs="Arial" w:eastAsia="Arial" w:hAnsi="Arial"/>
          <w:i/>
          <w:iCs/>
          <w:color w:val="888888"/>
          <w:sz w:val="20"/>
          <w:szCs w:val="20"/>
        </w:rPr>
        <w:t xml:space="preserve">  [Documentation — Consent]</w:t>
      </w:r>
    </w:p>
    <w:p>
      <w:pPr>
        <w:spacing w:after="80" w:before="40"/>
        <w:ind w:left="0"/>
      </w:pPr>
      <w:r>
        <w:rPr>
          <w:rFonts w:ascii="Arial" w:cs="Arial" w:eastAsia="Arial" w:hAnsi="Arial"/>
          <w:sz w:val="22"/>
          <w:szCs w:val="22"/>
        </w:rPr>
        <w:t xml:space="preserve">A GP has prescribed lisdexamfetamine for a 29-year-old male with confirmed ADHD. The consultation note from the prescribing appointment reads: 'ADHD. Vyvanse 20mg commenced. Consent given.' According to NSW medicolegal standards, which element of informed consent documentation is MOST critically absent?</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The patient's signature on a formal consent form.</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Documentation of the patient's Medicare number on the consent record.</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Documentation of what specific information was provided — diagnosis explanation, treatment options, S8 nature, adverse effects, monitoring requirements, diversion obligations, and driving implications.</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A witness signature confirming the patient was present for the consent discussion.</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Reference to the patient's GP Management Plan or GPCCMP.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Valid informed consent documentation must demonstrate that the patient received specific information sufficient to make an autonomous decision. 'Consent given' tells a medicolegal reviewer nothing about what information was actually provided. The minimum required documentation includes: diagnosis explained; treatment options discussed (including non-pharmacological); S8 nature of medication; specific adverse effects; monitoring requirements; driving implications; diversion obligations. A patient signature (A) is good practice but is evidence of consent, not a substitute for documenting the content of the consent discussion. The other options are not consent documentation requirements.</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'Consent given' without specifying what information was given is not defensible consent documentation.</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pStyle w:val="Heading1"/>
        <w:spacing w:after="200" w:before="480"/>
      </w:pPr>
      <w:r>
        <w:rPr>
          <w:rFonts w:ascii="Arial" w:cs="Arial" w:eastAsia="Arial" w:hAnsi="Arial"/>
          <w:b/>
          <w:bCs/>
          <w:color w:val="1B3A6B"/>
          <w:sz w:val="36"/>
          <w:szCs w:val="36"/>
        </w:rPr>
        <w:t xml:space="preserve">Part B — Extended SBA / Clinical Reasoning Questions (Q26–Q50)</w:t>
      </w:r>
    </w:p>
    <w:p>
      <w:pPr>
        <w:spacing w:after="80" w:before="80"/>
        <w:jc w:val="both"/>
      </w:pPr>
      <w:r>
        <w:rPr>
          <w:rFonts w:ascii="Arial" w:cs="Arial" w:eastAsia="Arial" w:hAnsi="Arial"/>
          <w:sz w:val="22"/>
          <w:szCs w:val="22"/>
        </w:rPr>
        <w:t xml:space="preserve">Applied clinical reasoning: complex scenarios integrating diagnosis, comorbidity management, prescribing decisions, documentation, risk assessment, and special populations. Each question presents a clinical vignette requiring multi-step reasoning.</w:t>
      </w:r>
    </w:p>
    <w:p>
      <w:pPr>
        <w:spacing w:after="60" w:before="60"/>
      </w:pPr>
      <w:r>
        <w:t xml:space="preserve"/>
      </w:r>
    </w:p>
    <w:p>
      <w:pPr>
        <w:spacing w:after="80" w:before="160"/>
      </w:pPr>
      <w:r>
        <w:rPr>
          <w:rFonts w:ascii="Arial" w:cs="Arial" w:eastAsia="Arial" w:hAnsi="Arial"/>
          <w:b/>
          <w:bCs/>
          <w:color w:val="1B3A6B"/>
          <w:sz w:val="22"/>
          <w:szCs w:val="22"/>
        </w:rPr>
        <w:t xml:space="preserve">Question 26</w:t>
      </w:r>
      <w:r>
        <w:rPr>
          <w:rFonts w:ascii="Arial" w:cs="Arial" w:eastAsia="Arial" w:hAnsi="Arial"/>
          <w:i/>
          <w:iCs/>
          <w:color w:val="888888"/>
          <w:sz w:val="20"/>
          <w:szCs w:val="20"/>
        </w:rPr>
        <w:t xml:space="preserve">  [Clinical Reasoning — Complex Comorbidity]</w:t>
      </w:r>
    </w:p>
    <w:p>
      <w:pPr>
        <w:spacing w:after="80" w:before="40"/>
        <w:ind w:left="0"/>
      </w:pPr>
      <w:r>
        <w:rPr>
          <w:rFonts w:ascii="Arial" w:cs="Arial" w:eastAsia="Arial" w:hAnsi="Arial"/>
          <w:sz w:val="22"/>
          <w:szCs w:val="22"/>
        </w:rPr>
        <w:t xml:space="preserve">A 36-year-old woman with confirmed ADHD Combined Type, moderate severity, is commenced on lisdexamfetamine 20mg. She also has a history of panic disorder (currently well-controlled on sertraline 100mg) and a remote alcohol use disorder (5 years in remission). Two weeks after commencing LDX 20mg, she reports that her panic attacks have returned — she has had two in the past week. Prior to LDX, she had been panic-free for 18 months. What is the most appropriate sequence of management?</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Immediately cease lisdexamfetamine — stimulants are contraindicated in panic disorder.</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Reduce lisdexamfetamine to 10mg if available or half the 20mg capsule; review in 1 week; if panic attacks resolve, slowly re-titrate; monitor carefully at each step.</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Switch to atomoxetine — it is the only ADHD agent safe in panic disorder.</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Increase sertraline to 150mg to cover the medication-induced anxiety before continuing LDX titration.</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Continue LDX 20mg and refer to psychology for CBT for panic disorder — stimulants do not cause panic attacks.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Stimulants can precipitate or worsen anxiety and panic in susceptible patients through sympathomimetic activity. The temporal relationship (panic attacks returning 2 weeks after LDX commencement, after 18 months free) strongly suggests a stimulant contribution. The first step is dose reduction, not cessation — LDX 10mg is available or the powder from the capsule can be divided. If panic attacks resolve at lower dose: very slow re-titration with careful monitoring. If they persist at the lowest tolerable dose: switch to atomoxetine. Immediate cessation (A) discards a potentially effective treatment — dose adjustment first. Atomoxetine (C) may become appropriate but dose reduction should be tried first. Increasing sertraline (D) treats the consequence rather than the cause. Continuing unchanged (E) ignores a clear adverse effect.</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Stimulant-precipitated anxiety: reduce dose first, do not immediately cease — titrate carefully.</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27</w:t>
      </w:r>
      <w:r>
        <w:rPr>
          <w:rFonts w:ascii="Arial" w:cs="Arial" w:eastAsia="Arial" w:hAnsi="Arial"/>
          <w:i/>
          <w:iCs/>
          <w:color w:val="888888"/>
          <w:sz w:val="20"/>
          <w:szCs w:val="20"/>
        </w:rPr>
        <w:t xml:space="preserve">  [Clinical Reasoning — Prescribing Safety]</w:t>
      </w:r>
    </w:p>
    <w:p>
      <w:pPr>
        <w:spacing w:after="80" w:before="40"/>
        <w:ind w:left="0"/>
      </w:pPr>
      <w:r>
        <w:rPr>
          <w:rFonts w:ascii="Arial" w:cs="Arial" w:eastAsia="Arial" w:hAnsi="Arial"/>
          <w:sz w:val="22"/>
          <w:szCs w:val="22"/>
        </w:rPr>
        <w:t xml:space="preserve">A 55-year-old woman with established ADHD on atomoxetine 80mg presents with new-onset palpitations, chest tightness on exertion, and two episodes of near-syncope in the past month. Her resting BP is 148/94, HR 96. She has been on atomoxetine for 3 years. What is the most appropriate immediate action?</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Increase atomoxetine monitoring frequency and check ECG at next scheduled review in 4 weeks.</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Add propranolol to manage the cardiovascular symptoms while continuing atomoxetine.</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Cease atomoxetine immediately and refer for urgent cardiology assessment.</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Switch from atomoxetine to guanfacine — it has a more favourable cardiovascular profile.</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Reduce atomoxetine dose and monitor BP weekly.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This patient presents with symptoms that meet multiple AADPA CCR 5.1.3 criteria for urgent cardiology referral: chest pain/tightness on exertion, near-syncope (fainting on exertion equivalent), palpitations, and hypertension above normal values. These are red flag symptoms regardless of the agent. Atomoxetine also raises BP and HR and may be contributing. Continuing without urgent investigation is clinically dangerous. Ceasing the medication and obtaining urgent cardiology assessment is the correct action. The palpitations, exertional chest tightness, and near-syncope must be excluded as serious cardiac pathology before any ADHD medication is recommenced. Options A, B, D, and E all defer appropriate urgent investigation.</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Chest pain on exertion + near-syncope + elevated BP/HR = urgent cardiology referral, cease ADHD medication.</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28</w:t>
      </w:r>
      <w:r>
        <w:rPr>
          <w:rFonts w:ascii="Arial" w:cs="Arial" w:eastAsia="Arial" w:hAnsi="Arial"/>
          <w:i/>
          <w:iCs/>
          <w:color w:val="888888"/>
          <w:sz w:val="20"/>
          <w:szCs w:val="20"/>
        </w:rPr>
        <w:t xml:space="preserve">  [Clinical Reasoning — Documentation]</w:t>
      </w:r>
    </w:p>
    <w:p>
      <w:pPr>
        <w:spacing w:after="80" w:before="40"/>
        <w:ind w:left="0"/>
      </w:pPr>
      <w:r>
        <w:rPr>
          <w:rFonts w:ascii="Arial" w:cs="Arial" w:eastAsia="Arial" w:hAnsi="Arial"/>
          <w:sz w:val="22"/>
          <w:szCs w:val="22"/>
        </w:rPr>
        <w:t xml:space="preserve">During a medication review for a 31-year-old male on lisdexamfetamine 50mg, the GP discovers that the previous prescribing GP (now retired) never applied for a patient-specific NSW Health S8 authority for this patient. All prescriptions issued over the past 2 years have used the retired GP's authority number. What is the correct immediate action?</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Continue prescribing under the retired GP's authority number until the patient can be transferred to a new prescriber.</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Cease lisdexamfetamine immediately until a new authority can be obtained.</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Contact NSW Health Pharmaceutical Services, explain the situation, and apply for your own patient-specific authority before issuing any further prescriptions.</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Issue a bridge prescription using a colleague's authority number while arranging your own.</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Prescribe the next supply under your own provider number without an authority, noting the oversight in the patient's record.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S8 authority is patient-specific and prescriber-specific — it cannot be transferred from a retired GP or used by a different prescriber. Using the retired GP's authority number was unlawful. The correct action is: (1) contact NSW Health Pharmaceutical Services to explain the situation and obtain guidance; (2) apply for your own patient-specific authority before issuing any further prescriptions. While awaiting authority, the patient should not be left without medication if stable — NSW Health may provide interim guidance. Using a colleague's authority number (D) is equally unlawful. Prescribing without authority (E) is a criminal offence. Cessation (B) may cause patient harm if done abruptly without interim plan.</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S8 authority is prescriber-specific AND patient-specific — contact NSW Health Pharmaceutical Services before prescribing.</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29</w:t>
      </w:r>
      <w:r>
        <w:rPr>
          <w:rFonts w:ascii="Arial" w:cs="Arial" w:eastAsia="Arial" w:hAnsi="Arial"/>
          <w:i/>
          <w:iCs/>
          <w:color w:val="888888"/>
          <w:sz w:val="20"/>
          <w:szCs w:val="20"/>
        </w:rPr>
        <w:t xml:space="preserve">  [Clinical Reasoning — Women+Hormones]</w:t>
      </w:r>
    </w:p>
    <w:p>
      <w:pPr>
        <w:spacing w:after="80" w:before="40"/>
        <w:ind w:left="0"/>
      </w:pPr>
      <w:r>
        <w:rPr>
          <w:rFonts w:ascii="Arial" w:cs="Arial" w:eastAsia="Arial" w:hAnsi="Arial"/>
          <w:sz w:val="22"/>
          <w:szCs w:val="22"/>
        </w:rPr>
        <w:t xml:space="preserve">A 32-year-old woman with ADHD on lisdexamfetamine 40mg reports that her symptoms are significantly worse in the 10 days before her period, to the point where she struggles to function at work. She is otherwise well-controlled. What is the most appropriate clinical approach?</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Increase LDX to 50mg daily — the dose is insufficient for her symptom burden.</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Add an SSRI for the luteal phase — this presentation is PMDD, not an ADHD issue.</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Perform prospective cycle-symptom charting; consider luteal-phase dose increase; discuss OCP as an option to stabilise oestrogen levels.</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Refer to a gynaecologist — this is a hormonal problem outside GP scope.</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Switch to methylphenidate LA — it has more stable hormone interactions than amphetamines.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This is premenstrual ADHD amplification — a real neurobiological phenomenon driven by oestrogen decline in the luteal phase reducing DA receptor sensitivity, causing ADHD medication to feel less effective. The approach: (1) Confirm with prospective cycle-symptom charting across 2 months; (2) Consider luteal-phase dose increase (taking a higher dose on days 14–28 only); (3) Discuss OCP — suppresses cycle variation and may stabilise ADHD symptoms; (4) These are complementary interventions, not alternatives. Increasing the daily dose (A) addresses the symptom but overmedication in the follicular phase. PMDD framing (B) misses the ADHD mechanism. Referral to gynaecology (D) may be part of management but primary management is within GP scope. Switching to MPH (E) does not address the hormonal mechanism.</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Premenstrual ADHD worsening = oestrogen-driven DA sensitivity change. Symptom charting + luteal phase dose adjustment.</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30</w:t>
      </w:r>
      <w:r>
        <w:rPr>
          <w:rFonts w:ascii="Arial" w:cs="Arial" w:eastAsia="Arial" w:hAnsi="Arial"/>
          <w:i/>
          <w:iCs/>
          <w:color w:val="888888"/>
          <w:sz w:val="20"/>
          <w:szCs w:val="20"/>
        </w:rPr>
        <w:t xml:space="preserve">  [Clinical Reasoning — SUD+ADHD]</w:t>
      </w:r>
    </w:p>
    <w:p>
      <w:pPr>
        <w:spacing w:after="80" w:before="40"/>
        <w:ind w:left="0"/>
      </w:pPr>
      <w:r>
        <w:rPr>
          <w:rFonts w:ascii="Arial" w:cs="Arial" w:eastAsia="Arial" w:hAnsi="Arial"/>
          <w:sz w:val="22"/>
          <w:szCs w:val="22"/>
        </w:rPr>
        <w:t xml:space="preserve">A 29-year-old male with ADHD and cannabis use disorder is being assessed for ADHD pharmacotherapy. He is currently smoking cannabis daily ('it's the only thing that calms me down'). His substance use counsellor says 'he needs to be completely abstinent before we can diagnose or treat ADHD.' You review the AADPA guidelines. Which response most accurately reflects the guideline position?</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The counsellor is correct — complete abstinence is required before ADHD assessment or treatment can proceed.</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ADHD assessment and treatment can begin as soon as the patient is willing — substance use history is not a contraindication.</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Assessment should occur when substance use is sufficiently stabilised (not necessarily fully abstinent); treatment of both conditions should occur concurrently; stimulants should be avoided if substance use is not stabilised, with non-stimulant preferred.</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Atomoxetine can be used regardless of current substance use — only stimulants require prior abstinence.</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ADHD diagnosis in the presence of SUD is unreliable and should be deferred indefinitely.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CCR 6.3.3: Assessment should occur when substance use is sufficiently stabilised — acute intoxication or severe withdrawal is the deferral threshold, not complete abstinence. CCR 6.3.4: Treatment should focus on both disorders concurrently. CCR 6.3.5: ADHD treatment should not be unnecessarily delayed. CCR 6.3.8: If not abstinent/stabilised, consider non-stimulant pharmacotherapy. The 'complete abstinence required' position is incorrect and potentially harmful — it perpetuates the cycle where untreated ADHD drives ongoing cannabis use. Daily cannabis use without acute intoxication or withdrawal = 'sufficiently stabilised' for assessment.</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Complete abstinence is NOT required — 'sufficiently stabilised' is the AADPA threshold for assessment and treatment.</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31</w:t>
      </w:r>
      <w:r>
        <w:rPr>
          <w:rFonts w:ascii="Arial" w:cs="Arial" w:eastAsia="Arial" w:hAnsi="Arial"/>
          <w:i/>
          <w:iCs/>
          <w:color w:val="888888"/>
          <w:sz w:val="20"/>
          <w:szCs w:val="20"/>
        </w:rPr>
        <w:t xml:space="preserve">  [Clinical Reasoning — Transition of Care]</w:t>
      </w:r>
    </w:p>
    <w:p>
      <w:pPr>
        <w:spacing w:after="80" w:before="40"/>
        <w:ind w:left="0"/>
      </w:pPr>
      <w:r>
        <w:rPr>
          <w:rFonts w:ascii="Arial" w:cs="Arial" w:eastAsia="Arial" w:hAnsi="Arial"/>
          <w:sz w:val="22"/>
          <w:szCs w:val="22"/>
        </w:rPr>
        <w:t xml:space="preserve">An 18-year-old male with well-controlled ADHD on lisdexamfetamine 40mg has been managed by a paediatrician since age 10. His paediatrician writes to you: 'Please continue this patient's ADHD management. I have enclosed my last clinical note.' What is the most important action before issuing the first GP prescription?</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Issue the prescription immediately — the paediatrician's transfer letter is sufficient clinical documentation.</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Conduct your own physical assessment and confirm you hold a current NSW S8 authority for this patient before issuing any prescription.</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Reduce the lisdexamfetamine dose on transition as adult physiology differs from paediatric.</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Require a new diagnostic assessment — the paediatrician's diagnosis must be independently confirmed by the GP.</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Issue the prescription on a 2-week supply until you can review the patient.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Accepting shared care requires: (1) Reviewing and understanding the specialist's documentation; (2) Confirming your own current NSW S8 authority — it does not transfer from the paediatrician; (3) Conducting your own physical assessment at the first consultation. The authority is prescriber-specific — you cannot prescribe under the paediatrician's authority. Option A is insufficient because it does not address the authority requirement. Option C (dose reduction) is not indicated at transition without clinical reason. Option D (full re-assessment) is excessive — the paediatrician's diagnosis is valid but your own physical assessment is required. Option E is better than A but incomplete — the authority issue must be resolved before any prescription.</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Transfer of care ≠ transfer of authority. Confirm your own NSW S8 authority before the first GP prescription.</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32</w:t>
      </w:r>
      <w:r>
        <w:rPr>
          <w:rFonts w:ascii="Arial" w:cs="Arial" w:eastAsia="Arial" w:hAnsi="Arial"/>
          <w:i/>
          <w:iCs/>
          <w:color w:val="888888"/>
          <w:sz w:val="20"/>
          <w:szCs w:val="20"/>
        </w:rPr>
        <w:t xml:space="preserve">  [Clinical Reasoning — Comorbidity Sequencing]</w:t>
      </w:r>
    </w:p>
    <w:p>
      <w:pPr>
        <w:spacing w:after="80" w:before="40"/>
        <w:ind w:left="0"/>
      </w:pPr>
      <w:r>
        <w:rPr>
          <w:rFonts w:ascii="Arial" w:cs="Arial" w:eastAsia="Arial" w:hAnsi="Arial"/>
          <w:sz w:val="22"/>
          <w:szCs w:val="22"/>
        </w:rPr>
        <w:t xml:space="preserve">A 25-year-old male presents with confirmed ADHD Combined Type. He also screens positive for bipolar disorder features on systematic questioning — he describes two episodes of elevated mood lasting 2–3 weeks each, with decreased sleep need. He is currently euthymic and not on any medication. What is the correct treatment sequence?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Commence lisdexamfetamine for ADHD immediately — bipolar episodes that are in remission do not affect prescribing.</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Commence a mood stabiliser, then introduce stimulants cautiously once mood is stabilised under specialist guidance.</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Commence guanfacine for ADHD — it has mood-stabilising properties and is safe in bipolar disorder.</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Diagnose and treat ADHD only — the bipolar history requires further clarification before it can be considered.</w:t>
      </w:r>
    </w:p>
    <w:p>
      <w:pPr>
        <w:spacing w:after="40" w:before="40"/>
        <w:ind w:left="400"/>
      </w:pPr>
      <w:r>
        <w:rPr>
          <w:rFonts w:ascii="Arial" w:cs="Arial" w:eastAsia="Arial" w:hAnsi="Arial"/>
          <w:b/>
          <w:bCs/>
          <w:sz w:val="22"/>
          <w:szCs w:val="22"/>
        </w:rPr>
        <w:t xml:space="preserve">E.  </w:t>
      </w:r>
      <w:r>
        <w:rPr>
          <w:rFonts w:ascii="Arial" w:cs="Arial" w:eastAsia="Arial" w:hAnsi="Arial"/>
          <w:b/>
          <w:bCs/>
          <w:color w:val="0F6E56"/>
          <w:sz w:val="22"/>
          <w:szCs w:val="22"/>
        </w:rPr>
        <w:t xml:space="preserve">Refer to psychiatry for diagnostic clarification; do not commence any ADHD pharmacotherapy until the bipolar diagnosis is confirmed or excluded.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When bipolar disorder is suspected (not yet confirmed), psychiatric assessment is required before any ADHD stimulant prescribing. AADPA CPP 5.6.2: If a manic episode occurs during stimulant treatment — cease stimulants. The risk of precipitating a manic episode in an unprotected bipolar patient is clinically significant. Option A ignores the bipolar risk. Option B assumes bipolar is confirmed and treats both — this is appropriate once confirmed but requires specialist oversight. Option C (guanfacine) is insufficient for ADHD Combined Type. Option D defers bipolar assessment, which is the wrong prioritisation — the bipolar history is a prescribing risk that must be addressed first.</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Possible bipolar + ADHD = psychiatric review before stimulants. Protect the mood before treating the ADHD.</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33</w:t>
      </w:r>
      <w:r>
        <w:rPr>
          <w:rFonts w:ascii="Arial" w:cs="Arial" w:eastAsia="Arial" w:hAnsi="Arial"/>
          <w:i/>
          <w:iCs/>
          <w:color w:val="888888"/>
          <w:sz w:val="20"/>
          <w:szCs w:val="20"/>
        </w:rPr>
        <w:t xml:space="preserve">  [Clinical Reasoning — Diversion Assessment]</w:t>
      </w:r>
    </w:p>
    <w:p>
      <w:pPr>
        <w:spacing w:after="80" w:before="40"/>
        <w:ind w:left="0"/>
      </w:pPr>
      <w:r>
        <w:rPr>
          <w:rFonts w:ascii="Arial" w:cs="Arial" w:eastAsia="Arial" w:hAnsi="Arial"/>
          <w:sz w:val="22"/>
          <w:szCs w:val="22"/>
        </w:rPr>
        <w:t xml:space="preserve">A 27-year-old male on dexamfetamine IR 5mg TDS reports that his medication was 'lost' for the third time this year. He requests a replacement prescription. What is the correct clinical approach?</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Issue a replacement prescription — medication loss happens and it is important to maintain treatment.</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Issue a replacement with a formal warning that a fourth loss will result in cessation of prescribing.</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Do not issue a replacement; schedule an urgent review; explore the circumstances of the repeated losses; document significant diversion concern; consider switching to lisdexamfetamine and shortening supply intervals.</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Report the patient to NSW Police for suspected drug trafficking.</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Cease dexamfetamine and replace with atomoxetine without further assessment.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Repeated medication loss (3 times in one year) is a significant diversion risk indicator. AADPA CPP 5.6.4–5.6.5: Exercise caution when diversion risk is present; do not offer IR stimulants if diversion risk is present. The correct response: (1) Do not issue a replacement without assessment; (2) Urgent review to explore circumstances; (3) Document the diversion concern explicitly; (4) Switch to LDX (prodrug — much harder to misuse/divert); (5) Consider shorter supply intervals; (6) Consider urine drug screen. Police reporting (D) is not indicated for suspected personal medication misuse without evidence of supply. Immediate atomoxetine switch (E) is excessive without an assessment conversation.</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Three 'lost' prescriptions in one year = high diversion risk — switch to LDX, document thoroughly, short supply.</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34</w:t>
      </w:r>
      <w:r>
        <w:rPr>
          <w:rFonts w:ascii="Arial" w:cs="Arial" w:eastAsia="Arial" w:hAnsi="Arial"/>
          <w:i/>
          <w:iCs/>
          <w:color w:val="888888"/>
          <w:sz w:val="20"/>
          <w:szCs w:val="20"/>
        </w:rPr>
        <w:t xml:space="preserve">  [Clinical Reasoning — Late Diagnosis Female]</w:t>
      </w:r>
    </w:p>
    <w:p>
      <w:pPr>
        <w:spacing w:after="80" w:before="40"/>
        <w:ind w:left="0"/>
      </w:pPr>
      <w:r>
        <w:rPr>
          <w:rFonts w:ascii="Arial" w:cs="Arial" w:eastAsia="Arial" w:hAnsi="Arial"/>
          <w:sz w:val="22"/>
          <w:szCs w:val="22"/>
        </w:rPr>
        <w:t xml:space="preserve">A 46-year-old high school teacher presents for ADHD assessment. She has been diagnosed with generalised anxiety disorder and recurrent depressive disorder over 20 years. She has not responded fully to three different SSRI trials and two courses of CBT. Her sister was recently diagnosed with ADHD. Which clinical approach is most appropriate?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Increase the current antidepressant dose before considering ADHD assessment — treatment resistance should be addressed first.</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Conduct a comprehensive ADHD assessment — treatment-resistant anxiety and depression in a woman with a first-degree relative with ADHD warrants active ADHD screening.</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Refer to psychiatry for treatment-resistant depression — this is beyond GP scope.</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Screen for bipolar disorder only — treatment resistance in mood disorders most commonly indicates bipolar II.</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The previous clinicians' diagnoses of GAD and MDD are well-established — ADHD is unlikely to add to the clinical picture after 20 years of mental health care.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CPP 1.1.2: Women with ADHD are more likely to receive incorrect diagnoses of anxiety or depressive disorder. AADPA CCR 2.2.1: Anxiety and depression may be consequences of undiagnosed ADHD. Treatment-resistant anxiety and depression in a woman with a first-degree relative with ADHD — who has never been assessed for ADHD — is a strong indication for ADHD assessment. This is not an unusual presentation: it is the most common pathway to adult female ADHD diagnosis. Option A (increase antidepressant) treats the downstream without investigating the upstream. Option C (psychiatry referral) is not wrong but should not precede ADHD assessment. Option D (bipolar only) addresses one differential but ignores ADHD. Option E incorrectly assumes previous clinicians excluded ADHD — in women this is frequently never done.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Treatment-resistant anxiety/depression in a woman + family history of ADHD = ADHD assessment is mandatory.</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35</w:t>
      </w:r>
      <w:r>
        <w:rPr>
          <w:rFonts w:ascii="Arial" w:cs="Arial" w:eastAsia="Arial" w:hAnsi="Arial"/>
          <w:i/>
          <w:iCs/>
          <w:color w:val="888888"/>
          <w:sz w:val="20"/>
          <w:szCs w:val="20"/>
        </w:rPr>
        <w:t xml:space="preserve">  [Clinical Reasoning — GPCCMP]</w:t>
      </w:r>
    </w:p>
    <w:p>
      <w:pPr>
        <w:spacing w:after="80" w:before="40"/>
        <w:ind w:left="0"/>
      </w:pPr>
      <w:r>
        <w:rPr>
          <w:rFonts w:ascii="Arial" w:cs="Arial" w:eastAsia="Arial" w:hAnsi="Arial"/>
          <w:sz w:val="22"/>
          <w:szCs w:val="22"/>
        </w:rPr>
        <w:t xml:space="preserve">A GP is preparing a GPCCMP (Item 965) for a 38-year-old woman with ADHD, comorbid anxiety disorder, and delayed sleep phase syndrome. Which of the following most accurately reflects the MBS requirements for claiming Item 965?</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The GPCCMP can only be claimed if at least two allied health providers are identified as collaborating providers.</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Item 965 can be claimed once every 6 months for patients with multiple chronic conditions.</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Item 965 requires documentation of: identified health conditions and needs, patient health goals, patient actions, treatment and services, a review date, patient consent to information sharing, and provision of a copy to the patient.</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The GPCCMP replaces the Mental Health Care Plan and provides the same 10-session allied health access.</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Item 965 and Item 967 can be billed on the same day for the same patient.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GPCCMP (effective 1 July 2025) requires documentation of all seven mandatory steps: (1) assessment of health conditions and needs; (2) patient health goals; (3) patient actions; (4) treatments and services including allied health referrals; (5) review date; (6) consent to information sharing; (7) provision of copy to patient. Option A is incorrect — the two-collaborating-providers requirement was a feature of the old TCA (Item 723) which has been replaced. Option B is incorrect — Item 965 can be claimed once every 12 months (or in exceptional circumstances more frequently). Option D is incorrect — the GPCCMP does not replace the MHCP; MHCP (up to 10 psychology sessions) remains a separate pathway. Option E is incorrect — Items 965 and 967 cannot be billed on the same day.</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GPCCMP seven mandatory steps; billed annually (Item 965) and 3-monthly for reviews (Item 967) — separate to MHCP.</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36</w:t>
      </w:r>
      <w:r>
        <w:rPr>
          <w:rFonts w:ascii="Arial" w:cs="Arial" w:eastAsia="Arial" w:hAnsi="Arial"/>
          <w:i/>
          <w:iCs/>
          <w:color w:val="888888"/>
          <w:sz w:val="20"/>
          <w:szCs w:val="20"/>
        </w:rPr>
        <w:t xml:space="preserve">  [Clinical Reasoning — Aboriginal ADHD]</w:t>
      </w:r>
    </w:p>
    <w:p>
      <w:pPr>
        <w:spacing w:after="80" w:before="40"/>
        <w:ind w:left="0"/>
      </w:pPr>
      <w:r>
        <w:rPr>
          <w:rFonts w:ascii="Arial" w:cs="Arial" w:eastAsia="Arial" w:hAnsi="Arial"/>
          <w:sz w:val="22"/>
          <w:szCs w:val="22"/>
        </w:rPr>
        <w:t xml:space="preserve">A GP working in a remote NSW Aboriginal community is assessing a 9-year-old Aboriginal boy for ADHD. His mother and teacher both report inattentive and hyperactive features. The teacher has completed a SNAP-IV which scores above threshold. The boy has experienced significant adverse childhood events including parental separation and family violence. What is the most appropriate diagnostic approach?</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The SNAP-IV above threshold confirms ADHD — proceed to diagnosis and pharmacotherapy.</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Do not diagnose ADHD — the adverse childhood events fully explain the presentation.</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Conduct a comprehensive, culturally safe assessment using a strengths-based approach; interpret rating scales with caution; assess whether features predate adverse events; engage Aboriginal Health Worker; consider the ADHD-trauma differential; involve family and community in assessment and planning.</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Refer to a paediatrician in the nearest city for diagnosis — this presentation is too complex for GP management.</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Provide parent training first and re-assess in 6 months before any diagnosis is considered.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CPP 6.2.1–6.2.4: Culturally appropriate assessment; strengths-based approach; rating scales used with caution (not validated in Aboriginal populations); Aboriginal Health Worker involvement; family and community involvement. The ADHD-trauma differential must be assessed — adverse childhood events can produce ADHD-like presentations but can also co-occur with genuine ADHD. A timeline approach is needed: did features predate adverse events? The SNAP-IV above threshold is an adjunct, not a diagnosis (AADPA CPP 6.2.1). Option A incorrectly uses the scale as confirmatory. Option B incorrectly excludes ADHD. Option D assumes urban specialist referral is required — not appropriate in remote communities where GP has been specifically trained. Option E delays necessary assessment.</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In Aboriginal children with trauma history: ADHD and trauma co-occur — assess both, use strengths-based culturally safe approach.</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37</w:t>
      </w:r>
      <w:r>
        <w:rPr>
          <w:rFonts w:ascii="Arial" w:cs="Arial" w:eastAsia="Arial" w:hAnsi="Arial"/>
          <w:i/>
          <w:iCs/>
          <w:color w:val="888888"/>
          <w:sz w:val="20"/>
          <w:szCs w:val="20"/>
        </w:rPr>
        <w:t xml:space="preserve">  [Clinical Reasoning — AuDHD Titration]</w:t>
      </w:r>
    </w:p>
    <w:p>
      <w:pPr>
        <w:spacing w:after="80" w:before="40"/>
        <w:ind w:left="0"/>
      </w:pPr>
      <w:r>
        <w:rPr>
          <w:rFonts w:ascii="Arial" w:cs="Arial" w:eastAsia="Arial" w:hAnsi="Arial"/>
          <w:sz w:val="22"/>
          <w:szCs w:val="22"/>
        </w:rPr>
        <w:t xml:space="preserve">A 24-year-old with confirmed ASD and ADHD is commenced on lisdexamfetamine 20mg — the standard adult starting dose. At 2 weeks she reports: significant reduction in distractibility; however, marked increase in rigid thinking, perseveration on minor details, and daily meltdowns. She rates 'focus 7/10 better; emotional regulation 9/10 worse.' What is the correct clinical response?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Continue LDX 20mg for 4 more weeks — ASD-related adverse effects typically resolve with continued treatment.</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Cease lisdexamfetamine — ASD and ADHD cannot be treated simultaneously with stimulants.</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Reduce lisdexamfetamine to 10mg; wait 2 weeks; assess whether improved focus is maintained with fewer ASD-related adverse effects; if confirmed — establish this as the therapeutic window.</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Switch to methylphenidate LA — it has a better ASD adverse effect profile than amphetamines.</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Add risperidone to manage the ASD-related rigidity and meltdowns while maintaining LDX 20mg.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This is the classic AuDHD narrow therapeutic window presentation: LDX 20mg produces ADHD benefit but exceeds the ASD-related stimulant tolerance threshold, producing ASD-specific adverse effects (rigidity, perseveration, meltdowns). AADPA CCR 5.1.7: Slower titration and more frequent monitoring in ASD. The correct approach: reduce to 10mg (lower than standard) and assess whether the therapeutic window between benefit and ASD adverse effects can be found. The focus improvement suggests LDX is the right agent — the dose is too high. Option A (continue) ignores significant adverse effects. Option B (cease) is premature. Option D (switch to MPH) may be appropriate if dose reduction fails but is not the first step. Option E (add antipsychotic) adds complexity before trying dose reduction.</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AuDHD rigid adverse effect = dose too high, not wrong agent. Find the lower therapeutic window.</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38</w:t>
      </w:r>
      <w:r>
        <w:rPr>
          <w:rFonts w:ascii="Arial" w:cs="Arial" w:eastAsia="Arial" w:hAnsi="Arial"/>
          <w:i/>
          <w:iCs/>
          <w:color w:val="888888"/>
          <w:sz w:val="20"/>
          <w:szCs w:val="20"/>
        </w:rPr>
        <w:t xml:space="preserve">  [Clinical Reasoning — Stimulant Cessation]</w:t>
      </w:r>
    </w:p>
    <w:p>
      <w:pPr>
        <w:spacing w:after="80" w:before="40"/>
        <w:ind w:left="0"/>
      </w:pPr>
      <w:r>
        <w:rPr>
          <w:rFonts w:ascii="Arial" w:cs="Arial" w:eastAsia="Arial" w:hAnsi="Arial"/>
          <w:sz w:val="22"/>
          <w:szCs w:val="22"/>
        </w:rPr>
        <w:t xml:space="preserve">A 40-year-old man on guanfacine extended-release 3mg (evening) for ADHD with tic disorder tells you he has decided to stop his medication as he is going on a 3-week trek in a remote area with no pharmacy access. He plans to simply not take it from tomorrow. What is the most urgent information to provide?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Advise him to take a sufficient supply of guanfacine for the trek — abrupt cessation is acceptable for a short period.</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Advise him to taper the guanfacine dose gradually over at least 7–10 days before stopping — abrupt cessation can cause rebound hypertension which may be medically serious.</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Advise him to switch to a short-acting alpha-2 agent for the trek period.</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Guanfacine cessation does not require tapering — advise him to stop safely.</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Advise him to cease guanfacine and commence methylphenidate IR for the trek, which can be stopped abruptly.</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Guanfacine must never be stopped abruptly. Abrupt cessation can cause rebound hypertension — potentially significant, particularly in a remote setting where medical care is inaccessible. The patient must taper the dose gradually over at least 7–10 days. If he has insufficient supply, an urgent prescription and careful taper plan is required before departure. Option A (abrupt cessation 'acceptable') is incorrect. Option C (switch to short-acting) requires medical supervision. Option D is factually incorrect. Option E introduces a different agent unnecessarily and incorrectly states MPH can be stopped abruptly (stimulants can be stopped abruptly — guanfacine cannot).</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Guanfacine requires tapering — abrupt cessation risks rebound hypertension. This is urgent safety information.</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39</w:t>
      </w:r>
      <w:r>
        <w:rPr>
          <w:rFonts w:ascii="Arial" w:cs="Arial" w:eastAsia="Arial" w:hAnsi="Arial"/>
          <w:i/>
          <w:iCs/>
          <w:color w:val="888888"/>
          <w:sz w:val="20"/>
          <w:szCs w:val="20"/>
        </w:rPr>
        <w:t xml:space="preserve">  [Clinical Reasoning — Mandatory Reporting]</w:t>
      </w:r>
    </w:p>
    <w:p>
      <w:pPr>
        <w:spacing w:after="80" w:before="40"/>
        <w:ind w:left="0"/>
      </w:pPr>
      <w:r>
        <w:rPr>
          <w:rFonts w:ascii="Arial" w:cs="Arial" w:eastAsia="Arial" w:hAnsi="Arial"/>
          <w:sz w:val="22"/>
          <w:szCs w:val="22"/>
        </w:rPr>
        <w:t xml:space="preserve">During an ADHD assessment for a 13-year-old girl, she discloses (in a private interview) that her stepfather 'hits her sometimes when she's bad' and that she is 'afraid to go home.' She asks you to keep this confidential. What is the correct clinical and legal response?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Respect her confidentiality request — a breach of confidentiality would permanently damage her trust and potentially worsen her safety.</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Discuss the disclosure further to establish whether the hitting constitutes 'significant harm' before deciding whether to report.</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Explain to her that you have a legal obligation to report when a child may be at risk of significant harm, regardless of her confidentiality request; make a mandatory report to the NSW Child Protection Helpline (132 111).</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Contact the stepfather and conduct a family mediation session before reporting.</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Document the disclosure in the medical record and refer to a child and adolescent psychiatrist for further assessment before reporting.</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NSW Children and Young Persons (Care and Protection) Act 1998, s27: Mandatory reporting is triggered when there are 'reasonable grounds to suspect' a child is at risk of significant harm. Physical hitting by a carer + the child expressing fear of going home = reasonable grounds to suspect significant harm. The report must be made. Confidentiality does not override mandatory reporting obligations — the clinician must explain this to the patient in a supportive way. Option A incorrectly prioritises confidentiality over safety. Option B delays action — the threshold is 'reasonable grounds to suspect', not certainty. Option D is clinically inappropriate and potentially dangerous. Option E delays reporting without clinical justification.</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Child safety overrides confidentiality — mandatory report is required when significant harm is suspected.</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40</w:t>
      </w:r>
      <w:r>
        <w:rPr>
          <w:rFonts w:ascii="Arial" w:cs="Arial" w:eastAsia="Arial" w:hAnsi="Arial"/>
          <w:i/>
          <w:iCs/>
          <w:color w:val="888888"/>
          <w:sz w:val="20"/>
          <w:szCs w:val="20"/>
        </w:rPr>
        <w:t xml:space="preserve">  [Clinical Reasoning — Diagnosis in Older Adults]</w:t>
      </w:r>
    </w:p>
    <w:p>
      <w:pPr>
        <w:spacing w:after="80" w:before="40"/>
        <w:ind w:left="0"/>
      </w:pPr>
      <w:r>
        <w:rPr>
          <w:rFonts w:ascii="Arial" w:cs="Arial" w:eastAsia="Arial" w:hAnsi="Arial"/>
          <w:sz w:val="22"/>
          <w:szCs w:val="22"/>
        </w:rPr>
        <w:t xml:space="preserve">A 68-year-old retired teacher presents with her daughter, who is concerned about 'memory problems and disorganisation that have got worse in the last 2 years.' The patient states: 'I've been like this my whole life — always messy, always losing things, always starting things and not finishing them.' Her MMSE is 28/30. MoCA is 24/30 (below normal). Which clinical approach best addresses the differential diagnosis?</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The MoCA of 24/30 confirms mild cognitive impairment — diagnose MCI and refer to a memory clinic.</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ADHD is not a valid diagnosis in patients over 65 — refer for geriatric assessment.</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The history of lifelong symptoms predating this presentation is critical — apply the 'new story vs same old story' framework; investigate for ADHD as a pre-existing condition while monitoring for cognitive decline.</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The MoCA deficit is diagnostic — commence cholinesterase inhibitor therapy.</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Order a PET scan to differentiate ADHD from early Alzheimer's disease.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CCR 2.1.6: ADHD should be considered in all age groups including adults over 65. The history is the key discriminator: 'I've been like this my whole life' = lifelong developmental pattern consistent with ADHD. The MoCA of 24/30 in an ADHD patient may reflect ADHD-related attention and executive function deficits on a cognitive test, not early dementia. The clinical approach: apply the 'new story vs same old story' test; obtain longitudinal history; involve partner/daughter collateral; assess whether function has changed from a previous baseline. Option A prematurely diagnoses MCI from a single score without applying the ADHD differential. Option B is incorrect — AADPA CCR 2.1.6 explicitly includes over-65s. Option D (cholinesterase inhibitor) is premature without excluding ADHD. Option E is not indicated at this stage.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Lifelong pattern + MoCA deficit = consider ADHD, not dementia automatically. Apply the 'new story' test.</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41</w:t>
      </w:r>
      <w:r>
        <w:rPr>
          <w:rFonts w:ascii="Arial" w:cs="Arial" w:eastAsia="Arial" w:hAnsi="Arial"/>
          <w:i/>
          <w:iCs/>
          <w:color w:val="888888"/>
          <w:sz w:val="20"/>
          <w:szCs w:val="20"/>
        </w:rPr>
        <w:t xml:space="preserve">  [Clinical Reasoning — Documentation Quality]</w:t>
      </w:r>
    </w:p>
    <w:p>
      <w:pPr>
        <w:spacing w:after="80" w:before="40"/>
        <w:ind w:left="0"/>
      </w:pPr>
      <w:r>
        <w:rPr>
          <w:rFonts w:ascii="Arial" w:cs="Arial" w:eastAsia="Arial" w:hAnsi="Arial"/>
          <w:sz w:val="22"/>
          <w:szCs w:val="22"/>
        </w:rPr>
        <w:t xml:space="preserve">A GP colleague asks you to review their ADHD assessment note for a 30-year-old woman. The note documents: ASRS 21/24; lifelong inattentive and hyperactive symptoms; functional impairment at work and home; no cardiac history; BP 118/76; LDX 20mg commenced. What single addition would most significantly improve the medicolegal defensibility of this note?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Add the patient's height and weight.</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Add an explicit differential diagnosis section naming the conditions considered and explaining why ADHD is a better explanation than each alternative.</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Add a rating scale from a collateral informant.</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Add the patient's family history of ADHD.</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Add a reference to the AADPA 2024 guideline to demonstrate evidence-based practice.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most commonly omitted and medicolegally critical element in ADHD assessment notes is the differential diagnosis documentation. AADPA CCR 2.1.3 requires assessment of possible differential conditions. NSW medicolegal standards require documented reasoning. A note without named differentials cannot demonstrate that the clinician excluded alternative explanations — leaving the diagnosis exposed. All other options (height/weight, collateral scale, family history, guideline reference) improve the note but are secondary to the diagnostic reasoning framework. The differential section is the element most consistently targeted in complaint reviews.</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The single most medicolegally critical missing element in most ADHD notes is the differential diagnosis reasoning.</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42</w:t>
      </w:r>
      <w:r>
        <w:rPr>
          <w:rFonts w:ascii="Arial" w:cs="Arial" w:eastAsia="Arial" w:hAnsi="Arial"/>
          <w:i/>
          <w:iCs/>
          <w:color w:val="888888"/>
          <w:sz w:val="20"/>
          <w:szCs w:val="20"/>
        </w:rPr>
        <w:t xml:space="preserve">  [Clinical Reasoning — Special Populations — Child Protection]</w:t>
      </w:r>
    </w:p>
    <w:p>
      <w:pPr>
        <w:spacing w:after="80" w:before="40"/>
        <w:ind w:left="0"/>
      </w:pPr>
      <w:r>
        <w:rPr>
          <w:rFonts w:ascii="Arial" w:cs="Arial" w:eastAsia="Arial" w:hAnsi="Arial"/>
          <w:sz w:val="22"/>
          <w:szCs w:val="22"/>
        </w:rPr>
        <w:t xml:space="preserve">During an ADHD medication review for a 7-year-old boy, you notice he has three unexplained bruises on his upper arms. His mother says 'he's just clumsy — he bumps into things all the time because of the ADHD.' His ADHD is well-controlled on methylphenidate. What is the most appropriate clinical response?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Accept the mother's explanation — children with ADHD do have more injuries due to impulsivity and motor difficulties.</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Document the bruises as ADHD-related accidental injury and continue the review.</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Examine the bruises carefully; document your findings with descriptors; assess the explanation for plausibility; if you have reasonable grounds to suspect non-accidental injury — make a mandatory report to the NSW Child Protection Helpline (132 111).</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Refer the family to a family therapist before making any report — improved family functioning may resolve the issue.</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Ask the child privately whether anyone has hurt him — if he denies it, accept this and proceed.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Children with ADHD do have elevated injury rates, and this can explain bruising. However, the mandatory reporting threshold is 'reasonable grounds to suspect significant harm' — not certainty. The clinical obligation is: (1) examine and describe the bruises carefully (size, colour, pattern, distribution); (2) assess whether the explanation is plausible for the injury pattern; (3) if the injury pattern is inconsistent with the explanation — mandatory report. Unexplained bruises on the upper arms (not typical accidental injury sites) warrant careful assessment. Option A accepts the explanation without examination. Option B documents without clinical assessment. Option D delays mandatory reporting. Option E — a child's denial does not exclude abuse and is insufficient to discharge the reporting obligation.</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ADHD does not explain upper arm bruises — examine carefully, assess plausibility, report if reasonable grounds to suspect.</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43</w:t>
      </w:r>
      <w:r>
        <w:rPr>
          <w:rFonts w:ascii="Arial" w:cs="Arial" w:eastAsia="Arial" w:hAnsi="Arial"/>
          <w:i/>
          <w:iCs/>
          <w:color w:val="888888"/>
          <w:sz w:val="20"/>
          <w:szCs w:val="20"/>
        </w:rPr>
        <w:t xml:space="preserve">  [Clinical Reasoning — Prescribing in Pregnancy]</w:t>
      </w:r>
    </w:p>
    <w:p>
      <w:pPr>
        <w:spacing w:after="80" w:before="40"/>
        <w:ind w:left="0"/>
      </w:pPr>
      <w:r>
        <w:rPr>
          <w:rFonts w:ascii="Arial" w:cs="Arial" w:eastAsia="Arial" w:hAnsi="Arial"/>
          <w:sz w:val="22"/>
          <w:szCs w:val="22"/>
        </w:rPr>
        <w:t xml:space="preserve">A 29-year-old woman on lisdexamfetamine 40mg for ADHD attends for a planned pregnancy consultation. She asks about continuing her medication through pregnancy. What is the most appropriate counselling?</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LDX is safe in pregnancy — continue the current dose throughout.</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Cease LDX immediately — all stimulants are absolutely contraindicated in pregnancy.</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No stimulant has established safety data in pregnancy; discuss risks and benefits of continuing vs ceasing; explore non-pharmacological strategies; refer to a specialist with maternal-fetal medicine or psychiatric expertise for complex decision-making; document the informed consent process thoroughly.</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Switch to atomoxetine — it is the only ADHD agent with established safety in pregnancy.</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Advise the patient to delay pregnancy until ADHD is in long-term remission.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No stimulant has established safety in pregnancy — there are no robust human trial data. The decision is not binary (continue vs stop) — it requires individual risk-benefit analysis, patient preferences, severity of ADHD and its functional impact on the pregnancy and parenting, and specialist input for complex situations. Non-pharmacological strategies should be maximised. Option A is incorrect — LDX does not have established safety data. Option B (absolute contraindication/immediate cessation) is too prescriptive — individual risk-benefit assessment is required. Option D is incorrect — atomoxetine also lacks established pregnancy safety data. Option E is paternalistic and clinically inappropriate.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Pregnancy and stimulants = individual risk-benefit, not automatic cessation. Specialist input; detailed consent documentation.</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44</w:t>
      </w:r>
      <w:r>
        <w:rPr>
          <w:rFonts w:ascii="Arial" w:cs="Arial" w:eastAsia="Arial" w:hAnsi="Arial"/>
          <w:i/>
          <w:iCs/>
          <w:color w:val="888888"/>
          <w:sz w:val="20"/>
          <w:szCs w:val="20"/>
        </w:rPr>
        <w:t xml:space="preserve">  [Clinical Reasoning — Older Adult Prescribing]</w:t>
      </w:r>
    </w:p>
    <w:p>
      <w:pPr>
        <w:spacing w:after="80" w:before="40"/>
        <w:ind w:left="0"/>
      </w:pPr>
      <w:r>
        <w:rPr>
          <w:rFonts w:ascii="Arial" w:cs="Arial" w:eastAsia="Arial" w:hAnsi="Arial"/>
          <w:sz w:val="22"/>
          <w:szCs w:val="22"/>
        </w:rPr>
        <w:t xml:space="preserve">A 69-year-old man with newly confirmed ADHD is being commenced on lisdexamfetamine for the first time. He has well-controlled hypertension on amlodipine 10mg and takes atorvastatin. His resting BP is 132/78, HR 70. What is the most appropriate prescribing approach?</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Commence LDX at the standard adult starting dose of 20mg — his BP is controlled and there are no contraindications.</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Commence LDX at 10mg (half the standard adult starting dose); titrate more slowly than standard; monitor BP and HR at each step; check for interactions with amlodipine; reassess cardiovascular status at 4 weeks.</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LDX is contraindicated in patients over 65 — use atomoxetine only.</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Commence LDX at standard dose and increase amlodipine simultaneously to pre-emptively manage expected BP rise.</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Require cardiology clearance before commencing any stimulant in a patient over 65 with hypertension.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CPP 5.4.5: Apply the same prescribing principles as for adults under 65 but with careful monitoring of side effects. Older adults have: reduced renal/hepatic clearance increasing plasma levels at standard doses; greater cardiovascular sensitivity to BP/HR changes; polypharmacy interactions. The correct approach is lower starting dose (50% of standard), slower titration, and more frequent cardiovascular monitoring. Amlodipine + LDX combination requires BP monitoring — additive effects are possible. Option A (standard dose) does not account for age-related pharmacokinetics. Option C incorrectly states LDX is contraindicated over 65. Option D (pre-emptive antihypertensive increase) is not warranted before confirmed BP elevation. Option E (cardiology required) — BP of 132/78 on amlodipine is not a cardiac referral trigger.</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Over 65 = start at 50% standard dose, titrate slowly, cardiovascular monitoring at every step.</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45</w:t>
      </w:r>
      <w:r>
        <w:rPr>
          <w:rFonts w:ascii="Arial" w:cs="Arial" w:eastAsia="Arial" w:hAnsi="Arial"/>
          <w:i/>
          <w:iCs/>
          <w:color w:val="888888"/>
          <w:sz w:val="20"/>
          <w:szCs w:val="20"/>
        </w:rPr>
        <w:t xml:space="preserve">  [Clinical Reasoning — Insomnia Management]</w:t>
      </w:r>
    </w:p>
    <w:p>
      <w:pPr>
        <w:spacing w:after="80" w:before="40"/>
        <w:ind w:left="0"/>
      </w:pPr>
      <w:r>
        <w:rPr>
          <w:rFonts w:ascii="Arial" w:cs="Arial" w:eastAsia="Arial" w:hAnsi="Arial"/>
          <w:sz w:val="22"/>
          <w:szCs w:val="22"/>
        </w:rPr>
        <w:t xml:space="preserve">A 35-year-old woman on lisdexamfetamine 30mg reports sleep onset insomnia — unable to fall asleep until 1–2am despite feeling 'tired but wired' at bedtime. Her LDX is taken at 7:30am and she has a flexible work schedule. What is the most appropriate initial management?</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Prescribe zopiclone — ADHD-related insomnia typically requires pharmacological sleep assistance.</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Increase LDX to 40mg — the insomnia may be caused by rebound from inadequate dose coverage.</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Review medication timing (ensure LDX taken by 7am or earlier); add melatonin 1mg at a fixed target bedtime; advise consistent morning wake time; advise no screens 60 minutes before target sleep time.</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Switch from LDX to methylphenidate LA — it has a shorter duration of action and less sleep impact.</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Cease LDX until insomnia is resolved, then recommence.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most common and most correctable cause of stimulant-related insomnia is dose timing — LDX taken at 7:30am with 12-14 hour coverage produces sympathomimetic activation until approximately 9-10pm, making sleep onset very difficult. The first interventions: (1) Take LDX before 7am (or as early as possible with breakfast); (2) Add melatonin 0.5-3mg at the fixed target bedtime — evidence-based for ADHD insomnia; (3) Consistent morning wake time to anchor the circadian clock; (4) Screen hygiene. Zopiclone (A) is inappropriate for ADHD insomnia first-line — it does not address the cause and has dependence risk. Increasing LDX (B) would worsen insomnia. Switching to MPH LA (D) may be appropriate if timing adjustment fails — MPH LA has a shorter duration (8-12h vs 12-14h for LDX). Cessation (E) is not warranted.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Stimulant insomnia: first fix the timing (earlier morning dose), then add melatonin — do not cease.</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46</w:t>
      </w:r>
      <w:r>
        <w:rPr>
          <w:rFonts w:ascii="Arial" w:cs="Arial" w:eastAsia="Arial" w:hAnsi="Arial"/>
          <w:i/>
          <w:iCs/>
          <w:color w:val="888888"/>
          <w:sz w:val="20"/>
          <w:szCs w:val="20"/>
        </w:rPr>
        <w:t xml:space="preserve">  [Clinical Reasoning — Functional Impairment Assessment]</w:t>
      </w:r>
    </w:p>
    <w:p>
      <w:pPr>
        <w:spacing w:after="80" w:before="40"/>
        <w:ind w:left="0"/>
      </w:pPr>
      <w:r>
        <w:rPr>
          <w:rFonts w:ascii="Arial" w:cs="Arial" w:eastAsia="Arial" w:hAnsi="Arial"/>
          <w:sz w:val="22"/>
          <w:szCs w:val="22"/>
        </w:rPr>
        <w:t xml:space="preserve">During an adult ADHD assessment, a patient reports significant inattentive and hyperactive symptoms but states: 'I manage fine — I've always been like this and I cope.' Further questioning reveals: he has been married three times ('all ended because I was unreliable'); he has had 7 jobs in 10 years; he has significant debt from impulsive purchases; and he lost his driver's licence last year for 3 infringements in 12 months. Which is the most accurate clinical assessment of this history?</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The patient denies impairment — his self-report of 'coping fine' takes precedence over third-party evidence.</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The history reveals clinically significant functional impairment across relational, occupational, financial, and driving domains — DSM-5 Criterion D is met regardless of the patient's self-assessment.</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Relationship breakdown, job changes, and financial difficulties are common life events that do not constitute ADHD-specific functional impairment.</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Three marriages and multiple job changes are lifestyle choices, not impairment — further standardised testing is required to document objective impairment.</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Without a psychoeducational assessment documenting cognitive deficits, functional impairment cannot be formally established.</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DSM-5 Criterion D requires 'clear evidence that the symptoms interfere with, or reduce the quality of, social, academic, or occupational functioning.' This patient demonstrates: severe relational impairment (3 marriages ending for ADHD-specific reasons); severe occupational impairment (7 jobs in 10 years); financial impairment (significant debt from impulsivity); driving impairment (licence loss from infringements). The patient's self-assessment of 'coping fine' is not the clinical standard — objective functional history takes precedence. This is a well-recognised phenomenon in ADHD: patients normalize lifelong impairment. Option A incorrectly prioritises patient self-report over objective evidence. Options C, D, and E minimise or defer recognition of documented impairment.</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Normalised self-report of 'coping fine' does not negate objectively documented impairment across multiple life domains.</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47</w:t>
      </w:r>
      <w:r>
        <w:rPr>
          <w:rFonts w:ascii="Arial" w:cs="Arial" w:eastAsia="Arial" w:hAnsi="Arial"/>
          <w:i/>
          <w:iCs/>
          <w:color w:val="888888"/>
          <w:sz w:val="20"/>
          <w:szCs w:val="20"/>
        </w:rPr>
        <w:t xml:space="preserve">  [Clinical Reasoning — ADHD and Driving]</w:t>
      </w:r>
    </w:p>
    <w:p>
      <w:pPr>
        <w:spacing w:after="80" w:before="40"/>
        <w:ind w:left="0"/>
      </w:pPr>
      <w:r>
        <w:rPr>
          <w:rFonts w:ascii="Arial" w:cs="Arial" w:eastAsia="Arial" w:hAnsi="Arial"/>
          <w:sz w:val="22"/>
          <w:szCs w:val="22"/>
        </w:rPr>
        <w:t xml:space="preserve">A 22-year-old male with ADHD Combined Type has just commenced lisdexamfetamine 20mg. He asks whether he can continue driving while taking this medication. What is the most accurate clinical advice?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Stimulants are CNS stimulants — he should not drive until his medication is stabilised and he has been assessed by the DVLA.</w:t>
      </w:r>
    </w:p>
    <w:p>
      <w:pPr>
        <w:spacing w:after="40" w:before="40"/>
        <w:ind w:left="400"/>
      </w:pPr>
      <w:r>
        <w:rPr>
          <w:rFonts w:ascii="Arial" w:cs="Arial" w:eastAsia="Arial" w:hAnsi="Arial"/>
          <w:b/>
          <w:bCs/>
          <w:sz w:val="22"/>
          <w:szCs w:val="22"/>
        </w:rPr>
        <w:t xml:space="preserve">B.  </w:t>
      </w:r>
      <w:r>
        <w:rPr>
          <w:rFonts w:ascii="Arial" w:cs="Arial" w:eastAsia="Arial" w:hAnsi="Arial"/>
          <w:b/>
          <w:bCs/>
          <w:color w:val="0F6E56"/>
          <w:sz w:val="22"/>
          <w:szCs w:val="22"/>
        </w:rPr>
        <w:t xml:space="preserve">ADHD itself impairs driving safety; stimulant treatment generally improves driving safety in ADHD; he may continue driving; advise him not to drive if he notices any adverse effects that impair alertness or reaction time; document this conversation.</w:t>
      </w:r>
    </w:p>
    <w:p>
      <w:pPr>
        <w:spacing w:after="40" w:before="40"/>
        <w:ind w:left="400"/>
      </w:pPr>
      <w:r>
        <w:rPr>
          <w:rFonts w:ascii="Arial" w:cs="Arial" w:eastAsia="Arial" w:hAnsi="Arial"/>
          <w:b w:val="false"/>
          <w:bCs w:val="false"/>
          <w:sz w:val="22"/>
          <w:szCs w:val="22"/>
        </w:rPr>
        <w:t xml:space="preserve">C.  </w:t>
      </w:r>
      <w:r>
        <w:rPr>
          <w:rFonts w:ascii="Arial" w:cs="Arial" w:eastAsia="Arial" w:hAnsi="Arial"/>
          <w:b w:val="false"/>
          <w:bCs w:val="false"/>
          <w:color w:val="2C2C2A"/>
          <w:sz w:val="22"/>
          <w:szCs w:val="22"/>
        </w:rPr>
        <w:t xml:space="preserve">He should stop driving until the ADHD diagnosis is formally registered with Transport for NSW.</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He should only drive on days when he takes his medication.</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Stimulant medication always impairs driving and requires a medical certificate before driving can resume.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B</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clinical evidence is clear: untreated ADHD significantly impairs driving safety (increased accident rates, infringements, licence suspensions). Stimulant treatment significantly IMPROVES driving safety in ADHD patients. The advice is: (1) ADHD treatment generally improves driving safety; (2) Continue driving; (3) Do not drive if adverse effects impair function (sedation would apply to guanfacine but is not a primary stimulant concern); (4) Document the driving safety discussion in the note. There is no requirement for DVLA notification, Transport NSW registration, or medical certificate for ADHD with treatment. Option A incorrectly states stimulants impair driving. Option C (register diagnosis) is not a NSW requirement for ADHD. Option D (medication days only) is unnecessarily restrictive. Option E is factually incorrect.</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Stimulants IMPROVE driving safety in ADHD. Treat the ADHD, advise to drive normally, document the discussion.</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48</w:t>
      </w:r>
      <w:r>
        <w:rPr>
          <w:rFonts w:ascii="Arial" w:cs="Arial" w:eastAsia="Arial" w:hAnsi="Arial"/>
          <w:i/>
          <w:iCs/>
          <w:color w:val="888888"/>
          <w:sz w:val="20"/>
          <w:szCs w:val="20"/>
        </w:rPr>
        <w:t xml:space="preserve">  [Clinical Reasoning — Complex Case]</w:t>
      </w:r>
    </w:p>
    <w:p>
      <w:pPr>
        <w:spacing w:after="80" w:before="40"/>
        <w:ind w:left="0"/>
      </w:pPr>
      <w:r>
        <w:rPr>
          <w:rFonts w:ascii="Arial" w:cs="Arial" w:eastAsia="Arial" w:hAnsi="Arial"/>
          <w:sz w:val="22"/>
          <w:szCs w:val="22"/>
        </w:rPr>
        <w:t xml:space="preserve">A 16-year-old female is diagnosed with ADHD Predominantly Inattentive Type. Her mother is a registered nurse and is knowledgeable about ADHD medications. The mother requests lisdexamfetamine, specifically stating her preference. The patient (16-year-old, Gillick-competent) says: 'I don't want medication. I want to try without it first.' Which is the most appropriate clinical response?</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Prescribe LDX as the mother has requested — parental preference should guide prescribing in a minor.</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Refuse all treatment until the patient is 18 and can consent independently.</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Respect the patient's informed refusal of pharmacotherapy; discuss non-pharmacological options and initiate these with her agreement; revisit medication discussion at a later point; document the patient's decision and the non-pharmacological plan.</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Prescribe LDX and ask the mother to manage medication administration — the patient's refusal is adolescent non-compliance, not an informed decision.</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Mediate between patient and mother and encourage the patient to accept medication.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 Gillick-competent adolescent's informed refusal of treatment must be respected — the parent cannot override it. The patient has clearly declined medication and expressed a preference for non-pharmacological management. The GP should: (1) respect this decision; (2) confirm the patient understands what she is declining; (3) initiate non-pharmacological interventions she agrees to; (4) revisit medication at a later point without pressure; (5) document explicitly. Option A gives parental authority priority over a Gillick-competent minor's decision — this is incorrect. Option B is unnecessarily restrictive. Option D prescribes against the patient's wishes — this is ethically and legally inappropriate. Option E attempts to override the patient's decision through family pressure.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Gillick-competent adolescent's informed refusal of treatment must be respected — parental consent does not override it.</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49</w:t>
      </w:r>
      <w:r>
        <w:rPr>
          <w:rFonts w:ascii="Arial" w:cs="Arial" w:eastAsia="Arial" w:hAnsi="Arial"/>
          <w:i/>
          <w:iCs/>
          <w:color w:val="888888"/>
          <w:sz w:val="20"/>
          <w:szCs w:val="20"/>
        </w:rPr>
        <w:t xml:space="preserve">  [Clinical Reasoning — Annual Review]</w:t>
      </w:r>
    </w:p>
    <w:p>
      <w:pPr>
        <w:spacing w:after="80" w:before="40"/>
        <w:ind w:left="0"/>
      </w:pPr>
      <w:r>
        <w:rPr>
          <w:rFonts w:ascii="Arial" w:cs="Arial" w:eastAsia="Arial" w:hAnsi="Arial"/>
          <w:sz w:val="22"/>
          <w:szCs w:val="22"/>
        </w:rPr>
        <w:t xml:space="preserve">Which of the following elements is NOT explicitly listed in AADPA CPP 5.9.1 as a requirement for the annual medication review for patients with ADHD?</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Assessment of the patient's preferences for continuing, stopping, or changing medication.</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Effects of missed doses, planned dose reductions, and periods of no treatment.</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A neuropsychological assessment to re-confirm the ADHD diagnosis annually.</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Need for support and type of support if medication has been optimised but symptoms continue to cause significant impairment.</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Impact on education, employment, and participation.</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AADPA CPP 5.9.1 specifies the annual review must comprehensively assess: patient preferences; benefits and how well current treatment works throughout the day; adverse effects; clinical need and whether medication has been optimised; impact on education/employment/participation; effects of missed doses and dose reductions; effect of medication on existing or new mental health/physical/neurodevelopmental disorders; need for support if medication is optimised but impairment persists. Neuropsychological assessment is NOT listed as an annual requirement — it is not routinely required at diagnosis or at review. This question tests knowledge of what the guideline specifically requires vs what is commonly assumed.</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Annual review does NOT require neuropsychological re-testing — the nine AADPA CPP 5.9.1 elements are clinical, not psychometric.</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spacing w:after="80" w:before="160"/>
      </w:pPr>
      <w:r>
        <w:rPr>
          <w:rFonts w:ascii="Arial" w:cs="Arial" w:eastAsia="Arial" w:hAnsi="Arial"/>
          <w:b/>
          <w:bCs/>
          <w:color w:val="1B3A6B"/>
          <w:sz w:val="22"/>
          <w:szCs w:val="22"/>
        </w:rPr>
        <w:t xml:space="preserve">Question 50</w:t>
      </w:r>
      <w:r>
        <w:rPr>
          <w:rFonts w:ascii="Arial" w:cs="Arial" w:eastAsia="Arial" w:hAnsi="Arial"/>
          <w:i/>
          <w:iCs/>
          <w:color w:val="888888"/>
          <w:sz w:val="20"/>
          <w:szCs w:val="20"/>
        </w:rPr>
        <w:t xml:space="preserve">  [Clinical Reasoning — Synthesis]</w:t>
      </w:r>
    </w:p>
    <w:p>
      <w:pPr>
        <w:spacing w:after="80" w:before="40"/>
        <w:ind w:left="0"/>
      </w:pPr>
      <w:r>
        <w:rPr>
          <w:rFonts w:ascii="Arial" w:cs="Arial" w:eastAsia="Arial" w:hAnsi="Arial"/>
          <w:sz w:val="22"/>
          <w:szCs w:val="22"/>
        </w:rPr>
        <w:t xml:space="preserve">A GP in NSW completes the ADHD Endorsed Prescribing Training program and prepares to initiate ADHD pharmacotherapy for their first patient. Which of the following sequences most accurately reflects best practice for the first prescription?</w:t>
      </w:r>
    </w:p>
    <w:p>
      <w:pPr>
        <w:spacing w:after="40" w:before="40"/>
        <w:ind w:left="400"/>
      </w:pPr>
      <w:r>
        <w:rPr>
          <w:rFonts w:ascii="Arial" w:cs="Arial" w:eastAsia="Arial" w:hAnsi="Arial"/>
          <w:b w:val="false"/>
          <w:bCs w:val="false"/>
          <w:sz w:val="22"/>
          <w:szCs w:val="22"/>
        </w:rPr>
        <w:t xml:space="preserve">A.  </w:t>
      </w:r>
      <w:r>
        <w:rPr>
          <w:rFonts w:ascii="Arial" w:cs="Arial" w:eastAsia="Arial" w:hAnsi="Arial"/>
          <w:b w:val="false"/>
          <w:bCs w:val="false"/>
          <w:color w:val="2C2C2A"/>
          <w:sz w:val="22"/>
          <w:szCs w:val="22"/>
        </w:rPr>
        <w:t xml:space="preserve">Confirm ADHD diagnosis → Issue prescription → Apply for NSW S8 authority retrospectively.</w:t>
      </w:r>
    </w:p>
    <w:p>
      <w:pPr>
        <w:spacing w:after="40" w:before="40"/>
        <w:ind w:left="400"/>
      </w:pPr>
      <w:r>
        <w:rPr>
          <w:rFonts w:ascii="Arial" w:cs="Arial" w:eastAsia="Arial" w:hAnsi="Arial"/>
          <w:b w:val="false"/>
          <w:bCs w:val="false"/>
          <w:sz w:val="22"/>
          <w:szCs w:val="22"/>
        </w:rPr>
        <w:t xml:space="preserve">B.  </w:t>
      </w:r>
      <w:r>
        <w:rPr>
          <w:rFonts w:ascii="Arial" w:cs="Arial" w:eastAsia="Arial" w:hAnsi="Arial"/>
          <w:b w:val="false"/>
          <w:bCs w:val="false"/>
          <w:color w:val="2C2C2A"/>
          <w:sz w:val="22"/>
          <w:szCs w:val="22"/>
        </w:rPr>
        <w:t xml:space="preserve">Apply for NSW S8 authority → Confirm ADHD diagnosis → Complete pre-prescribing assessment → Obtain informed consent → Document formulation → Issue prescription.</w:t>
      </w:r>
    </w:p>
    <w:p>
      <w:pPr>
        <w:spacing w:after="40" w:before="40"/>
        <w:ind w:left="400"/>
      </w:pPr>
      <w:r>
        <w:rPr>
          <w:rFonts w:ascii="Arial" w:cs="Arial" w:eastAsia="Arial" w:hAnsi="Arial"/>
          <w:b/>
          <w:bCs/>
          <w:sz w:val="22"/>
          <w:szCs w:val="22"/>
        </w:rPr>
        <w:t xml:space="preserve">C.  </w:t>
      </w:r>
      <w:r>
        <w:rPr>
          <w:rFonts w:ascii="Arial" w:cs="Arial" w:eastAsia="Arial" w:hAnsi="Arial"/>
          <w:b/>
          <w:bCs/>
          <w:color w:val="0F6E56"/>
          <w:sz w:val="22"/>
          <w:szCs w:val="22"/>
        </w:rPr>
        <w:t xml:space="preserve">Confirm ADHD diagnosis → Complete pre-prescribing assessment → Obtain informed consent → Apply for NSW S8 authority → Document formulation → Issue prescription.</w:t>
      </w:r>
    </w:p>
    <w:p>
      <w:pPr>
        <w:spacing w:after="40" w:before="40"/>
        <w:ind w:left="400"/>
      </w:pPr>
      <w:r>
        <w:rPr>
          <w:rFonts w:ascii="Arial" w:cs="Arial" w:eastAsia="Arial" w:hAnsi="Arial"/>
          <w:b w:val="false"/>
          <w:bCs w:val="false"/>
          <w:sz w:val="22"/>
          <w:szCs w:val="22"/>
        </w:rPr>
        <w:t xml:space="preserve">D.  </w:t>
      </w:r>
      <w:r>
        <w:rPr>
          <w:rFonts w:ascii="Arial" w:cs="Arial" w:eastAsia="Arial" w:hAnsi="Arial"/>
          <w:b w:val="false"/>
          <w:bCs w:val="false"/>
          <w:color w:val="2C2C2A"/>
          <w:sz w:val="22"/>
          <w:szCs w:val="22"/>
        </w:rPr>
        <w:t xml:space="preserve">Complete pre-prescribing assessment → Apply for NSW S8 authority → Confirm ADHD diagnosis → Issue prescription → Obtain consent.</w:t>
      </w:r>
    </w:p>
    <w:p>
      <w:pPr>
        <w:spacing w:after="40" w:before="40"/>
        <w:ind w:left="400"/>
      </w:pPr>
      <w:r>
        <w:rPr>
          <w:rFonts w:ascii="Arial" w:cs="Arial" w:eastAsia="Arial" w:hAnsi="Arial"/>
          <w:b w:val="false"/>
          <w:bCs w:val="false"/>
          <w:sz w:val="22"/>
          <w:szCs w:val="22"/>
        </w:rPr>
        <w:t xml:space="preserve">E.  </w:t>
      </w:r>
      <w:r>
        <w:rPr>
          <w:rFonts w:ascii="Arial" w:cs="Arial" w:eastAsia="Arial" w:hAnsi="Arial"/>
          <w:b w:val="false"/>
          <w:bCs w:val="false"/>
          <w:color w:val="2C2C2A"/>
          <w:sz w:val="22"/>
          <w:szCs w:val="22"/>
        </w:rPr>
        <w:t xml:space="preserve">Apply for NSW S8 authority → Issue prescription → Confirm ADHD diagnosis at next appointment.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F6E56" w:sz="8"/>
              <w:left w:val="single" w:color="0F6E56" w:sz="8"/>
              <w:bottom w:val="single" w:color="0F6E56" w:sz="8"/>
              <w:right w:val="single" w:color="0F6E56" w:sz="8"/>
            </w:tcBorders>
            <w:shd w:fill="E1F5EE" w:val="clear"/>
            <w:tcMar>
              <w:top w:type="dxa" w:w="100"/>
              <w:left w:type="dxa" w:w="200"/>
              <w:bottom w:type="dxa" w:w="40"/>
              <w:right w:type="dxa" w:w="200"/>
            </w:tcMar>
          </w:tcPr>
          <w:p>
            <w:pPr>
              <w:spacing w:after="40" w:before="40"/>
            </w:pPr>
            <w:r>
              <w:rPr>
                <w:rFonts w:ascii="Arial" w:cs="Arial" w:eastAsia="Arial" w:hAnsi="Arial"/>
                <w:b/>
                <w:bCs/>
                <w:color w:val="0F6E56"/>
                <w:sz w:val="22"/>
                <w:szCs w:val="22"/>
              </w:rPr>
              <w:t xml:space="preserve">✅  Answer &amp; Rationale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Correct answer: C</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The correct sequence for a first ADHD prescription: (1) ADHD diagnosis confirmed (formulation complete — cannot prescribe without confirmed diagnosis); (2) Pre-prescribing assessment completed (AADPA CPP 5.1.2 — cardiovascular, SUD, medications); (3) Informed consent obtained and documented (before prescription); (4) NSW S8 authority applied for and obtained (before prescription issued); (5) Formulation documented in notes; (6) Prescription issued with authority number. Option A prescribes before authority. Option B lists authority before diagnosis — authority should be sought after diagnosis is confirmed. Option D prescribes without consent. Option E prescribes before diagnosis — never acceptable.</w:t>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0F6E56" w:sz="8"/>
              <w:bottom w:val="none" w:color="FFFFFF" w:sz="0"/>
              <w:right w:val="single" w:color="0F6E56" w:sz="8"/>
            </w:tcBorders>
            <w:shd w:fill="E1F5EE" w:val="clear"/>
            <w:tcMar>
              <w:top w:type="dxa" w:w="80"/>
              <w:left w:type="dxa" w:w="200"/>
              <w:bottom w:type="dxa" w:w="80"/>
              <w:right w:type="dxa" w:w="200"/>
            </w:tcMar>
          </w:tcPr>
          <w:p>
            <w:pPr>
              <w:spacing w:after="40" w:before="40"/>
            </w:pPr>
            <w:r>
              <w:rPr>
                <w:rFonts w:ascii="Arial" w:cs="Arial" w:eastAsia="Arial" w:hAnsi="Arial"/>
                <w:sz w:val="22"/>
                <w:szCs w:val="22"/>
              </w:rPr>
              <w:t xml:space="preserve">⚠️  Common Trap: Diagnosis confirmed → Pre-prescribing assessment → Consent → Authority obtained → Document → Prescribe.</w:t>
            </w:r>
          </w:p>
        </w:tc>
      </w:tr>
      <w:tr>
        <w:tc>
          <w:tcPr>
            <w:tcBorders>
              <w:top w:val="none" w:color="FFFFFF" w:sz="0"/>
              <w:left w:val="single" w:color="0F6E56" w:sz="8"/>
              <w:bottom w:val="single" w:color="0F6E56" w:sz="8"/>
              <w:right w:val="single" w:color="0F6E56" w:sz="8"/>
            </w:tcBorders>
            <w:shd w:fill="E1F5EE"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p>
      <w:pPr>
        <w:pStyle w:val="Heading1"/>
        <w:spacing w:after="200" w:before="480"/>
      </w:pPr>
      <w:r>
        <w:rPr>
          <w:rFonts w:ascii="Arial" w:cs="Arial" w:eastAsia="Arial" w:hAnsi="Arial"/>
          <w:b/>
          <w:bCs/>
          <w:color w:val="1B3A6B"/>
          <w:sz w:val="36"/>
          <w:szCs w:val="36"/>
        </w:rPr>
        <w:t xml:space="preserve">Part C — OSCE Stations</w:t>
      </w:r>
    </w:p>
    <w:p>
      <w:pPr>
        <w:spacing w:after="80" w:before="80"/>
        <w:jc w:val="both"/>
      </w:pPr>
      <w:r>
        <w:rPr>
          <w:rFonts w:ascii="Arial" w:cs="Arial" w:eastAsia="Arial" w:hAnsi="Arial"/>
          <w:sz w:val="22"/>
          <w:szCs w:val="22"/>
        </w:rPr>
        <w:t xml:space="preserve">Three Objective Structured Clinical Examination (OSCE) stations, each 20 minutes, assessing clinical competencies that cannot be tested by written examination. Each station includes: the clinical scenario, candidate instructions, examiner marking guide, and model answer.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256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Competency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Duration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Station 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Conducting a semi-structured adult ADHD assessment interview</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20 min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Station 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Breaking bad news — adult ADHD diagnosis disclosure and psychoeducation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20 min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Station 3</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Complex prescribing decision — stimulant initiation in a patient with SUD history</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20 min</w:t>
            </w:r>
          </w:p>
        </w:tc>
      </w:tr>
    </w:tbl>
    <w:p>
      <w:pPr>
        <w:spacing w:after="60" w:before="6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OSCE Station 1 — Adult ADHD Assessment Interview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414" w:sz="8"/>
              <w:left w:val="single" w:color="7B1414" w:sz="8"/>
              <w:bottom w:val="single" w:color="7B1414" w:sz="8"/>
              <w:right w:val="single" w:color="7B1414" w:sz="8"/>
            </w:tcBorders>
            <w:shd w:fill="FFF0F0" w:val="clear"/>
            <w:tcMar>
              <w:top w:type="dxa" w:w="100"/>
              <w:left w:type="dxa" w:w="200"/>
              <w:bottom w:type="dxa" w:w="40"/>
              <w:right w:type="dxa" w:w="200"/>
            </w:tcMar>
          </w:tcPr>
          <w:p>
            <w:pPr>
              <w:spacing w:after="40" w:before="40"/>
            </w:pPr>
            <w:r>
              <w:rPr>
                <w:rFonts w:ascii="Arial" w:cs="Arial" w:eastAsia="Arial" w:hAnsi="Arial"/>
                <w:b/>
                <w:bCs/>
                <w:color w:val="7B1414"/>
                <w:sz w:val="22"/>
                <w:szCs w:val="22"/>
              </w:rPr>
              <w:t xml:space="preserve">🩺  OSCE Station</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STATION 1: ADULT ADHD ASSESSMENT INTERVIEW</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Duration: 20 minutes (15 min consultation + 5 min debrief with examiner)</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Format: Standardised patient (actor) + examiner observation</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CANDIDATE INSTRUCTIONS:</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You are a GP conducting Consultation 2 of an adult ADHD assessment. You have already met this patient once (Consultation 1) and issued rating scales. The patient, Joanna, is a 36-year-old marketing manager who has completed the ASRS-v1.1 (score 18/24). You have not yet reviewed collateral.</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Joanna's Consultation 1 notes (provided): 'Self-referral for ADHD assessment. Reports lifelong difficulty with concentration, organisation, and task initiation. ASRS issued. Review in 2 weeks.'</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Your tasks for this station:</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1. Conduct a semi-structured assessment interview covering the key assessment domains</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2. Explore developmental history and functional impairment</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3. Screen for relevant differentials and comorbidities</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4. Demonstrate therapeutic alliance and trauma-informed approach</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STANDARDISED PATIENT BRIEF (for actor — not shown to candidate):</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You are Joanna, 36. You have genuine ADHD-inattentive type. Disclose freely when asked directly. You are slightly anxious at the start — you have been dismissed before ('just anxiety'). If the GP seems genuinely curious and non-judgmental, open up. Key disclosures available: lifelong organisational chaos; always 'dreamy' at school; 3 jobs in 5 years; marriage strained; cannot start tasks without deadline pressure; premenstrual worsening of symptoms. Do NOT disclose these proactively — wait for relevant questions.</w:t>
            </w:r>
          </w:p>
        </w:tc>
      </w:tr>
      <w:tr>
        <w:tc>
          <w:tcPr>
            <w:tcBorders>
              <w:top w:val="none" w:color="FFFFFF" w:sz="0"/>
              <w:left w:val="single" w:color="7B1414" w:sz="8"/>
              <w:bottom w:val="single" w:color="7B1414" w:sz="8"/>
              <w:right w:val="single" w:color="7B1414" w:sz="8"/>
            </w:tcBorders>
            <w:shd w:fill="FFF0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8"/>
              <w:left w:val="single" w:color="5C2D91" w:sz="8"/>
              <w:bottom w:val="single" w:color="5C2D91" w:sz="8"/>
              <w:right w:val="single" w:color="5C2D91" w:sz="8"/>
            </w:tcBorders>
            <w:shd w:fill="EDE7F6" w:val="clear"/>
            <w:tcMar>
              <w:top w:type="dxa" w:w="100"/>
              <w:left w:type="dxa" w:w="200"/>
              <w:bottom w:type="dxa" w:w="40"/>
              <w:right w:type="dxa" w:w="200"/>
            </w:tcMar>
          </w:tcPr>
          <w:p>
            <w:pPr>
              <w:spacing w:after="40" w:before="40"/>
            </w:pPr>
            <w:r>
              <w:rPr>
                <w:rFonts w:ascii="Arial" w:cs="Arial" w:eastAsia="Arial" w:hAnsi="Arial"/>
                <w:b/>
                <w:bCs/>
                <w:color w:val="5C2D91"/>
                <w:sz w:val="22"/>
                <w:szCs w:val="22"/>
              </w:rPr>
              <w:t xml:space="preserve">📊  Marking Rubric</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MARKING RUBRIC — STATION 1 (Total: 30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DOMAIN 1 — Therapeutic Alliance and Opening (6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6: Warm, non-judgmental opening; validates patient experience; explains structure of appointment; establishes safety to disclose</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4: Adequate alliance but missed opportunity to validate or structure</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2: Functional but clinical/detached tone</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Rushed, judgmental, or inadequate alliance</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DOMAIN 2 — Symptom Exploration (6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6: Covers both inattentive and hyperactive/impulsive symptom domains; uses open questions first then funnel to specific; uses patient's own language; identifies specific examples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4: Covers main domains but misses either inattentive or HI domain; limited examples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2: Superficial coverage; relies on yes/no questions; no patient-specific examples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Only asks general 'do you have ADHD symptoms' type questions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DOMAIN 3 — Developmental History (6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6: Explicitly addresses onset before age 12; explores school experience with specifics; identifies consistent pattern across developmental stages; asks about family history</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4: Addresses childhood onset; some school history; family history may be missing</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2: Brief mention of childhood; no structured developmental exploration</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Does not address developmental history</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DOMAIN 4 — Functional Impairment (6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6: Systematically maps impairment across ≥4 life domains (work, relationships, finances, driving, or other); uses specific questions per domain; obtains concrete examples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4: Addresses 2–3 domains adequately</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2: General 'how does this affect your life' without domain mapping</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Does not explore functional impairment</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DOMAIN 5 — Differential Diagnosis Screen (6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6: Screens for: anxiety (distinguishes from ADHD mind-wandering); depression; bipolar (asks about hypomania specifically); sleep; substance use; explicitly acknowledges comorbidity possibility</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4: Screens for 3–4 differentials; may miss bipolar or sleep</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2: Screens for anxiety only or makes no systematic differential screening</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No differential screening</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BONUS DOMAIN — Special Population Awareness (2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2: Asks about premenstrual symptom variation or hormonal factors (appropriate for a 36-year-old female patient)</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Does not address hormonal factors</w:t>
            </w:r>
          </w:p>
        </w:tc>
      </w:tr>
      <w:tr>
        <w:tc>
          <w:tcPr>
            <w:tcBorders>
              <w:top w:val="none" w:color="FFFFFF" w:sz="0"/>
              <w:left w:val="single" w:color="5C2D91" w:sz="8"/>
              <w:bottom w:val="single" w:color="5C2D91" w:sz="8"/>
              <w:right w:val="single" w:color="5C2D91" w:sz="8"/>
            </w:tcBorders>
            <w:shd w:fill="EDE7F6"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Model Answer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MODEL ANSWER — STATION 1: KEY INTERVIEW MOMENTS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OPENING:</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'Joanna, welcome back. I've had a chance to look at the questionnaire you completed — thank you for filling that in carefully. Before we go through any structured questions, I want to hear from you. You've tried to get help for this before and felt dismissed. I want to understand your experience first, and I'm not going to jump to conclusions. What's been getting in the way for you?'</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DEVELOPMENTAL HISTORY PROBE: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'Can I take you back to school — primary school particularly. What were you like as a student? What did teachers say about you?' [Listen for daydreaming, could-do-better language, effort praised but inconsistent results.]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THE INTEREST-BASED NERVOUS SYSTEM PROBE: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'Is there anything you find you can focus on for hours without difficulty — where concentration isn't a problem at all?' [If yes: this confirms the pattern and helps distinguish from GAD.]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FUNCTIONAL IMPAIRMENT — WORK DOMAIN: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'You mentioned three jobs in five years. Can you tell me more about what happened in each of those? Was it your decision to leave, or was there performance feedback involved?'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BIPOLAR SCREEN: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'I want to ask about your mood — specifically whether you've ever had periods of the opposite of depression — where you felt amazing, needed very little sleep but had more energy than usual, and maybe made some impulsive decisions?' [Key: decreased sleep NEED with maintained energy.]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PREMENSTRUAL PROBE (excellent candidate addition):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'One thing I often ask women about — does your ability to concentrate or manage your emotions seem to change across your menstrual cycle? Is it worse at any particular time of the month?'</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OSCE Station 2 — Diagnostic Disclosure and Psychoeducation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414" w:sz="8"/>
              <w:left w:val="single" w:color="7B1414" w:sz="8"/>
              <w:bottom w:val="single" w:color="7B1414" w:sz="8"/>
              <w:right w:val="single" w:color="7B1414" w:sz="8"/>
            </w:tcBorders>
            <w:shd w:fill="FFF0F0" w:val="clear"/>
            <w:tcMar>
              <w:top w:type="dxa" w:w="100"/>
              <w:left w:type="dxa" w:w="200"/>
              <w:bottom w:type="dxa" w:w="40"/>
              <w:right w:type="dxa" w:w="200"/>
            </w:tcMar>
          </w:tcPr>
          <w:p>
            <w:pPr>
              <w:spacing w:after="40" w:before="40"/>
            </w:pPr>
            <w:r>
              <w:rPr>
                <w:rFonts w:ascii="Arial" w:cs="Arial" w:eastAsia="Arial" w:hAnsi="Arial"/>
                <w:b/>
                <w:bCs/>
                <w:color w:val="7B1414"/>
                <w:sz w:val="22"/>
                <w:szCs w:val="22"/>
              </w:rPr>
              <w:t xml:space="preserve">🩺  OSCE Station</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STATION 2: ADULT ADHD DIAGNOSTIC DISCLOSURE</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Duration: 20 minutes</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Format: Standardised patient (actor) + examiner observation</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CANDIDATE INSTRUCTIONS:</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You are a GP conducting Consultation 3 with Marcus, a 41-year-old male accountant. Consultations 1 and 2 confirmed a diagnosis of ADHD, Predominantly Inattentive Presentation, Moderate Severity.</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Marcus has had a successful career externally but describes decades of exhausting effort to appear organised. He was told repeatedly as a child that he 'wasn't working to his potential.' He has never been assessed for ADHD before.</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Your tasks:</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1. Communicate the diagnosis clearly and sensitively</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2. Provide evidence-based psychoeducation about ADHD</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3. Address the emotional response to diagnosis</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4. Outline treatment options without pressuring a decision</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STANDARDISED PATIENT BRIEF (for actor):</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You are Marcus. When the GP tells you the diagnosis, react with: a pause, then emotional welling up, then say: 'So I wasn't just lazy all along? I've spent 40 years thinking I just wasn't good enough.' You have mixed emotions — relief, grief, and some anger. Express each when appropriate. If the GP rushes past the emotional moment, disengage. If the GP holds space, open up fully.</w:t>
            </w:r>
          </w:p>
        </w:tc>
      </w:tr>
      <w:tr>
        <w:tc>
          <w:tcPr>
            <w:tcBorders>
              <w:top w:val="none" w:color="FFFFFF" w:sz="0"/>
              <w:left w:val="single" w:color="7B1414" w:sz="8"/>
              <w:bottom w:val="single" w:color="7B1414" w:sz="8"/>
              <w:right w:val="single" w:color="7B1414" w:sz="8"/>
            </w:tcBorders>
            <w:shd w:fill="FFF0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8"/>
              <w:left w:val="single" w:color="5C2D91" w:sz="8"/>
              <w:bottom w:val="single" w:color="5C2D91" w:sz="8"/>
              <w:right w:val="single" w:color="5C2D91" w:sz="8"/>
            </w:tcBorders>
            <w:shd w:fill="EDE7F6" w:val="clear"/>
            <w:tcMar>
              <w:top w:type="dxa" w:w="100"/>
              <w:left w:type="dxa" w:w="200"/>
              <w:bottom w:type="dxa" w:w="40"/>
              <w:right w:type="dxa" w:w="200"/>
            </w:tcMar>
          </w:tcPr>
          <w:p>
            <w:pPr>
              <w:spacing w:after="40" w:before="40"/>
            </w:pPr>
            <w:r>
              <w:rPr>
                <w:rFonts w:ascii="Arial" w:cs="Arial" w:eastAsia="Arial" w:hAnsi="Arial"/>
                <w:b/>
                <w:bCs/>
                <w:color w:val="5C2D91"/>
                <w:sz w:val="22"/>
                <w:szCs w:val="22"/>
              </w:rPr>
              <w:t xml:space="preserve">📊  Marking Rubric</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MARKING RUBRIC — STATION 2 (Total: 30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DOMAIN 1 — Diagnosis Communication (6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6: Clear, plain-language diagnosis statement; names the subtype; explains 'what it is and isn't'; no jargon; confirms patient understanding</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4: Clear diagnosis but limited explanation or partial jargon</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2: Diagnosis communicated but unclear or buried in qualifications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Diagnosis not clearly communicated</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DOMAIN 2 — Emotional Response Management (6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6: Explicitly holds space for emotional response; does NOT move past the emotional moment; validates without pathologising; acknowledges the weight of decades of self-blame</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4: Acknowledges emotion but moves on too quickly</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2: Minimal emotional acknowledgment; primarily clinical in register</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Ignores or dismisses the emotional response</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DOMAIN 3 — Psychoeducation Content (6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6: Covers neurobiological explanation; explicitly reframes 'lazy/stupid' narrative; identifies ADHD-associated strengths; explains interest-based nervous system; realistic expectations for treatment</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4: Neurobiological explanation and reframe; may miss strengths discussion</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2: Basic explanation without reframe or strengths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Inadequate or inaccurate psychoeducation</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DOMAIN 4 — Treatment Options (6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6: Presents all options (medication, non-pharmacological, combined); explains what medication does and doesn't do; does NOT pressure; explicitly invites patient's preferences; schedules separate treatment planning appointment</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4: Presents options but may favour one without balancing</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2: Only mentions medication; does not adequately discuss non-pharmacological</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Does not discuss treatment options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DOMAIN 5 — Documentation Intent (6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6: States they will document the diagnosis and disclosure; explains what written resources they will provide; confirms a follow-up appointment for treatment planning; explains what to do if concerns arise before next appointment</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4: Mentions documentation and follow-up but incomplete</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2: Mentions follow-up only</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No documentation or follow-up plan discussed</w:t>
            </w:r>
          </w:p>
        </w:tc>
      </w:tr>
      <w:tr>
        <w:tc>
          <w:tcPr>
            <w:tcBorders>
              <w:top w:val="none" w:color="FFFFFF" w:sz="0"/>
              <w:left w:val="single" w:color="5C2D91" w:sz="8"/>
              <w:bottom w:val="single" w:color="5C2D91" w:sz="8"/>
              <w:right w:val="single" w:color="5C2D91" w:sz="8"/>
            </w:tcBorders>
            <w:shd w:fill="EDE7F6"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Model Answer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MODEL ANSWER — STATION 2: KEY DISCLOSURE MOMENTS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DIAGNOSIS STATEMENT: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'Marcus, having gone through everything carefully across our appointments — your history, your school reports, your work experience, and everything you've described — I can confirm that you do have ADHD. Specifically, it's the inattentive type, which means it's primarily about the attention and organisation side rather than hyperactivity. This is a genuinely confirmed neurodevelopmental condition.'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HOLDING THE EMOTIONAL MOMENT: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[When Marcus says: 'So I wasn't just lazy all along?'] — Stop. Pause. Do not speak immediately.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'No. You were never lazy. You have been working with a brain that has been working three times as hard as other people's just to appear to keep up — and no one told you why it was so hard. The years of believing you just weren't good enough — that belief belongs to a misunderstanding, not to who you actually are.'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[Allow the silence. This is a clinical moment of profound significance — rushing it is the examiner-visible error.]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NEUROBIOLOGICAL REFRAME: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'Your brain has difficulty regulating two chemicals — dopamine and noradrenaline — that control how attention and motivation work. This is biological. It's strongly genetic — you may recognise it in family members. It is not a character flaw.'</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STRENGTHS:</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'I also want you to know — and this matters — that the same brain wiring that created these difficulties has also given you things. Most people with ADHD I see describe being able to think very creatively, being extraordinarily passionate about things they care about, having a drive that other people find remarkable. What are the things you've been able to do brilliantly in your career?'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TREATMENT OPTIONS — NON-PRESSURING:</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'I want to tell you about the options — not to make a decision today, but so you can think about it before we meet again. There are three approaches...' [Present medication, non-pharmacological, combined — neutral tone.] 'Today is just about understanding the diagnosis. We'll talk about what you want to do about it at our next appointment.'</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80" w:before="80"/>
      </w:pPr>
      <w:r>
        <w:t xml:space="preserve"/>
      </w:r>
    </w:p>
    <w:p>
      <w:pPr>
        <w:pStyle w:val="Heading2"/>
        <w:pBdr>
          <w:bottom w:val="single" w:color="0F6E56" w:sz="4"/>
        </w:pBdr>
        <w:spacing w:after="160" w:before="360"/>
      </w:pPr>
      <w:r>
        <w:rPr>
          <w:rFonts w:ascii="Arial" w:cs="Arial" w:eastAsia="Arial" w:hAnsi="Arial"/>
          <w:b/>
          <w:bCs/>
          <w:color w:val="0F6E56"/>
          <w:sz w:val="28"/>
          <w:szCs w:val="28"/>
        </w:rPr>
        <w:t xml:space="preserve">OSCE Station 3 — Complex Prescribing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1414" w:sz="8"/>
              <w:left w:val="single" w:color="7B1414" w:sz="8"/>
              <w:bottom w:val="single" w:color="7B1414" w:sz="8"/>
              <w:right w:val="single" w:color="7B1414" w:sz="8"/>
            </w:tcBorders>
            <w:shd w:fill="FFF0F0" w:val="clear"/>
            <w:tcMar>
              <w:top w:type="dxa" w:w="100"/>
              <w:left w:type="dxa" w:w="200"/>
              <w:bottom w:type="dxa" w:w="40"/>
              <w:right w:type="dxa" w:w="200"/>
            </w:tcMar>
          </w:tcPr>
          <w:p>
            <w:pPr>
              <w:spacing w:after="40" w:before="40"/>
            </w:pPr>
            <w:r>
              <w:rPr>
                <w:rFonts w:ascii="Arial" w:cs="Arial" w:eastAsia="Arial" w:hAnsi="Arial"/>
                <w:b/>
                <w:bCs/>
                <w:color w:val="7B1414"/>
                <w:sz w:val="22"/>
                <w:szCs w:val="22"/>
              </w:rPr>
              <w:t xml:space="preserve">🩺  OSCE Station</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STATION 3: COMPLEX PRESCRIBING DECISION — ADHD AND SUD</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Duration: 20 minutes</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Format: Clinical vignette + written prescription and documentation task (no actor required)</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CANDIDATE INSTRUCTIONS:</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Read the following clinical scenario and complete the tasks below. You have 20 minutes.</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CLINICAL SCENARIO:</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Jason is a 27-year-old male with confirmed ADHD Combined Type, Moderate Severity, diagnosed 3 months ago after a comprehensive two-appointment assessment. He has a history of methamphetamine use disorder — his last use was 9 months ago. He is engaged with an AOD support service (weekly counsellor sessions) and has been clean for 9 months. AUDIT-C score: 2 (abstinent). Urine drug screen today: negative.</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Pre-prescribing assessment: BP 124/80, HR 76. Weight 72kg. Height 178cm. No cardiac history. No family history of sudden cardiac death. Current medications: nil. No MAOI exposure.</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Jason asks: 'Can I start ADHD medication? My counsellor says it might help me stay off the meth.'</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TASKS:</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1. Write a paragraph (approximately 150 words) documenting your prescribing rationale, including: agent chosen and reason; SUD considerations per AADPA guidelines; diversion risk assessment and mitigation.</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2. Write the informed consent documentation note (approximately 100 words) demonstrating what you covered in the consent discussion.</w:t>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7B1414" w:sz="8"/>
              <w:bottom w:val="none" w:color="FFFFFF" w:sz="0"/>
              <w:right w:val="single" w:color="7B1414" w:sz="8"/>
            </w:tcBorders>
            <w:shd w:fill="FFF0F0" w:val="clear"/>
            <w:tcMar>
              <w:top w:type="dxa" w:w="80"/>
              <w:left w:type="dxa" w:w="200"/>
              <w:bottom w:type="dxa" w:w="80"/>
              <w:right w:type="dxa" w:w="200"/>
            </w:tcMar>
          </w:tcPr>
          <w:p>
            <w:pPr>
              <w:spacing w:after="40" w:before="40"/>
            </w:pPr>
            <w:r>
              <w:rPr>
                <w:rFonts w:ascii="Arial" w:cs="Arial" w:eastAsia="Arial" w:hAnsi="Arial"/>
                <w:sz w:val="22"/>
                <w:szCs w:val="22"/>
              </w:rPr>
              <w:t xml:space="preserve">3. Answer the following question in 3–4 sentences: Jason asks why you are choosing Vyvanse instead of dexamfetamine, which a friend has given him before and which 'really worked.' What do you tell him?</w:t>
            </w:r>
          </w:p>
        </w:tc>
      </w:tr>
      <w:tr>
        <w:tc>
          <w:tcPr>
            <w:tcBorders>
              <w:top w:val="none" w:color="FFFFFF" w:sz="0"/>
              <w:left w:val="single" w:color="7B1414" w:sz="8"/>
              <w:bottom w:val="single" w:color="7B1414" w:sz="8"/>
              <w:right w:val="single" w:color="7B1414" w:sz="8"/>
            </w:tcBorders>
            <w:shd w:fill="FFF0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C2D91" w:sz="8"/>
              <w:left w:val="single" w:color="5C2D91" w:sz="8"/>
              <w:bottom w:val="single" w:color="5C2D91" w:sz="8"/>
              <w:right w:val="single" w:color="5C2D91" w:sz="8"/>
            </w:tcBorders>
            <w:shd w:fill="EDE7F6" w:val="clear"/>
            <w:tcMar>
              <w:top w:type="dxa" w:w="100"/>
              <w:left w:type="dxa" w:w="200"/>
              <w:bottom w:type="dxa" w:w="40"/>
              <w:right w:type="dxa" w:w="200"/>
            </w:tcMar>
          </w:tcPr>
          <w:p>
            <w:pPr>
              <w:spacing w:after="40" w:before="40"/>
            </w:pPr>
            <w:r>
              <w:rPr>
                <w:rFonts w:ascii="Arial" w:cs="Arial" w:eastAsia="Arial" w:hAnsi="Arial"/>
                <w:b/>
                <w:bCs/>
                <w:color w:val="5C2D91"/>
                <w:sz w:val="22"/>
                <w:szCs w:val="22"/>
              </w:rPr>
              <w:t xml:space="preserve">📊  Marking Rubric</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MARKING RUBRIC — STATION 3 (Total: 30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TASK 1 — Prescribing Rationale Documentation (15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AGENT SELECTION (5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5: LDX named as preferred agent with specific SUD-related rationale: prodrug design; cannot be injected/snorted effectively; once-daily; smooth plasma curve; AADPA CCR 6.3.7 cited</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3: LDX chosen but rationale incomplete</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1: Stimulant chosen without LDX specification or without SUD rationale</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Dexamfetamine IR chosen — this is a marking fail in SUD context</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SUD FRAMEWORK (5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5: AADPA CCR 6.3.3 (stabilised SUD — assessment appropriate); CCR 6.3.4 (concurrent treatment); CCR 6.3.5 (do not unnecessarily delay); CCR 6.3.7 (LA preferred) — at least 3 of 4 cited or applied</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3: Partial application of AADPA framework</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1: SUD mentioned but no guideline framework applied</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SUD not addressed in prescribing rationale</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DIVERSION RISK MITIGATION (5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5: States: 2-week supply initially; LDX chosen specifically to reduce diversion risk; diversion screen will occur at every review; AOD counsellor coordination with consent; urine drug screen documented</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3: Addresses 2–3 mitigation elements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1: Only mentions one element</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No diversion risk mitigation documented</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TASK 2 — Consent Documentation (10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10: Documents all required elements: diagnosis explained; treatment options (including non-pharmacological); S8 nature and storage; specific adverse effects; monitoring; diversion obligations (medication for patient only); driving; Stimulant Agreement noted</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7: Covers 5–6 elements adequately</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4: Covers 3–4 elements; some major omissions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0–2: 'Consent obtained' without specifying content</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TASK 3 — Communication of LDX vs Dex Rationale (5 marks)</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5: Explains neurobiologically that dexamfetamine works by the same mechanism as LDX; acknowledges his positive experience is valid (dopaminergic response suggests ADHD is the correct diagnosis); explains LDX is the safer choice because it cannot be misused by injection or inhalation; frames as a therapeutic choice for his benefit, not a judgment</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3: Explains LDX benefit but does not acknowledge the validity of his dex experience</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1: Simply refuses dexamfetamine without explanation</w:t>
            </w:r>
          </w:p>
        </w:tc>
      </w:tr>
      <w:tr>
        <w:tc>
          <w:tcPr>
            <w:tcBorders>
              <w:top w:val="none" w:color="FFFFFF" w:sz="0"/>
              <w:left w:val="single" w:color="5C2D91" w:sz="8"/>
              <w:bottom w:val="none" w:color="FFFFFF" w:sz="0"/>
              <w:right w:val="single" w:color="5C2D91" w:sz="8"/>
            </w:tcBorders>
            <w:shd w:fill="EDE7F6" w:val="clear"/>
            <w:tcMar>
              <w:top w:type="dxa" w:w="80"/>
              <w:left w:type="dxa" w:w="200"/>
              <w:bottom w:type="dxa" w:w="80"/>
              <w:right w:type="dxa" w:w="200"/>
            </w:tcMar>
          </w:tcPr>
          <w:p>
            <w:pPr>
              <w:spacing w:after="40" w:before="40"/>
            </w:pPr>
            <w:r>
              <w:rPr>
                <w:rFonts w:ascii="Arial" w:cs="Arial" w:eastAsia="Arial" w:hAnsi="Arial"/>
                <w:sz w:val="22"/>
                <w:szCs w:val="22"/>
              </w:rPr>
              <w:t xml:space="preserve">  0: Prescribes dexamfetamine IR because 'patient preference'</w:t>
            </w:r>
          </w:p>
        </w:tc>
      </w:tr>
      <w:tr>
        <w:tc>
          <w:tcPr>
            <w:tcBorders>
              <w:top w:val="none" w:color="FFFFFF" w:sz="0"/>
              <w:left w:val="single" w:color="5C2D91" w:sz="8"/>
              <w:bottom w:val="single" w:color="5C2D91" w:sz="8"/>
              <w:right w:val="single" w:color="5C2D91" w:sz="8"/>
            </w:tcBorders>
            <w:shd w:fill="EDE7F6"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8"/>
              <w:left w:val="single" w:color="1B3A6B" w:sz="8"/>
              <w:bottom w:val="single" w:color="1B3A6B" w:sz="8"/>
              <w:right w:val="single" w:color="1B3A6B" w:sz="8"/>
            </w:tcBorders>
            <w:shd w:fill="D6E4F0" w:val="clear"/>
            <w:tcMar>
              <w:top w:type="dxa" w:w="100"/>
              <w:left w:type="dxa" w:w="200"/>
              <w:bottom w:type="dxa" w:w="40"/>
              <w:right w:type="dxa" w:w="200"/>
            </w:tcMar>
          </w:tcPr>
          <w:p>
            <w:pPr>
              <w:spacing w:after="40" w:before="40"/>
            </w:pPr>
            <w:r>
              <w:rPr>
                <w:rFonts w:ascii="Arial" w:cs="Arial" w:eastAsia="Arial" w:hAnsi="Arial"/>
                <w:b/>
                <w:bCs/>
                <w:color w:val="1B3A6B"/>
                <w:sz w:val="22"/>
                <w:szCs w:val="22"/>
              </w:rPr>
              <w:t xml:space="preserve">📝  Model Answer</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MODEL ANSWER — STATION 3</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TASK 1 — PRESCRIBING RATIONALE:</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Jason presents with confirmed ADHD Combined Type, moderate severity, and methamphetamine use disorder in sustained remission (9 months). Per AADPA CCR 6.3.3, substance use is sufficiently stabilised for ADHD assessment and treatment. CCR 6.3.4: Both conditions require concurrent treatment. CCR 6.3.5: ADHD treatment should not be unnecessarily delayed. CCR 6.3.7: Long-acting stimulants are preferred in SUD context to minimise diversion and misuse risk.</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Agent selected: Lisdexamfetamine (Vyvanse) 20mg daily. Rationale: (1) Prodrug design — inactive until cleaved orally; intranasal/IV misuse produces no effect; this is the strongest available diversion-resistance property; (2) Once-daily dosing aligns with recovery routine; (3) Smooth plasma curve reduces reinforcing peaks. Dexamfetamine IR is contraindicated in this context (AADPA CPP 5.6.5 — do not prescribe easily misused IR formulations when diversion risk is present).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Diversion risk mitigation: Initial supply 2 weeks. LDX chosen specifically for diversion resistance. Diversion screen at every review (documented). Coordination with AOD counsellor (with consent). UDS today: negative — will repeat periodically. Stimulant Agreement signed.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Pre-prescribing: BP 124/80, HR 76, weight 72kg — within normal limits. No cardiac risk features. No contraindications identified. NSW S8 authority number: [XXXX].</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TASK 2 — CONSENT DOCUMENTATION: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Consent discussion — topics covered: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1. ADHD diagnosis explained: neurobiology, subtype, severity, what it explains about Jason's history.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2. Treatment options discussed: LDX (preferred); non-stimulant alternatives; non-pharmacological approaches; combined approach recommended.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3. Schedule 8 nature: medication is a controlled substance; for his use only; safe storage; not to share or sell.</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4. Adverse effects discussed: appetite suppression; sleep onset timing; cardiovascular (mild HR/BP increase); mood effects; rebound.</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5. Monitoring: BP/HR/weight at each review; UDS periodically.</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6. Driving: ADHD treatment improves driving safety; continue driving.</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7. Diversion obligations: medication for patient only; report to GP if lost/stolen.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Stimulant Agreement signed. Copy provided to patient. Patient consented freely to LDX initiation.</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TASK 3 — COMMUNICATION SCRIPT:</w:t>
            </w:r>
          </w:p>
        </w:tc>
      </w:tr>
      <w:tr>
        <w:tc>
          <w:tcPr>
            <w:tcBorders>
              <w:top w:val="none" w:color="FFFFFF" w:sz="0"/>
              <w:left w:val="single" w:color="1B3A6B" w:sz="8"/>
              <w:bottom w:val="none" w:color="FFFFFF" w:sz="0"/>
              <w:right w:val="single" w:color="1B3A6B" w:sz="8"/>
            </w:tcBorders>
            <w:shd w:fill="D6E4F0" w:val="clear"/>
            <w:tcMar>
              <w:top w:type="dxa" w:w="80"/>
              <w:left w:type="dxa" w:w="200"/>
              <w:bottom w:type="dxa" w:w="80"/>
              <w:right w:type="dxa" w:w="200"/>
            </w:tcMar>
          </w:tcPr>
          <w:p>
            <w:pPr>
              <w:spacing w:after="40" w:before="40"/>
            </w:pPr>
            <w:r>
              <w:rPr>
                <w:rFonts w:ascii="Arial" w:cs="Arial" w:eastAsia="Arial" w:hAnsi="Arial"/>
                <w:sz w:val="22"/>
                <w:szCs w:val="22"/>
              </w:rPr>
              <w:t xml:space="preserve">'Your experience with your friend's dexamfetamine is actually clinically important information — the fact that it helped your focus so clearly tells me we're on the right track. Both dexamfetamine and Vyvanse work on the same brain pathway, so your response makes sense. The reason I'm choosing Vyvanse rather than dexamfetamine is that Vyvanse is a prodrug — it has to be processed through your gut before it becomes active. That means if someone tried to inject or snort it, it wouldn't work. Given your history, I want to give you the option that protects you from any risk of misuse — not because I don't trust you, but because recovery is hard, and I don't want your medication to create any extra risk. Vyvanse will work just as well for your ADHD as dexamfetamine would.'</w:t>
            </w:r>
          </w:p>
        </w:tc>
      </w:tr>
      <w:tr>
        <w:tc>
          <w:tcPr>
            <w:tcBorders>
              <w:top w:val="none" w:color="FFFFFF" w:sz="0"/>
              <w:left w:val="single" w:color="1B3A6B" w:sz="8"/>
              <w:bottom w:val="single" w:color="1B3A6B" w:sz="8"/>
              <w:right w:val="single" w:color="1B3A6B" w:sz="8"/>
            </w:tcBorders>
            <w:shd w:fill="D6E4F0"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r>
        <w:br w:type="page"/>
      </w:r>
    </w:p>
    <w:p>
      <w:pPr>
        <w:pStyle w:val="Heading1"/>
        <w:spacing w:after="200" w:before="480"/>
      </w:pPr>
      <w:r>
        <w:rPr>
          <w:rFonts w:ascii="Arial" w:cs="Arial" w:eastAsia="Arial" w:hAnsi="Arial"/>
          <w:b/>
          <w:bCs/>
          <w:color w:val="1B3A6B"/>
          <w:sz w:val="36"/>
          <w:szCs w:val="36"/>
        </w:rPr>
        <w:t xml:space="preserve">Answer Key — Parts A and B</w:t>
      </w:r>
    </w:p>
    <w:p>
      <w:pPr>
        <w:spacing w:after="80" w:before="80"/>
        <w:jc w:val="both"/>
      </w:pPr>
      <w:r>
        <w:rPr>
          <w:rFonts w:ascii="Arial" w:cs="Arial" w:eastAsia="Arial" w:hAnsi="Arial"/>
          <w:sz w:val="22"/>
          <w:szCs w:val="22"/>
        </w:rPr>
        <w:t xml:space="preserve">The correct answers for all 50 MCQ/SBA questions are listed below for rapid marking reference. Full rationale for each question appears immediately after each question in the bank above.</w:t>
      </w:r>
    </w:p>
    <w:p>
      <w:pPr>
        <w:spacing w:after="40" w:before="4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800"/>
        <w:gridCol w:w="3160"/>
        <w:gridCol w:w="400"/>
        <w:gridCol w:w="800"/>
        <w:gridCol w:w="3400"/>
      </w:tblGrid>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Q</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Answer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Domain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Q</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Answer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Domain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true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Diagnosis / DSM-5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26</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Complex Comorbidity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Pharmacotherapy / NSW S8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27</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Prescribing Safety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Diagnosis / Differential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Documentation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Pharmacotherapy — Agent Selection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29</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Women+Hormones</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Pharmacotherapy — Adverse Effects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30</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SUD+ADHD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6</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Assessment / Documentation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Transition of Care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7</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Special Populations — Women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E</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Comorbidity Sequencing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Pharmacotherapy — Pre-prescribing</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33</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Diversion Assessment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9</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Diagnosis — Bipolar Differential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Late Diagnosis Female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10</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Special Populations — Children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GPCCMP</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Assessment — Collateral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36</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Aboriginal ADHD</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Pharmacotherapy — Titration</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37</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AuDHD Titration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13</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 / Medicolegal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Stimulant Cessation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Special Populations — ADHD+ASD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39</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Mandatory Reporting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Diagnosis — ADHD vs PTSD</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40</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Older Adult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16</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Pharmacotherapy — Non-Stimulant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Documentation Quality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17</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Assessment — Aboriginal Patients</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Child Protection</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Pharmacotherapy — Cardiovascular</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43</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Prescribing in Pregnancy</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19</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Diagnosis — Functional Impairment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Older Adult Prescribing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20</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Pharmacotherapy — Diversion Risk</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Insomnia Management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21</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Telehealth / Medicolegal</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46</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Functional Impairment Assessment</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22</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Special Populations — Adolescent Consent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47</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B</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ADHD and Driving</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23</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Comorbidities — Sleep</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48</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Complex Case</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24</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Pharmacotherapy — Titration Problem</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49</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Annual Review</w:t>
            </w:r>
          </w:p>
        </w:tc>
      </w:tr>
      <w:tr>
        <w:trPr>
          <w:tblHeader w:val="false"/>
        </w:trPr>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25</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Documentation — Consent</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50</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w:t>
            </w:r>
          </w:p>
        </w:tc>
        <w:tc>
          <w:tcPr>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top"/>
          </w:tcPr>
          <w:p>
            <w:r>
              <w:rPr>
                <w:rFonts w:ascii="Arial" w:cs="Arial" w:eastAsia="Arial" w:hAnsi="Arial"/>
                <w:b w:val="false"/>
                <w:bCs w:val="false"/>
                <w:color w:val="2C2C2A"/>
                <w:sz w:val="21"/>
                <w:szCs w:val="21"/>
              </w:rPr>
              <w:t xml:space="preserve">Clinical Reasoning — Synthesis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6B2E" w:sz="8"/>
              <w:left w:val="single" w:color="1A6B2E" w:sz="8"/>
              <w:bottom w:val="single" w:color="1A6B2E" w:sz="8"/>
              <w:right w:val="single" w:color="1A6B2E" w:sz="8"/>
            </w:tcBorders>
            <w:shd w:fill="E8F5E9" w:val="clear"/>
            <w:tcMar>
              <w:top w:type="dxa" w:w="100"/>
              <w:left w:type="dxa" w:w="200"/>
              <w:bottom w:type="dxa" w:w="40"/>
              <w:right w:type="dxa" w:w="200"/>
            </w:tcMar>
          </w:tcPr>
          <w:p>
            <w:pPr>
              <w:spacing w:after="40" w:before="40"/>
            </w:pPr>
            <w:r>
              <w:rPr>
                <w:rFonts w:ascii="Arial" w:cs="Arial" w:eastAsia="Arial" w:hAnsi="Arial"/>
                <w:b/>
                <w:bCs/>
                <w:color w:val="1A6B2E"/>
                <w:sz w:val="22"/>
                <w:szCs w:val="22"/>
              </w:rPr>
              <w:t xml:space="preserve">💡  Examiner's Note</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SCORING GUIDE:</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Part A (Q1–25): 1 mark per correct answer. Maximum 25 marks.</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Part B (Q26–50): 1 mark per correct answer. Maximum 25 marks.</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Part C (3 OSCE stations): 30 marks per station. Maximum 90 marks.</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Total examination: 140 marks.</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Passing standard:</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Parts A+B combined: 40/50 (80%) required</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Part C: Competent (≥21/30) on all three stations required</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A candidate who passes Parts A+B but fails any OSCE station is not considered overall competent.</w:t>
            </w:r>
          </w:p>
        </w:tc>
      </w:tr>
      <w:tr>
        <w:tc>
          <w:tcPr>
            <w:tcBorders>
              <w:top w:val="none" w:color="FFFFFF" w:sz="0"/>
              <w:left w:val="single" w:color="1A6B2E" w:sz="8"/>
              <w:bottom w:val="none" w:color="FFFFFF" w:sz="0"/>
              <w:right w:val="single" w:color="1A6B2E" w:sz="8"/>
            </w:tcBorders>
            <w:shd w:fill="E8F5E9" w:val="clear"/>
            <w:tcMar>
              <w:top w:type="dxa" w:w="80"/>
              <w:left w:type="dxa" w:w="200"/>
              <w:bottom w:type="dxa" w:w="80"/>
              <w:right w:type="dxa" w:w="200"/>
            </w:tcMar>
          </w:tcPr>
          <w:p>
            <w:pPr>
              <w:spacing w:after="40" w:before="40"/>
            </w:pPr>
            <w:r>
              <w:rPr>
                <w:rFonts w:ascii="Arial" w:cs="Arial" w:eastAsia="Arial" w:hAnsi="Arial"/>
                <w:sz w:val="22"/>
                <w:szCs w:val="22"/>
              </w:rPr>
              <w:t xml:space="preserve">A candidate who passes all OSCE stations but scores below 80% on Parts A+B is not considered overall competent.</w:t>
            </w:r>
          </w:p>
        </w:tc>
      </w:tr>
      <w:tr>
        <w:tc>
          <w:tcPr>
            <w:tcBorders>
              <w:top w:val="none" w:color="FFFFFF" w:sz="0"/>
              <w:left w:val="single" w:color="1A6B2E" w:sz="8"/>
              <w:bottom w:val="single" w:color="1A6B2E" w:sz="8"/>
              <w:right w:val="single" w:color="1A6B2E" w:sz="8"/>
            </w:tcBorders>
            <w:shd w:fill="E8F5E9" w:val="clear"/>
            <w:tcMar>
              <w:top w:type="dxa" w:w="60"/>
              <w:left w:type="dxa" w:w="200"/>
              <w:bottom w:type="dxa" w:w="60"/>
              <w:right w:type="dxa" w:w="200"/>
            </w:tcMar>
          </w:tcPr>
          <w:p>
            <w:pPr>
              <w:spacing w:after="40" w:before="40"/>
            </w:pPr>
            <w:r>
              <w:rPr>
                <w:rFonts w:ascii="Arial" w:cs="Arial" w:eastAsia="Arial" w:hAnsi="Arial"/>
                <w:sz w:val="22"/>
                <w:szCs w:val="22"/>
              </w:rPr>
              <w:t xml:space="preserve"/>
            </w:r>
          </w:p>
        </w:tc>
      </w:tr>
    </w:tbl>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 NSW GP ADHD Training Course  |  AADPA Clinical Practice Guideline 2024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888888"/>
        <w:sz w:val="18"/>
        <w:szCs w:val="18"/>
      </w:rPr>
      <w:t xml:space="preserve">NSW GP ADHD Endorsed Prescribing Training</w:t>
    </w:r>
    <w:r>
      <w:rPr>
        <w:rFonts w:ascii="Arial" w:cs="Arial" w:eastAsia="Arial" w:hAnsi="Arial"/>
        <w:color w:val="888888"/>
        <w:sz w:val="18"/>
        <w:szCs w:val="18"/>
      </w:rPr>
      <w:t xml:space="preserve">  |  Assessment &amp; Examination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B3A6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F6E5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2026-05-18T07:20:02.329Z</dcterms:created>
  <dcterms:modified xsi:type="dcterms:W3CDTF">2026-05-18T07:20:02.346Z</dcterms:modified>
</cp:coreProperties>
</file>

<file path=docProps/custom.xml><?xml version="1.0" encoding="utf-8"?>
<Properties xmlns="http://schemas.openxmlformats.org/officeDocument/2006/custom-properties" xmlns:vt="http://schemas.openxmlformats.org/officeDocument/2006/docPropsVTypes"/>
</file>