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jc w:val="center"/>
      </w:pPr>
      <w:r>
        <w:rPr>
          <w:rFonts w:ascii="Arial" w:cs="Arial" w:eastAsia="Arial" w:hAnsi="Arial"/>
          <w:b/>
          <w:bCs/>
          <w:color w:val="888888"/>
          <w:sz w:val="28"/>
          <w:szCs w:val="28"/>
        </w:rPr>
        <w:t xml:space="preserve">NSW GP ADHD ENDORSED PRESCRIBING TRAINING</w:t>
      </w:r>
    </w:p>
    <w:p>
      <w:pPr>
        <w:spacing w:after="80" w:before="80"/>
      </w:pPr>
      <w:r>
        <w:t xml:space="preserve"/>
      </w:r>
    </w:p>
    <w:p>
      <w:pPr>
        <w:jc w:val="center"/>
      </w:pPr>
      <w:r>
        <w:rPr>
          <w:rFonts w:ascii="Arial" w:cs="Arial" w:eastAsia="Arial" w:hAnsi="Arial"/>
          <w:b/>
          <w:bCs/>
          <w:color w:val="1B3A6B"/>
          <w:sz w:val="64"/>
          <w:szCs w:val="64"/>
        </w:rPr>
        <w:t xml:space="preserve">MODULE 3</w:t>
      </w:r>
    </w:p>
    <w:p>
      <w:pPr>
        <w:spacing w:after="80" w:before="80"/>
      </w:pPr>
      <w:r>
        <w:t xml:space="preserve"/>
      </w:r>
    </w:p>
    <w:p>
      <w:pPr>
        <w:jc w:val="center"/>
      </w:pPr>
      <w:r>
        <w:rPr>
          <w:rFonts w:ascii="Arial" w:cs="Arial" w:eastAsia="Arial" w:hAnsi="Arial"/>
          <w:b/>
          <w:bCs/>
          <w:color w:val="0F6E56"/>
          <w:sz w:val="40"/>
          <w:szCs w:val="40"/>
        </w:rPr>
        <w:t xml:space="preserve">Special Populations:</w:t>
      </w:r>
    </w:p>
    <w:p>
      <w:pPr>
        <w:jc w:val="center"/>
      </w:pPr>
      <w:r>
        <w:rPr>
          <w:rFonts w:ascii="Arial" w:cs="Arial" w:eastAsia="Arial" w:hAnsi="Arial"/>
          <w:b/>
          <w:bCs/>
          <w:color w:val="0F6E56"/>
          <w:sz w:val="40"/>
          <w:szCs w:val="40"/>
        </w:rPr>
        <w:t xml:space="preserve">Women, Children, Adolescents,</w:t>
      </w:r>
    </w:p>
    <w:p>
      <w:pPr>
        <w:jc w:val="center"/>
      </w:pPr>
      <w:r>
        <w:rPr>
          <w:rFonts w:ascii="Arial" w:cs="Arial" w:eastAsia="Arial" w:hAnsi="Arial"/>
          <w:b/>
          <w:bCs/>
          <w:color w:val="0F6E56"/>
          <w:sz w:val="40"/>
          <w:szCs w:val="40"/>
        </w:rPr>
        <w:t xml:space="preserve">Aboriginal &amp; Cultural Safety</w:t>
      </w:r>
    </w:p>
    <w:p>
      <w:pPr>
        <w:spacing w:after="200" w:before="200"/>
      </w:pPr>
      <w:r>
        <w:t xml:space="preserve"/>
      </w:r>
    </w:p>
    <w:p>
      <w:pPr>
        <w:jc w:val="center"/>
      </w:pPr>
      <w:r>
        <w:rPr>
          <w:rFonts w:ascii="Arial" w:cs="Arial" w:eastAsia="Arial" w:hAnsi="Arial"/>
          <w:color w:val="555555"/>
          <w:sz w:val="22"/>
          <w:szCs w:val="22"/>
        </w:rPr>
        <w:t xml:space="preserve">Aligned with: AADPA Clinical Practice Guideline 2024  |  AADPA Prescribing Guide 2024</w:t>
      </w:r>
    </w:p>
    <w:p>
      <w:pPr>
        <w:jc w:val="center"/>
      </w:pPr>
      <w:r>
        <w:rPr>
          <w:rFonts w:ascii="Arial" w:cs="Arial" w:eastAsia="Arial" w:hAnsi="Arial"/>
          <w:color w:val="555555"/>
          <w:sz w:val="22"/>
          <w:szCs w:val="22"/>
        </w:rPr>
        <w:t xml:space="preserve">NSW Health Framework  |  DSM-5-TR  |  RACGP  |  ACRRM  |  NATSIHP</w:t>
      </w:r>
    </w:p>
    <w:p>
      <w:pPr>
        <w:spacing w:after="200" w:before="200"/>
      </w:pPr>
      <w:r>
        <w:t xml:space="preserve"/>
      </w:r>
    </w:p>
    <w:p>
      <w:pPr>
        <w:jc w:val="center"/>
      </w:pPr>
      <w:r>
        <w:rPr>
          <w:rFonts w:ascii="Arial" w:cs="Arial" w:eastAsia="Arial" w:hAnsi="Arial"/>
          <w:i/>
          <w:iCs/>
          <w:color w:val="666666"/>
          <w:sz w:val="20"/>
          <w:szCs w:val="20"/>
        </w:rPr>
        <w:t xml:space="preserve">This module acknowledges the Traditional Custodians of Country throughout Australia.</w:t>
      </w:r>
    </w:p>
    <w:p>
      <w:pPr>
        <w:jc w:val="center"/>
      </w:pPr>
      <w:r>
        <w:rPr>
          <w:rFonts w:ascii="Arial" w:cs="Arial" w:eastAsia="Arial" w:hAnsi="Arial"/>
          <w:i/>
          <w:iCs/>
          <w:color w:val="666666"/>
          <w:sz w:val="20"/>
          <w:szCs w:val="20"/>
        </w:rPr>
        <w:t xml:space="preserve">We pay our respects to Elders past, present and emerging.</w:t>
      </w:r>
    </w:p>
    <w:p>
      <w:pPr>
        <w:spacing w:after="200" w:before="200"/>
      </w:pPr>
      <w:r>
        <w:t xml:space="preserve"/>
      </w:r>
    </w:p>
    <w:p>
      <w:pPr>
        <w:jc w:val="center"/>
      </w:pPr>
      <w:r>
        <w:rPr>
          <w:rFonts w:ascii="Arial" w:cs="Arial" w:eastAsia="Arial" w:hAnsi="Arial"/>
          <w:color w:val="666666"/>
          <w:sz w:val="22"/>
          <w:szCs w:val="22"/>
        </w:rPr>
        <w:t xml:space="preserve">Month 3 of 6  |  Domain 3: Special Populations  |  Domain 4: Holistic Management</w:t>
      </w:r>
    </w:p>
    <w:p>
      <w:r>
        <w:br w:type="page"/>
      </w:r>
    </w:p>
    <w:p>
      <w:pPr>
        <w:pStyle w:val="Heading1"/>
        <w:spacing w:after="200" w:before="480"/>
      </w:pPr>
      <w:r>
        <w:rPr>
          <w:rFonts w:ascii="Arial" w:cs="Arial" w:eastAsia="Arial" w:hAnsi="Arial"/>
          <w:b/>
          <w:bCs/>
          <w:color w:val="1B3A6B"/>
          <w:sz w:val="36"/>
          <w:szCs w:val="36"/>
        </w:rPr>
        <w:t xml:space="preserve">Module 3 Learning Outcomes</w:t>
      </w:r>
    </w:p>
    <w:p>
      <w:pPr>
        <w:spacing w:after="80" w:before="80"/>
        <w:jc w:val="both"/>
      </w:pPr>
      <w:r>
        <w:rPr>
          <w:rFonts w:ascii="Arial" w:cs="Arial" w:eastAsia="Arial" w:hAnsi="Arial"/>
          <w:sz w:val="22"/>
          <w:szCs w:val="22"/>
        </w:rPr>
        <w:t xml:space="preserve">On completion of this module, the GP will be able to:</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Knowledge</w:t>
      </w:r>
    </w:p>
    <w:p>
      <w:pPr>
        <w:pStyle w:val="ListParagraph"/>
        <w:numPr>
          <w:ilvl w:val="0"/>
          <w:numId w:val="2"/>
        </w:numPr>
        <w:spacing w:after="40" w:before="40"/>
      </w:pPr>
      <w:r>
        <w:rPr>
          <w:rFonts w:ascii="Arial" w:cs="Arial" w:eastAsia="Arial" w:hAnsi="Arial"/>
          <w:sz w:val="22"/>
          <w:szCs w:val="22"/>
        </w:rPr>
        <w:t xml:space="preserve">Explain the neurobiological, developmental, and sociocultural reasons why ADHD is systematically under-recognised and misdiagnosed in girls, women, children, adolescents, and Aboriginal and Torres Strait Islander peoples.</w:t>
      </w:r>
    </w:p>
    <w:p>
      <w:pPr>
        <w:pStyle w:val="ListParagraph"/>
        <w:numPr>
          <w:ilvl w:val="0"/>
          <w:numId w:val="2"/>
        </w:numPr>
        <w:spacing w:after="40" w:before="40"/>
      </w:pPr>
      <w:r>
        <w:rPr>
          <w:rFonts w:ascii="Arial" w:cs="Arial" w:eastAsia="Arial" w:hAnsi="Arial"/>
          <w:sz w:val="22"/>
          <w:szCs w:val="22"/>
        </w:rPr>
        <w:t xml:space="preserve">Describe the developmentally appropriate clinical presentation of ADHD in children aged 6–12 years, including the distinction between hyperactive-impulsive and inattentive presentations.</w:t>
      </w:r>
    </w:p>
    <w:p>
      <w:pPr>
        <w:pStyle w:val="ListParagraph"/>
        <w:numPr>
          <w:ilvl w:val="0"/>
          <w:numId w:val="2"/>
        </w:numPr>
        <w:spacing w:after="40" w:before="40"/>
      </w:pPr>
      <w:r>
        <w:rPr>
          <w:rFonts w:ascii="Arial" w:cs="Arial" w:eastAsia="Arial" w:hAnsi="Arial"/>
          <w:sz w:val="22"/>
          <w:szCs w:val="22"/>
        </w:rPr>
        <w:t xml:space="preserve">Articulate the unique clinical challenges of adolescent ADHD — internalisation of hyperactivity, identity development, risk-taking, substance use, and transition of care.</w:t>
      </w:r>
    </w:p>
    <w:p>
      <w:pPr>
        <w:pStyle w:val="ListParagraph"/>
        <w:numPr>
          <w:ilvl w:val="0"/>
          <w:numId w:val="2"/>
        </w:numPr>
        <w:spacing w:after="40" w:before="40"/>
      </w:pPr>
      <w:r>
        <w:rPr>
          <w:rFonts w:ascii="Arial" w:cs="Arial" w:eastAsia="Arial" w:hAnsi="Arial"/>
          <w:sz w:val="22"/>
          <w:szCs w:val="22"/>
        </w:rPr>
        <w:t xml:space="preserve">Describe the complete clinical profile of ADHD in women, including masking, hormonal modulation, late diagnosis, and comorbidity patterns.</w:t>
      </w:r>
    </w:p>
    <w:p>
      <w:pPr>
        <w:pStyle w:val="ListParagraph"/>
        <w:numPr>
          <w:ilvl w:val="0"/>
          <w:numId w:val="2"/>
        </w:numPr>
        <w:spacing w:after="40" w:before="40"/>
      </w:pPr>
      <w:r>
        <w:rPr>
          <w:rFonts w:ascii="Arial" w:cs="Arial" w:eastAsia="Arial" w:hAnsi="Arial"/>
          <w:sz w:val="22"/>
          <w:szCs w:val="22"/>
        </w:rPr>
        <w:t xml:space="preserve">Apply the AADPA CPP 6.2 framework for culturally appropriate ADHD assessment in Aboriginal and Torres Strait Islander peoples, including the role of strengths-based approaches, cultural interpreters, and community involvement.</w:t>
      </w:r>
    </w:p>
    <w:p>
      <w:pPr>
        <w:pStyle w:val="ListParagraph"/>
        <w:numPr>
          <w:ilvl w:val="0"/>
          <w:numId w:val="2"/>
        </w:numPr>
        <w:spacing w:after="40" w:before="40"/>
      </w:pPr>
      <w:r>
        <w:rPr>
          <w:rFonts w:ascii="Arial" w:cs="Arial" w:eastAsia="Arial" w:hAnsi="Arial"/>
          <w:sz w:val="22"/>
          <w:szCs w:val="22"/>
        </w:rPr>
        <w:t xml:space="preserve">Explain how ADHD presents differently in culturally and linguistically diverse (CALD) communities, and adapt assessment and communication accordingly.</w:t>
      </w:r>
    </w:p>
    <w:p>
      <w:pPr>
        <w:pStyle w:val="ListParagraph"/>
        <w:numPr>
          <w:ilvl w:val="0"/>
          <w:numId w:val="2"/>
        </w:numPr>
        <w:spacing w:after="40" w:before="40"/>
      </w:pPr>
      <w:r>
        <w:rPr>
          <w:rFonts w:ascii="Arial" w:cs="Arial" w:eastAsia="Arial" w:hAnsi="Arial"/>
          <w:sz w:val="22"/>
          <w:szCs w:val="22"/>
        </w:rPr>
        <w:t xml:space="preserve">Identify the specific prescribing and monitoring considerations for each special population.</w:t>
      </w:r>
    </w:p>
    <w:p>
      <w:pPr>
        <w:pStyle w:val="ListParagraph"/>
        <w:numPr>
          <w:ilvl w:val="0"/>
          <w:numId w:val="2"/>
        </w:numPr>
        <w:spacing w:after="40" w:before="40"/>
      </w:pPr>
      <w:r>
        <w:rPr>
          <w:rFonts w:ascii="Arial" w:cs="Arial" w:eastAsia="Arial" w:hAnsi="Arial"/>
          <w:sz w:val="22"/>
          <w:szCs w:val="22"/>
        </w:rPr>
        <w:t xml:space="preserve">Describe ADHD in older adults and the differential with early cognitive decline.</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Skills</w:t>
      </w:r>
    </w:p>
    <w:p>
      <w:pPr>
        <w:pStyle w:val="ListParagraph"/>
        <w:numPr>
          <w:ilvl w:val="0"/>
          <w:numId w:val="2"/>
        </w:numPr>
        <w:spacing w:after="40" w:before="40"/>
      </w:pPr>
      <w:r>
        <w:rPr>
          <w:rFonts w:ascii="Arial" w:cs="Arial" w:eastAsia="Arial" w:hAnsi="Arial"/>
          <w:sz w:val="22"/>
          <w:szCs w:val="22"/>
        </w:rPr>
        <w:t xml:space="preserve">Conduct a culturally safe ADHD assessment interview with Aboriginal and Torres Strait Islander patients using strengths-based, trauma-informed approaches.</w:t>
      </w:r>
    </w:p>
    <w:p>
      <w:pPr>
        <w:pStyle w:val="ListParagraph"/>
        <w:numPr>
          <w:ilvl w:val="0"/>
          <w:numId w:val="2"/>
        </w:numPr>
        <w:spacing w:after="40" w:before="40"/>
      </w:pPr>
      <w:r>
        <w:rPr>
          <w:rFonts w:ascii="Arial" w:cs="Arial" w:eastAsia="Arial" w:hAnsi="Arial"/>
          <w:sz w:val="22"/>
          <w:szCs w:val="22"/>
        </w:rPr>
        <w:t xml:space="preserve">Adapt the standard ADHD assessment framework for children aged 6–12, integrating parent, teacher, and child perspectives.</w:t>
      </w:r>
    </w:p>
    <w:p>
      <w:pPr>
        <w:pStyle w:val="ListParagraph"/>
        <w:numPr>
          <w:ilvl w:val="0"/>
          <w:numId w:val="2"/>
        </w:numPr>
        <w:spacing w:after="40" w:before="40"/>
      </w:pPr>
      <w:r>
        <w:rPr>
          <w:rFonts w:ascii="Arial" w:cs="Arial" w:eastAsia="Arial" w:hAnsi="Arial"/>
          <w:sz w:val="22"/>
          <w:szCs w:val="22"/>
        </w:rPr>
        <w:t xml:space="preserve">Apply the high-masking interview framework for women with ADHD, including the hormonal symptom charting approach.</w:t>
      </w:r>
    </w:p>
    <w:p>
      <w:pPr>
        <w:pStyle w:val="ListParagraph"/>
        <w:numPr>
          <w:ilvl w:val="0"/>
          <w:numId w:val="2"/>
        </w:numPr>
        <w:spacing w:after="40" w:before="40"/>
      </w:pPr>
      <w:r>
        <w:rPr>
          <w:rFonts w:ascii="Arial" w:cs="Arial" w:eastAsia="Arial" w:hAnsi="Arial"/>
          <w:sz w:val="22"/>
          <w:szCs w:val="22"/>
        </w:rPr>
        <w:t xml:space="preserve">Recognise and respond to the presentations most commonly misdiagnosed in each special population.</w:t>
      </w:r>
    </w:p>
    <w:p>
      <w:pPr>
        <w:pStyle w:val="ListParagraph"/>
        <w:numPr>
          <w:ilvl w:val="0"/>
          <w:numId w:val="2"/>
        </w:numPr>
        <w:spacing w:after="40" w:before="40"/>
      </w:pPr>
      <w:r>
        <w:rPr>
          <w:rFonts w:ascii="Arial" w:cs="Arial" w:eastAsia="Arial" w:hAnsi="Arial"/>
          <w:sz w:val="22"/>
          <w:szCs w:val="22"/>
        </w:rPr>
        <w:t xml:space="preserve">Navigate transition-of-care planning for adolescents moving from paediatric to adult ADHD services.</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Attitudes</w:t>
      </w:r>
    </w:p>
    <w:p>
      <w:pPr>
        <w:pStyle w:val="ListParagraph"/>
        <w:numPr>
          <w:ilvl w:val="0"/>
          <w:numId w:val="2"/>
        </w:numPr>
        <w:spacing w:after="40" w:before="40"/>
      </w:pPr>
      <w:r>
        <w:rPr>
          <w:rFonts w:ascii="Arial" w:cs="Arial" w:eastAsia="Arial" w:hAnsi="Arial"/>
          <w:sz w:val="22"/>
          <w:szCs w:val="22"/>
        </w:rPr>
        <w:t xml:space="preserve">Approach each special population with active humility — recognising that standard ADHD frameworks were developed in populations that systematically excluded these groups.</w:t>
      </w:r>
    </w:p>
    <w:p>
      <w:pPr>
        <w:pStyle w:val="ListParagraph"/>
        <w:numPr>
          <w:ilvl w:val="0"/>
          <w:numId w:val="2"/>
        </w:numPr>
        <w:spacing w:after="40" w:before="40"/>
      </w:pPr>
      <w:r>
        <w:rPr>
          <w:rFonts w:ascii="Arial" w:cs="Arial" w:eastAsia="Arial" w:hAnsi="Arial"/>
          <w:sz w:val="22"/>
          <w:szCs w:val="22"/>
        </w:rPr>
        <w:t xml:space="preserve">Accept that the burden of ADHD in under-recognised populations is not merely a diagnostic failure — it is a health equity failure. GPs are positioned to correct it.</w:t>
      </w:r>
    </w:p>
    <w:p>
      <w:pPr>
        <w:pStyle w:val="ListParagraph"/>
        <w:numPr>
          <w:ilvl w:val="0"/>
          <w:numId w:val="2"/>
        </w:numPr>
        <w:spacing w:after="40" w:before="40"/>
      </w:pPr>
      <w:r>
        <w:rPr>
          <w:rFonts w:ascii="Arial" w:cs="Arial" w:eastAsia="Arial" w:hAnsi="Arial"/>
          <w:sz w:val="22"/>
          <w:szCs w:val="22"/>
        </w:rPr>
        <w:t xml:space="preserve">Commit to culturally safe practice as a clinical standard, not an optional consideration.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CPP 1.1.2: ADHD is under-recognised in girls and women. They are less likely to be referred; more likely to have undiagnosed ADHD; more likely to receive incorrect diagnoses of anxiety or depressive disorder.</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CPP 6.2.1: ADHD symptom questionnaires and other tools may not be valid in Aboriginal and Torres Strait Islander peoples and should be used with caution. A strengths-based focus should be employed wherever possible.</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CCR 3.2.1: Transition planning for adolescents should begin at least 12 months before their 18th birthday.</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Medicolegal note: Failure to consider and document ADHD assessment in a woman presenting with anxiety, depression, or emotional dysregulation — who subsequently proves to have undiagnosed ADHD — may constitute inadequate assessment standard.</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r>
        <w:br w:type="page"/>
      </w:r>
    </w:p>
    <w:p>
      <w:pPr>
        <w:pStyle w:val="Heading1"/>
        <w:spacing w:after="200" w:before="480"/>
      </w:pPr>
      <w:r>
        <w:rPr>
          <w:rFonts w:ascii="Arial" w:cs="Arial" w:eastAsia="Arial" w:hAnsi="Arial"/>
          <w:b/>
          <w:bCs/>
          <w:color w:val="1B3A6B"/>
          <w:sz w:val="36"/>
          <w:szCs w:val="36"/>
        </w:rPr>
        <w:t xml:space="preserve">1. ADHD in Women Across the Lifespan</w:t>
      </w:r>
    </w:p>
    <w:p>
      <w:pPr>
        <w:spacing w:after="80" w:before="80"/>
        <w:jc w:val="both"/>
      </w:pPr>
      <w:r>
        <w:rPr>
          <w:rFonts w:ascii="Arial" w:cs="Arial" w:eastAsia="Arial" w:hAnsi="Arial"/>
          <w:sz w:val="22"/>
          <w:szCs w:val="22"/>
        </w:rPr>
        <w:t xml:space="preserve">No area of ADHD medicine demands more clinical sophistication from the GP than the recognition, assessment, and ongoing management of ADHD in women. The disparity between prevalence (approximately equal in adulthood to men) and diagnosis rates (historically far lower) represents one of the most significant health equity failures in psychiatry.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6E00" w:sz="8"/>
              <w:left w:val="single" w:color="5C6E00" w:sz="8"/>
              <w:bottom w:val="single" w:color="5C6E00" w:sz="8"/>
              <w:right w:val="single" w:color="5C6E00" w:sz="8"/>
            </w:tcBorders>
            <w:shd w:fill="FFFDE7" w:val="clear"/>
            <w:tcMar>
              <w:top w:type="dxa" w:w="100"/>
              <w:left w:type="dxa" w:w="200"/>
              <w:bottom w:type="dxa" w:w="40"/>
              <w:right w:type="dxa" w:w="200"/>
            </w:tcMar>
          </w:tcPr>
          <w:p>
            <w:pPr>
              <w:spacing w:after="40" w:before="40"/>
            </w:pPr>
            <w:r>
              <w:rPr>
                <w:rFonts w:ascii="Arial" w:cs="Arial" w:eastAsia="Arial" w:hAnsi="Arial"/>
                <w:b/>
                <w:bCs/>
                <w:color w:val="5C6E00"/>
                <w:sz w:val="22"/>
                <w:szCs w:val="22"/>
              </w:rPr>
              <w:t xml:space="preserve">💛  Patient Voice</w:t>
            </w:r>
          </w:p>
        </w:tc>
      </w:tr>
      <w:tr>
        <w:tc>
          <w:tcPr>
            <w:tcBorders>
              <w:top w:val="none" w:color="FFFFFF" w:sz="0"/>
              <w:left w:val="single" w:color="5C6E00" w:sz="8"/>
              <w:bottom w:val="none" w:color="FFFFFF" w:sz="0"/>
              <w:right w:val="single" w:color="5C6E00" w:sz="8"/>
            </w:tcBorders>
            <w:shd w:fill="FFFDE7" w:val="clear"/>
            <w:tcMar>
              <w:top w:type="dxa" w:w="80"/>
              <w:left w:type="dxa" w:w="200"/>
              <w:bottom w:type="dxa" w:w="80"/>
              <w:right w:type="dxa" w:w="200"/>
            </w:tcMar>
          </w:tcPr>
          <w:p>
            <w:pPr>
              <w:spacing w:after="40" w:before="40"/>
            </w:pPr>
            <w:r>
              <w:rPr>
                <w:rFonts w:ascii="Arial" w:cs="Arial" w:eastAsia="Arial" w:hAnsi="Arial"/>
                <w:sz w:val="22"/>
                <w:szCs w:val="22"/>
              </w:rPr>
              <w:t xml:space="preserve">"I spent 35 years thinking I was lazy. Every report card said 'not reaching potential.' Every job I lost was because of 'organisation issues.' Every relationship ended with someone frustrated by my unreliability. I was diagnosed with anxiety at 28, depression at 32, and then someone finally asked me about ADHD at 41. The diagnosis didn't change what had happened — but it changed how I understood myself."</w:t>
            </w:r>
          </w:p>
        </w:tc>
      </w:tr>
      <w:tr>
        <w:tc>
          <w:tcPr>
            <w:tcBorders>
              <w:top w:val="none" w:color="FFFFFF" w:sz="0"/>
              <w:left w:val="single" w:color="5C6E00" w:sz="8"/>
              <w:bottom w:val="none" w:color="FFFFFF" w:sz="0"/>
              <w:right w:val="single" w:color="5C6E00" w:sz="8"/>
            </w:tcBorders>
            <w:shd w:fill="FFFDE7"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6E00" w:sz="8"/>
              <w:bottom w:val="none" w:color="FFFFFF" w:sz="0"/>
              <w:right w:val="single" w:color="5C6E00" w:sz="8"/>
            </w:tcBorders>
            <w:shd w:fill="FFFDE7" w:val="clear"/>
            <w:tcMar>
              <w:top w:type="dxa" w:w="80"/>
              <w:left w:type="dxa" w:w="200"/>
              <w:bottom w:type="dxa" w:w="80"/>
              <w:right w:type="dxa" w:w="200"/>
            </w:tcMar>
          </w:tcPr>
          <w:p>
            <w:pPr>
              <w:spacing w:after="40" w:before="40"/>
            </w:pPr>
            <w:r>
              <w:rPr>
                <w:rFonts w:ascii="Arial" w:cs="Arial" w:eastAsia="Arial" w:hAnsi="Arial"/>
                <w:sz w:val="22"/>
                <w:szCs w:val="22"/>
              </w:rPr>
              <w:t xml:space="preserve">— Composite patient account, adult female, late ADHD diagnosis</w:t>
            </w:r>
          </w:p>
        </w:tc>
      </w:tr>
      <w:tr>
        <w:tc>
          <w:tcPr>
            <w:tcBorders>
              <w:top w:val="none" w:color="FFFFFF" w:sz="0"/>
              <w:left w:val="single" w:color="5C6E00" w:sz="8"/>
              <w:bottom w:val="single" w:color="5C6E00" w:sz="8"/>
              <w:right w:val="single" w:color="5C6E00" w:sz="8"/>
            </w:tcBorders>
            <w:shd w:fill="FFFDE7"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1.1 Why Women Are Missed — The Systematic Failure</w:t>
      </w:r>
    </w:p>
    <w:p>
      <w:pPr>
        <w:spacing w:after="80" w:before="80"/>
        <w:jc w:val="both"/>
      </w:pPr>
      <w:r>
        <w:rPr>
          <w:rFonts w:ascii="Arial" w:cs="Arial" w:eastAsia="Arial" w:hAnsi="Arial"/>
          <w:sz w:val="22"/>
          <w:szCs w:val="22"/>
        </w:rPr>
        <w:t xml:space="preserve">The underdiagnosis of ADHD in women is not random — it is the product of several interlocking mechanisms, each of which a GP must understand and actively counter.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It Operates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Consequence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Research bias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Early ADHD research conducted almost exclusively on hyperactive boys. DSM criteria developed on male-predominant samples.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Criteria better suited to detecting hyperactive-impulsive presentation; inattentive subtype — more common in females — systematically under-weighted.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Referral bias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Teachers and parents refer hyperactive boys; quiet, daydreaming girls are less disruptive to the classroom environment.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Girls are rarely flagged by educational systems; remain invisible until academic demands exceed compensatory capacity.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Masking and camouflage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Women invest greater social effort in concealing executive dysfunction — hyperorganisation, people-pleasing, performance anxiety, copying social scripts.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External presentation appears competent; ADHD invisible to observers including clinicians. Assessment reveals internal chaos.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Internalisation of hyperactivity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Female ADHD hyperactivity manifests as internal restlessness, racing thoughts, excessive talking, emotional intensity — not physical running and climbing.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Hyperactivity not recognised in clinical or school settings because it does not look like the childhood male prototype.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Anxiety-driven masking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 baseline anxiety in many women with undiagnosed ADHD drives compensatory effort that partially conceals ADHD symptoms while generating secondary presentations.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and depression are treated; ADHD is not identified. Medications for anxiety do not address the underlying cause.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Diagnostic overshadowing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depression, and mood instability — often downstream consequences of untreated ADHD — become the primary diagnoses.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Multiple mental health diagnoses accumulate across years; ADHD never identified. Patient continues to struggle despite 'appropriate'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Hormonal fluctuation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symptom severity fluctuates with oestrogen across the menstrual cycle, postnatal period, and perimenopause. Standard assessments take a single time-point.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may catch a woman at her 'best' (follicular phase, high oestrogen) and underestimate true symptom burden.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Clinician knowledge gap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Clinicians trained on male ADHD prototype do not recognise the female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Missed diagnoses; misdiagnoses; inadequate treatment for decades.</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1.2 The Female ADHD Clinical Profile — Presentation Patterns</w:t>
      </w:r>
    </w:p>
    <w:p>
      <w:pPr>
        <w:spacing w:after="80" w:before="80"/>
        <w:jc w:val="both"/>
      </w:pPr>
      <w:r>
        <w:rPr>
          <w:rFonts w:ascii="Arial" w:cs="Arial" w:eastAsia="Arial" w:hAnsi="Arial"/>
          <w:sz w:val="22"/>
          <w:szCs w:val="22"/>
        </w:rPr>
        <w:t xml:space="preserve">The GP should actively look for the following clinical signature in women — a pattern that is recognisable once you know it, but invisible if you are only screening for the male prototype.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FEMALE ADHD CLINICAL SIGNATURE — Pattern Recognition: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External appearance:  High-functioning, well-presented, often professionally successful or academically credentialled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Internal reality:     Chaotic, exhausted, held together by elaborate compensatory systems that are always on the verge of collapse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Emotional life:       Intense, easily overwhelmed, prone to RSD; relationships strained by emotional reactivity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History:              Multiple mental health contacts (anxiety, depression, sometimes BPD query); medications trialled with partial response only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Self-narrative:       'I've always known something was different.' 'I work three times as hard as everyone else just to keep up.' 'I was always told I was too sensitive.'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Hormonal clues:       Symptoms worse premenstrually; worsened post-natally; significant deterioration in perimenopause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Trigger for presentation: Life restructure — return to work post-children; relationship breakdown; burnout; perimenopause; child's ADHD diagnosis ('that's me in every description')</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1.3 Masking — The Hidden Cost</w:t>
      </w:r>
    </w:p>
    <w:p>
      <w:pPr>
        <w:spacing w:after="80" w:before="80"/>
        <w:jc w:val="both"/>
      </w:pPr>
      <w:r>
        <w:rPr>
          <w:rFonts w:ascii="Arial" w:cs="Arial" w:eastAsia="Arial" w:hAnsi="Arial"/>
          <w:sz w:val="22"/>
          <w:szCs w:val="22"/>
        </w:rPr>
        <w:t xml:space="preserve">Masking in women with ADHD is not simply concealment — it is an exhausting, continuous neurological performance. Women develop masking behaviours across childhood and adolescence in response to social pressure to appear organised, attentive, and emotionally regulated. By adulthood, the masking has become second nature — and invisible even to themselves.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Masking Behaviour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It Looks Like Externally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It Costs Internally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Hyperorganisation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Elaborate to-do lists, multiple calendar systems, phone reminders for everything, colour-coded planners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Hours of daily executive overhead; collapse when systems are disrupted; anxiety if systems fail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Extreme preparation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Over-prepares for meetings, rehearses conversations, writes scripts for phone calls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Exhaustion from the preparation load; still feels anxious despite preparation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Intellectual compensation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Uses intelligence and verbal fluency to cover disorganised thinking; speaks confidently while internally confused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Impostor syndrome; fear of being 'found out'; burnout when cognitive demand exceeds verbal compensation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People-pleasing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Agrees to everything to avoid conflict that impulsivity and forgetfulness might generate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Chronic overwhelm from overcommitment; resentment; inability to set limits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Copying social scripts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Watches how others behave and copies; learns 'how to seem normal' through observation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Profound sense of inauthenticity; exhaustion of constant performance; never feeling genuine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Retreat and isolation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Avoids situations where ADHD symptoms might be exposed; declines social invitations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Growing social isolation; shame; missed opportunities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Perfectionism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Makes tasks 'perfect' to avoid criticism for the mistakes that ADHD generates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Extraordinary time investment; inability to complete tasks (perfectionism as paralysis); chronic self-criticism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Masking collapse is the most common presentation pathway for adult female ADHD. Ask: 'Has there been a point in the last few years where your systems just stopped working? Where things that you used to manage started to fall apart?'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Classic trigger points: return to work after parental leave (structure removed); marriage breakdown (partner was the external organising system); promotion to a more complex role; perimenopause (oestrogen drop reduces dopamine availability); a child's ADHD diagnosis.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When masking collapses, the presentation looks like an acute mental health crisis — burnout, depression, anxiety disorder, emotional breakdown. The GP who recognises the unmasking of ADHD beneath this presentation makes the correct diagnosis.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1.4 Hormonal Modulation — The Clinical Map</w:t>
      </w:r>
    </w:p>
    <w:p>
      <w:pPr>
        <w:spacing w:after="80" w:before="80"/>
        <w:jc w:val="both"/>
      </w:pPr>
      <w:r>
        <w:rPr>
          <w:rFonts w:ascii="Arial" w:cs="Arial" w:eastAsia="Arial" w:hAnsi="Arial"/>
          <w:sz w:val="22"/>
          <w:szCs w:val="22"/>
        </w:rPr>
        <w:t xml:space="preserve">Oestrogen directly modulates dopamine D2 receptor density, dopamine transporter expression, and synaptic dopamine availability. As oestrogen fluctuates across the female reproductive lifespan, ADHD medication effectiveness and symptom severity change in clinically significant ways.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00"/>
        <w:gridCol w:w="18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Oestrogen Level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DA Receptor Sensitivity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Symptom Impact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Follicular phase (days 1–14)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Rising → peak at ovulation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Increasing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Symptoms relatively improved; medication may feel 'stronger'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Note: assessment at this phase may UNDERESTIMATE true severity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Luteal phase (days 14–28)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Falling → low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Decreasing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Symptoms worsen; emotional dysregulation peaks; RSD most intense; medication feels 'weaker'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Chart symptoms against cycle; consider luteal-phase dose adjustment; address premenstrual ADHD as a physiological phenomenon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Premenstrual (days 25–28)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Very low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Minimal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Peak symptom severity; mood instability; executive function at monthly nadir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reduce medication during this phase — patient may need dose increase; validate physiological basis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OCP (combined)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Stable synthetic oestrogen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Stabilised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Many women report symptom stability on OCP; some report worsening if progestogen-dominant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 OCP as therapeutic option for symptom cycling; discuss with patient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Pregnancy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 stable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Elevated (variable)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Variable — many women improve (high oestrogen); some worsen; medication decisions complex</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 to specialist; non-pharmacological first; document risk-benefit for any medication continuation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Post-natal (0–6 weeks)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Precipitous drop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 decrease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ADHD exacerbation, often misidentified as PND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Counsel pre-natally; distinguish PND from ADHD exacerbation; restart medication if breastfeeding risk acceptable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Perimenopause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Progressive decline (fluctuating)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Declining and unstable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often sudden ADHD symptom deterioration; previously controlled ADHD becomes uncontrolled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Increase stimulant dose trial; discuss HRT; liaise with gynaecologist; recognise as biological, not psychological deterioration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Post-menopause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Stable, low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 stable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Persistent symptom burden at lower but consistent level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Maintain medication; HRT may allow dose reduction; annual review</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1.5 The Premenstrual Amplification Phenomenon</w:t>
      </w:r>
    </w:p>
    <w:p>
      <w:pPr>
        <w:spacing w:after="80" w:before="80"/>
        <w:jc w:val="both"/>
      </w:pPr>
      <w:r>
        <w:rPr>
          <w:rFonts w:ascii="Arial" w:cs="Arial" w:eastAsia="Arial" w:hAnsi="Arial"/>
          <w:sz w:val="22"/>
          <w:szCs w:val="22"/>
        </w:rPr>
        <w:t xml:space="preserve">Premenstrual amplification describes the reliable, cyclical worsening of ADHD symptoms in the luteal phase of the menstrual cycle. It is distinct from PMDD (Premenstrual Dysphoric Disorder), though the two may co-occur. Recognition prevents years of unnecessarily escalating doses of antidepressants and anxiolytics.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Premenstrual ADHD Amplification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PMDD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Can Coexist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Timing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Luteal phase (days 14–28); worse final 5–7 days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Luteal phase, particularly days 23–28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and frequently do</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Core symptoms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symptoms specifically worsened: inattention, impulsivity, disorganisation, time blindness, task initiation failure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Dysphoria, irritability, tension, physical symptoms, mood lability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Different symptom profiles; both hormonally driven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RSD intensifies; emotional storms more frequent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Depression/irritability/anger prominent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Overlapping but distinct mechanisms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Response to ADHD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symptoms improve with appropriate ADHD medication; may need dose increase in luteal phase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SSRIs (intermittent luteal-phase dosing) are evidence-based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Different treatments; may both be required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tool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Prospective symptom charting across ≥2 complete cycles (ADHD-specific symptoms charted)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Prospective charting + functional impairment in ≥2 cycles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Chart both ADHD symptoms and mood symptoms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'I'd like to ask you to do something before our next appointment. Can you chart your ADHD symptoms — concentration, organisation, emotional reactivity — against your menstrual cycle for the next two months? There's a simple way to do this...'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[Provide or recommend a cycle-symptom tracking app. Advise patient to rate 3–5 ADHD-specific symptoms daily on a 0–10 scale alongside menstrual day. Review at next appointment.]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you may find is a consistent pattern — where these difficulties get reliably worse in the second half of your cycle and improve after your period. That pattern tells us something very specific about the neurobiological mechanism and helps guide treatment.'</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1.6 Late Diagnosis — The GP's Role in Healing</w:t>
      </w:r>
    </w:p>
    <w:p>
      <w:pPr>
        <w:spacing w:after="80" w:before="80"/>
        <w:jc w:val="both"/>
      </w:pPr>
      <w:r>
        <w:rPr>
          <w:rFonts w:ascii="Arial" w:cs="Arial" w:eastAsia="Arial" w:hAnsi="Arial"/>
          <w:sz w:val="22"/>
          <w:szCs w:val="22"/>
        </w:rPr>
        <w:t xml:space="preserve">When a woman receives an ADHD diagnosis after decades of struggle, the GP's role extends beyond clinical management. The diagnosis is often a profound psychosocial event — one that reorganises the patient's understanding of their entire history.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6E00" w:sz="8"/>
              <w:left w:val="single" w:color="5C6E00" w:sz="8"/>
              <w:bottom w:val="single" w:color="5C6E00" w:sz="8"/>
              <w:right w:val="single" w:color="5C6E00" w:sz="8"/>
            </w:tcBorders>
            <w:shd w:fill="FFFDE7" w:val="clear"/>
            <w:tcMar>
              <w:top w:type="dxa" w:w="100"/>
              <w:left w:type="dxa" w:w="200"/>
              <w:bottom w:type="dxa" w:w="40"/>
              <w:right w:type="dxa" w:w="200"/>
            </w:tcMar>
          </w:tcPr>
          <w:p>
            <w:pPr>
              <w:spacing w:after="40" w:before="40"/>
            </w:pPr>
            <w:r>
              <w:rPr>
                <w:rFonts w:ascii="Arial" w:cs="Arial" w:eastAsia="Arial" w:hAnsi="Arial"/>
                <w:b/>
                <w:bCs/>
                <w:color w:val="5C6E00"/>
                <w:sz w:val="22"/>
                <w:szCs w:val="22"/>
              </w:rPr>
              <w:t xml:space="preserve">💛  Patient Voice</w:t>
            </w:r>
          </w:p>
        </w:tc>
      </w:tr>
      <w:tr>
        <w:tc>
          <w:tcPr>
            <w:tcBorders>
              <w:top w:val="none" w:color="FFFFFF" w:sz="0"/>
              <w:left w:val="single" w:color="5C6E00" w:sz="8"/>
              <w:bottom w:val="none" w:color="FFFFFF" w:sz="0"/>
              <w:right w:val="single" w:color="5C6E00" w:sz="8"/>
            </w:tcBorders>
            <w:shd w:fill="FFFDE7" w:val="clear"/>
            <w:tcMar>
              <w:top w:type="dxa" w:w="80"/>
              <w:left w:type="dxa" w:w="200"/>
              <w:bottom w:type="dxa" w:w="80"/>
              <w:right w:type="dxa" w:w="200"/>
            </w:tcMar>
          </w:tcPr>
          <w:p>
            <w:pPr>
              <w:spacing w:after="40" w:before="40"/>
            </w:pPr>
            <w:r>
              <w:rPr>
                <w:rFonts w:ascii="Arial" w:cs="Arial" w:eastAsia="Arial" w:hAnsi="Arial"/>
                <w:sz w:val="22"/>
                <w:szCs w:val="22"/>
              </w:rPr>
              <w:t xml:space="preserve">"When the GP finally said the words, I just started crying. Not because I was sad — because every single difficult thing in my life suddenly made sense. The jobs I lost. The relationships that fell apart. The way I always felt like I was running to catch up with everyone else. It wasn't because I was broken. It was because my brain worked differently, and no one had ever told me that."</w:t>
            </w:r>
          </w:p>
        </w:tc>
      </w:tr>
      <w:tr>
        <w:tc>
          <w:tcPr>
            <w:tcBorders>
              <w:top w:val="none" w:color="FFFFFF" w:sz="0"/>
              <w:left w:val="single" w:color="5C6E00" w:sz="8"/>
              <w:bottom w:val="none" w:color="FFFFFF" w:sz="0"/>
              <w:right w:val="single" w:color="5C6E00" w:sz="8"/>
            </w:tcBorders>
            <w:shd w:fill="FFFDE7"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6E00" w:sz="8"/>
              <w:bottom w:val="none" w:color="FFFFFF" w:sz="0"/>
              <w:right w:val="single" w:color="5C6E00" w:sz="8"/>
            </w:tcBorders>
            <w:shd w:fill="FFFDE7" w:val="clear"/>
            <w:tcMar>
              <w:top w:type="dxa" w:w="80"/>
              <w:left w:type="dxa" w:w="200"/>
              <w:bottom w:type="dxa" w:w="80"/>
              <w:right w:type="dxa" w:w="200"/>
            </w:tcMar>
          </w:tcPr>
          <w:p>
            <w:pPr>
              <w:spacing w:after="40" w:before="40"/>
            </w:pPr>
            <w:r>
              <w:rPr>
                <w:rFonts w:ascii="Arial" w:cs="Arial" w:eastAsia="Arial" w:hAnsi="Arial"/>
                <w:sz w:val="22"/>
                <w:szCs w:val="22"/>
              </w:rPr>
              <w:t xml:space="preserve">— Composite account, woman diagnosed at age 47</w:t>
            </w:r>
          </w:p>
        </w:tc>
      </w:tr>
      <w:tr>
        <w:tc>
          <w:tcPr>
            <w:tcBorders>
              <w:top w:val="none" w:color="FFFFFF" w:sz="0"/>
              <w:left w:val="single" w:color="5C6E00" w:sz="8"/>
              <w:bottom w:val="single" w:color="5C6E00" w:sz="8"/>
              <w:right w:val="single" w:color="5C6E00" w:sz="8"/>
            </w:tcBorders>
            <w:shd w:fill="FFFDE7"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80"/>
        <w:jc w:val="both"/>
      </w:pPr>
      <w:r>
        <w:rPr>
          <w:rFonts w:ascii="Arial" w:cs="Arial" w:eastAsia="Arial" w:hAnsi="Arial"/>
          <w:sz w:val="22"/>
          <w:szCs w:val="22"/>
        </w:rPr>
        <w:t xml:space="preserve">The GP delivering a late ADHD diagnosis to a woman should anticipate several common emotional responses and be prepared to hold space for each:</w:t>
      </w:r>
    </w:p>
    <w:p>
      <w:pPr>
        <w:spacing w:after="40" w:before="4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Management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Grief</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Grief for years of lost potential, relationships, and self-confidence. Normal and expected. Validate explicitly: 'It makes sense to feel sad about what you didn't have access to.'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diagnostic disclosure. Note patient's response. Arrange follow-up specifically to process the diagnosis.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Relief</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Relief that there is an explanation — that they are not lazy, stupid, or broken. Often the predominant immediate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expressed relief and recognition on receiving diagnosis.'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Anger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Anger at systems and clinicians who failed to recognise ADHD for decades. May be directed at the current GP — hold it non-defensively.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expressed frustration that diagnosis was not made earlier. Validated this response. No defensive response from clinician.'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Self-questioning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'Does this change who I am?' 'Does it mean my achievements weren't real?' Address: the achievements ARE real — achieved despite an unrecognised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psychoeducation provided at disclosure.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Overwhelm at implications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'Does this affect my driving? My children? My job? My medication? How long will I need this?'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Provide written psychoeducation. Schedule follow-up to answer questions systematically. Do not try to cover everything in one appointment.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diagnostic disclosure appointment is not the time to initiate pharmacotherapy. It is the time to give the diagnosis, provide psychoeducation, validate the patient's emotional response, and schedule a dedicated treatment planning appointment.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Exception: if the patient's functional state is so impaired that they cannot safely wait — and they are requesting treatment urgently — you may begin pharmacotherapy at disclosure with adequate consent documentation.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1.7 Comorbidities in Women with ADHD</w:t>
      </w:r>
    </w:p>
    <w:p>
      <w:pPr>
        <w:spacing w:after="80" w:before="80"/>
        <w:jc w:val="both"/>
      </w:pPr>
      <w:r>
        <w:rPr>
          <w:rFonts w:ascii="Arial" w:cs="Arial" w:eastAsia="Arial" w:hAnsi="Arial"/>
          <w:sz w:val="22"/>
          <w:szCs w:val="22"/>
        </w:rPr>
        <w:t xml:space="preserve">Women with ADHD carry a higher comorbidity burden than men, both because of the neurobiological profile and because of the accumulated psychological consequences of years without diagnosis and treatment.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Comorbidity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Prevalence in Women with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Relationship to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Priority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ADHD-driven (consequence of chronic failure) and shared neurobiological vulnerability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ADHD — anxiety often partially resolves. Address residual anxiety with CBT or pharmacotherapy.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Major depressive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~30–50%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Downstream consequence of chronic ADHD impairment + failed masking; also shared neurobiological vulnerability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both; note that stimulants can improve depressive symptoms in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Rejection sensitivity dysphoria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Very high (majority)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Core feature of ADHD — particularly prominent in women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Psychoeducation; CBT; ensure ADHD medication at therapeutic dose.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Eating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Elevated (anorexia, bulimia, BED)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 emotional dysregulation; reward-seeking; appetite effects of untreated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 all women with ADHD for eating disorder history. Caution with stimulants in active eating disorder.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~60–75%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phase highly prevalent; circadian dysregulation is intrinsic to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 and treat sleep separately from ADHD; sleep deprivation worsens all ADHD symptoms.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Chronic pain / fibromyalgia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Elevated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Emerging evidence for shared neurobiological substrate; central sensitisation overlap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Recognise connection; address ADHD may improve pain thresholds.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PTSD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Elevated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Women with ADHD have higher rates of interpersonal trauma; PTSD and ADHD can coexist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Trauma-informed approach essential; stabilise trauma before initiating stimulants where possible.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Personality disorder features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Overlapping presentations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RSD mimics BPD; impulsivity mimics BPD; emotional dysregulation common to both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Careful differential; ADHD-specific treatment distinct from personality-focused therapy.</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2. ADHD in Children — Ages 6 to 12</w:t>
      </w:r>
    </w:p>
    <w:p>
      <w:pPr>
        <w:spacing w:after="80" w:before="80"/>
        <w:jc w:val="both"/>
      </w:pPr>
      <w:r>
        <w:rPr>
          <w:rFonts w:ascii="Arial" w:cs="Arial" w:eastAsia="Arial" w:hAnsi="Arial"/>
          <w:sz w:val="22"/>
          <w:szCs w:val="22"/>
        </w:rPr>
        <w:t xml:space="preserve">The primary school years are the crucible in which ADHD is most commonly identified — and most commonly missed or misattributed. Structured academic demands, sustained sitting, rule-following, and peer comparison create conditions that expose executive function differences that may have been invisible in less structured pre-school environments.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DEVELOPMENTAL WINDOW — Why Ages 6–12 Matter: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Before school: Executive function demands are minimal. Active children are just 'energetic.' Dreamy children are 'imaginative.'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At school entry (age 6): Sustained sitting for lessons, following multi-step instructions, independent work, managing materials, social reciprocity — all demand executive systems that are 2–3 years behind in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Years 3–5 (ages 8–10): Inattentive ADHD becomes visible as reading comprehension, independent homework, and organisational demands increase.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Years 5–6 (ages 10–12): Executive function demands peak — complex projects, self-directed study, transition to high school preparation. Many children with inattentive ADHD first present here.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Clinical implication: A child whose ADHD was not identified in Years 1–2 (hyperactive-impulsive missed?) should be actively assessed in Years 3–5 (inattentive emerging?).</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2.1 Clinical Presentation by Subtype — Primary School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Domain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ADHD-HI / Combined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ADHD-Inattentive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Assessment Focus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Classroom behaviour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Fidgeting, leaving seat, talking out of turn, calling out, impulsive answers, cannot wait turn — highly visible, referred early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Daydreaming, 'away with the fairies,' appears not to listen, forgets to hand in work — quiet, invisible, referred late or not at all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teacher: 'Is the concern about behaviour, attention, or both?'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Academic performance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Variable — may perform adequately if tasks are short; fails on sustained tasks; impulsive errors; incomplete work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Underperforms relative to apparent intelligence; reads slowly; loses thread in comprehension tasks; inconsistent performance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Compare performance to assessed cognitive ability — discordance is a key signal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functioning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Impulsive in social play — grabs, interrupts, cannot wait turn; may be bossy or aggressive; peer rejection common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Socially withdrawn or on periphery; misses social cues; quiet friendships or isolation; may be bullied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parent: 'How are friendships? Does [child] feel included?'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Home behaviour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Cannot sit for meals; excessive activity; emotional storms; rigid transitions; tantrums beyond expected 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Forgets to do chores; needs repeated prompting; disorganised bedroom; loses belongings; low frustration tolerance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does bedtime look like? Can they sit for family meals? What happens with homework?'</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Explosive, rapid emotional response; short frustration tolerance; 'meltdowns'; remorseful after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Tearful with academic frustration; anxious about school; low self-esteem; internalises failure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'Does [child] seem anxious about school? How does [child] respond to getting things wrong?'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Difficulty settling; late sleep onset; reluctant morning waking; non-restorative sleep very common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phase common; difficulty settling thoughts; reads or plays rather than sleeping; not rested in morning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time does [child] fall asleep? How do they wake up?'</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Girls at this 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Girls: combined type may look like a 'bossy leader' or 'drama queen' rather than a disruptive boy. Inattentive girls are the most missed group.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Girls: inattentive type described as 'dreamy,' 'sensitive,' 'tries hard but.' Often high anxiety and perfectionism developing.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Apply high-masking probe even at age 6–12: ask teacher specifically about girls who are quietly underperforming.</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2.2 The Parent Consultation — What Matters Most</w:t>
      </w:r>
    </w:p>
    <w:p>
      <w:pPr>
        <w:spacing w:after="80" w:before="80"/>
        <w:jc w:val="both"/>
      </w:pPr>
      <w:r>
        <w:rPr>
          <w:rFonts w:ascii="Arial" w:cs="Arial" w:eastAsia="Arial" w:hAnsi="Arial"/>
          <w:sz w:val="22"/>
          <w:szCs w:val="22"/>
        </w:rPr>
        <w:t xml:space="preserve">Parents presenting with a child they suspect has ADHD arrive with a mixture of concern, guilt (was it my parenting?), relief (there might be an explanation), and anxiety about medication. The GP must address all four dimensions.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'Before we go through the formal assessment, I want to understand your experience. What has made you think ADHD might be part of the picture for [child]? Tell me what daily life looks like.'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[Open listening for 2–3 minutes. Note: what worries them most? Safety? School? Relationships? Medication fear? Their own guilt?]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 want to reassure you about something before we go further. ADHD is a neurodevelopmental condition — it is biological, not the result of parenting. You are not here because you did something wrong. You are here because you noticed your child was struggling and you sought help. That's exactly what good parents do.'</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[AADPA CPP 2.3.6: Clinicians should explain that parent/family training does not imply bad parenting. This should be stated explicitly and early, because parental guilt often blocks honest assessment disclosure.]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'I'm going to ask some questions about [child]'s history going right back to early childhood. I'll also be asking you to complete a questionnaire, and I'd like to get some information from [child]'s teacher. This will take more than one appointment — and that's by design. I want to make sure we get this right.'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'Is there anyone in the family — including yourself or [child]'s other parent — who has had similar difficulties? ADHD runs strongly in families.'</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2.3 Key Clinical Probes — Children</w:t>
      </w:r>
    </w:p>
    <w:p>
      <w:pPr>
        <w:spacing w:after="80" w:before="80"/>
        <w:jc w:val="both"/>
      </w:pPr>
      <w:r>
        <w:rPr>
          <w:rFonts w:ascii="Arial" w:cs="Arial" w:eastAsia="Arial" w:hAnsi="Arial"/>
          <w:sz w:val="22"/>
          <w:szCs w:val="22"/>
        </w:rPr>
        <w:t xml:space="preserve">The following questions, asked to parents and teachers, are the highest-yield probes for primary school ADHD assessment. Each addresses a specific DSM-5 criterion or functional domain.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Question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Target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a Positive Answer Tells You</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[child] sit and watch a full TV show or film they've chosen?' (not YouTube shorts)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Inattention A1.2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they cannot sustain attention even on preferred content, this is a strong inattentive signal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[child] play a board game or card game with rules for more than 10 minutes without losing interest or breaking the rules?'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Inattention + impulse control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Impaired sustained attention AND/OR impulse control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many times do you need to repeat an instruction before [child] follows it?'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Inattention A1.3 — does not listen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More than 2–3 repetitions routinely = clinically significant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happens between the moment [child] starts homework and the moment it's finished?'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Task completion, sustained effort A1.4, A1.6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Abandonment, distraction, avoidance = strong inattentive indicators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[child] wants something now — a treat, to go somewhere — can they wait?'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 A2.8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Poor delay of gratification = hyperactive-impulsive domain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[child] is told no or something disappoints them, how quickly does the emotional response come on? How long does it last?'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 onset + short duration storms = ADHD-type ED (vs prolonged = mood disorder)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time does [child] fall asleep? Does [child] get up during the night? How are they to wake in the morning?'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 bidirectional ADHD-sleep relationship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onset or non-restorative sleep = common ADHD comorbidity requiring independent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'Have [child]'s difficulties been present since they started school, or did something change recently?'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Onset criterion — DSM-5 Criterion 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Recent onset (post-trauma, after a move, after bereavement) vs lifelong onset changes the differential substantially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'Tell me what [child]'s school reports have said since Kindergarten.'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Chronicity + cross-situational evidence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Consistent teacher concerns across years = developmental, not situational</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2.4 Non-Pharmacological Management — Children</w:t>
      </w:r>
    </w:p>
    <w:p>
      <w:pPr>
        <w:spacing w:after="80" w:before="80"/>
        <w:jc w:val="both"/>
      </w:pPr>
      <w:r>
        <w:rPr>
          <w:rFonts w:ascii="Arial" w:cs="Arial" w:eastAsia="Arial" w:hAnsi="Arial"/>
          <w:sz w:val="22"/>
          <w:szCs w:val="22"/>
        </w:rPr>
        <w:t xml:space="preserve">AADPA CPP 3.1.1: Clinicians should offer multimodal treatment and support. For younger children and mild-moderate presentations, non-pharmacological interventions are first-line. Even where medication is initiated, non-pharmacological approaches are essential.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Intervention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Evidence Base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the GP Recommends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Reference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Parent/family training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EBR — strong recommendation (AADPA 4.2.2). Conditional recommendation for children 5–17 years.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 to psychologist or paediatrician-led ADHD parenting program. Programs such as Triple P (enhanced), Stepping Stones Triple P, or ADHD-specific group programs.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4.2.2, 4.2.6</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More intensive parent training if ODD/CD comorbid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EBR — strong recommendation (4.2.3)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 for more intensive program: specifically evidence-based for ODD/CD + ADHD. Paediatric psychology essential.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4.2.3</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School accommodations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CPP — essential component of multimodal care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Write school support letter. Request: preferential seating, extended time on tests, reduced written output options, movement breaks, a trusted teacher contact.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7.2.2</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Cognitive-behavioural interventions for children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EBR — conditional recommendation (4.2.8)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 to psychologist for ADHD-specific CBT. Younger children: focus on emotional literacy, problem-solving, self-esteem. Older children: simple behavioural techniques.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4.2.8, 4.2.10</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hygiene intervention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CPP 4.1.1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sleep at every appointment. Consistent bedtime routine; screen-off 1 hour before bed; cool dark room; consistent wake time. Melatonin if persistent (discuss with paediatrician).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4.1.1</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activity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CPP 4.1.1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Regular aerobic exercise has direct neurobiological benefit in ADHD — increases DA/NA. Recommend structured physical activity daily (sport, swimming, martial arts). Not a cure — but a meaningful adjunct.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4.1.1</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Dietary advice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CPP 4.1.1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Omega-3 supplementation: modest evidence. Regular meals critical (hunger worsens ADHD). Avoid excess sugar/caffeine. Mediterranean diet pattern beneficial for neurodevelopment.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4.1.1</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2.5 Pharmacotherapy in Children — Key Principles</w:t>
      </w:r>
    </w:p>
    <w:p>
      <w:pPr>
        <w:spacing w:after="80" w:before="80"/>
        <w:jc w:val="both"/>
      </w:pPr>
      <w:r>
        <w:rPr>
          <w:rFonts w:ascii="Arial" w:cs="Arial" w:eastAsia="Arial" w:hAnsi="Arial"/>
          <w:sz w:val="22"/>
          <w:szCs w:val="22"/>
        </w:rPr>
        <w:t xml:space="preserve">AADPA EBR 5.3.1: Methylphenidate or dexamfetamine or lisdexamfetamine should be offered as first-line pharmacological treatment for children with ADHD where symptoms are causing significant impairment (Strong recommendation, LOW certainty).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Principle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Age threshold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generally initiated from age 6 years for children with ADHD. Under 5 years: specialist referral mandatory (AADPA CPP 5.2.1); medication used cautiously with close monitoring.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Growth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Height every 6 months; weight at 3, 6 months and 6-monthly thereafter. Plot on growth chart. If growth deceleration: drug holiday consideration, dietary support, dose review (AADPA CCR 5.7.6).</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School day coverage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Most children only require coverage for school and homework. Discuss with family: does [child] need weekend coverage? Behaviour at home significant? Homework demands?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Starting dose (children)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LDX: 20mg. MPH IR: 5mg BD. Ritalin LA/Concerta: 10–18mg. Always start at lowest dose and titrate slowly. Children with ASD, anxiety, or tic disorders: start lower and titrate more slowly (AADPA CCR 5.1.7).</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Drug holidays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Planned medication breaks during school holidays can allow: growth catch-up; assessment of baseline behaviour; family to gauge medication impact. Negotiate with family. Not mandatory — some children benefit from year-round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Appetite management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Dose AFTER breakfast, not before. Calorie-dense breakfast before medication. Late evening high-calorie snack (after medication has worn off). Dietary referral if significant growth concern.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Informed consent — children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Consent from parent/carer. Assent from child where developmentally appropriate (typically from age 7). Explain to the child what the medication does in child-appropriate language.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single" w:color="854F0B" w:sz="8"/>
              <w:right w:val="single" w:color="854F0B" w:sz="8"/>
            </w:tcBorders>
            <w:shd w:fill="FFF3CD" w:val="clear"/>
            <w:tcMar>
              <w:top w:type="dxa" w:w="100"/>
              <w:left w:type="dxa" w:w="200"/>
              <w:bottom w:type="dxa" w:w="40"/>
              <w:right w:type="dxa" w:w="200"/>
            </w:tcMar>
          </w:tcPr>
          <w:p>
            <w:pPr>
              <w:spacing w:after="40" w:before="40"/>
            </w:pPr>
            <w:r>
              <w:rPr>
                <w:rFonts w:ascii="Arial" w:cs="Arial" w:eastAsia="Arial" w:hAnsi="Arial"/>
                <w:b/>
                <w:bCs/>
                <w:color w:val="854F0B"/>
                <w:sz w:val="22"/>
                <w:szCs w:val="22"/>
              </w:rPr>
              <w:t xml:space="preserve">⚠️  Caution</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Drug holiday planning: when considering a medication break during school holidays, discuss this with the family rather than imposing it. Some children are equally or more impaired at home (safety, family relationships, sport). For these children, year-round treatment may be more appropriate.</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Never stop stimulants abruptly in a child who is doing well simply because it is school holidays, without discussing with the family whether the break is clinically appropriate for this individual child.</w:t>
            </w:r>
          </w:p>
        </w:tc>
      </w:tr>
      <w:tr>
        <w:tc>
          <w:tcPr>
            <w:tcBorders>
              <w:top w:val="none" w:color="FFFFFF" w:sz="0"/>
              <w:left w:val="single" w:color="854F0B" w:sz="8"/>
              <w:bottom w:val="single" w:color="854F0B" w:sz="8"/>
              <w:right w:val="single" w:color="854F0B" w:sz="8"/>
            </w:tcBorders>
            <w:shd w:fill="FFF3CD"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3. ADHD in Adolescents</w:t>
      </w:r>
    </w:p>
    <w:p>
      <w:pPr>
        <w:spacing w:after="80" w:before="80"/>
        <w:jc w:val="both"/>
      </w:pPr>
      <w:r>
        <w:rPr>
          <w:rFonts w:ascii="Arial" w:cs="Arial" w:eastAsia="Arial" w:hAnsi="Arial"/>
          <w:sz w:val="22"/>
          <w:szCs w:val="22"/>
        </w:rPr>
        <w:t xml:space="preserve">Adolescence is the most complex developmental stage for ADHD. The neurodevelopmental demands of puberty, identity formation, academic escalation, and increasing independence collide with an executive system that is already 2–3 years behind developmental age. The consequences can be severe — academic failure, substance experimentation, risk-taking behaviour, identity crisis, depression.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WHAT CHANGES IN ADOLESCENCE FOR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Hyperactivity internalises:   Physical running and climbing becomes internal restlessness, racing thoughts, emotional intensity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Academic demands escalate:    Independent study, self-directed projects, exam preparation — all require sustained EF that adolescent ADHD cannot reliably provide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Identity crisis amplifies:   Years of academic struggle + peer comparison create a narrative: 'I'm not smart enough, good enough, reliable enough'</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Risk-taking increases:        Impulsivity + novelty-seeking + identity risk-taking + peer pressure = significantly elevated risk of substance use, dangerous driving, unprotected sex</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New diagnoses emerge:         Anxiety and depression commonly diagnosed in adolescence — often as downstream consequences of undiagnosed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Masking intensifies (girls):  Adolescent girls with ADHD invest enormous effort in social performance — the gap between appearance and reality widens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Medication ambivalence grows: Adolescents question why they need medication; stigma; peers; identity</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3.1 The Adolescent ADHD Assessment — Unique Challenges</w:t>
      </w:r>
    </w:p>
    <w:p>
      <w:pPr>
        <w:spacing w:after="80" w:before="80"/>
        <w:jc w:val="both"/>
      </w:pPr>
      <w:r>
        <w:rPr>
          <w:rFonts w:ascii="Arial" w:cs="Arial" w:eastAsia="Arial" w:hAnsi="Arial"/>
          <w:sz w:val="22"/>
          <w:szCs w:val="22"/>
        </w:rPr>
        <w:t xml:space="preserve">Assessing ADHD in an adolescent requires a different therapeutic stance than in children or adults. The adolescent must be the primary informant about their own experience. Parent and teacher information remains important but must not override the young person's voice.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Challenge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Strategy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may not have insight into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expect the adolescent to self-describe 'ADHD symptoms.' Ask about functional impact: 'What gets in the way for you at school? At home? With your friends?'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may resist diagnosis (stigma, identity)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Validate ambivalence: 'It makes sense that you'd have mixed feelings about a label like ADHD. Let's talk about what it would mean for you before we make any decisions.'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Parent and adolescent have conflicting accounts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See adolescent alone for part of the assessment. Their private account is often more honest. Do not triangulate them.</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use confounds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Cannabis use is very common in ADHD adolescents (self-medication of emotional dysregulation). Assess separately. Do not dismiss ADHD because of cannabis use — address both.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Mood disorder emerging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depression and anxiety are common ADHD comorbidities. Do not substitute these diagnoses for ADHD. Assess all three domains independently.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Digital distraction — is it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Heavy screen/social media use can impair concentration in neurotypical adolescents too. Distinguish: does the concentration difficulty predate problematic screen use? Does it occur in screen-free contexts?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for driving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Adolescents approaching driving age: ADHD significantly elevates crash risk. Discuss medication and driving proactively. This is a safety conversation.</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3.2 Adolescent Interview — Key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 (adolescent alone):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'I'm going to ask you some questions, and I want you to know this conversation is confidential — unless you tell me something that I'm worried might hurt you. There are no right or wrong answers. I just want to understand what your experience is like.'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'Tell me about school. What's actually going on — not what your parents think, but what you experience?'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[Open. Let them lead. Do not correct their description to match DSM language.]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you try to study — what happens? Can you describe what the inside of your head feels like when you're trying to concentrate on something boring?'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about your phone — how often do you check it? Can you put it away for an hour when you're studying?'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'Walk me through what happens when you have an assignment due. From when it's set to when it's submitted. What does that actually look like?'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[This question almost always reveals ADHD-specific patterns: paralysis until the night before; hyperfocus on irrelevant aspects; staying up all night; submitting incomplete work. Or — increasingly with girls — the extreme overpreparation that produces good outcomes at enormous personal cost.]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'Is there a sense inside you of always being driven — like a motor running — even when you're supposed to be relaxing?'</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'When something upsets you — a fight, a rejection, a criticism — how fast does that hit, and how hard?'</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'Have you used anything — alcohol, cannabis, vapes, energy drinks — to help you focus, calm down, or sleep?'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[Normalise without endorsing: 'A lot of young people with ADHD find that certain things seem to help their brain settle. I'm not judging you — I'm asking because it tells me something important about how your brain works.']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GP:</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pPr>
            <w:r>
              <w:rPr>
                <w:rFonts w:ascii="Arial" w:cs="Arial" w:eastAsia="Arial" w:hAnsi="Arial"/>
                <w:sz w:val="22"/>
                <w:szCs w:val="22"/>
              </w:rPr>
              <w:t xml:space="preserve">'What do you think is going on? What does your gut tell you?'</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3.3 Substance Use in Adolescent ADHD</w:t>
      </w:r>
    </w:p>
    <w:p>
      <w:pPr>
        <w:spacing w:after="80" w:before="80"/>
        <w:jc w:val="both"/>
      </w:pPr>
      <w:r>
        <w:rPr>
          <w:rFonts w:ascii="Arial" w:cs="Arial" w:eastAsia="Arial" w:hAnsi="Arial"/>
          <w:sz w:val="22"/>
          <w:szCs w:val="22"/>
        </w:rPr>
        <w:t xml:space="preserve">ADHD is one of the strongest predictors of substance use initiation in adolescence. The mechanisms are multiple and clinically important to understand: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Implication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Self-medication of 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Cannabis specifically reduces the emotional hyperarousal and RSD that makes adolescent social life so painful with ADHD. This is not recreational use — it is medication.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Impulsivity-driven experimentation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impulsivity of ADHD leads to faster substance uptake and progression to problematic use than in neurotypical peers.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Novelty-seeking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interest-based nervous system responds strongly to novel experiences including substance use.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connection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use provides social belonging that ADHD social difficulties have denied. Peer group built around substance use.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Academic escape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Intoxication provides an excuse not to attempt academic tasks that feel impossibly hard without appropriate support.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treatment reduces SUD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Evidence shows that stimulant treatment of ADHD in adolescence reduces the risk of developing SUD in adulthood. Treating ADHD is protective.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ADHD-cannabis relationship in adolescents is bidirectional. Cannabis can worsen ADHD (through effects on developing dopaminergic systems). ADHD drives cannabis use (self-medication). Both must be acknowledged.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Clinical approach: 'I can see you've found cannabis helps you feel calmer. That actually makes a lot of neurological sense — it's activating some of the same pathways that proper ADHD treatment would activate. The problem is it's also slowing your brain development and making ADHD treatment less effective. Can we find a better solution together?'</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3.4 Transition of Care — The 18-Year-Old Cliff</w:t>
      </w:r>
    </w:p>
    <w:p>
      <w:pPr>
        <w:spacing w:after="80" w:before="80"/>
        <w:jc w:val="both"/>
      </w:pPr>
      <w:r>
        <w:rPr>
          <w:rFonts w:ascii="Arial" w:cs="Arial" w:eastAsia="Arial" w:hAnsi="Arial"/>
          <w:sz w:val="22"/>
          <w:szCs w:val="22"/>
        </w:rPr>
        <w:t xml:space="preserve">AADPA CCR 3.2.1: People who require ongoing care should receive support to transition between services. Clinicians should identify such people early — at least 12 months before their 18th birthday — to allow appropriate planning to occur in advance.</w:t>
      </w:r>
    </w:p>
    <w:p>
      <w:pPr>
        <w:spacing w:after="40" w:before="40"/>
      </w:pPr>
      <w:r>
        <w:t xml:space="preserve"/>
      </w:r>
    </w:p>
    <w:p>
      <w:pPr>
        <w:spacing w:after="80" w:before="80"/>
        <w:jc w:val="both"/>
      </w:pPr>
      <w:r>
        <w:rPr>
          <w:rFonts w:ascii="Arial" w:cs="Arial" w:eastAsia="Arial" w:hAnsi="Arial"/>
          <w:sz w:val="22"/>
          <w:szCs w:val="22"/>
        </w:rPr>
        <w:t xml:space="preserve">Transition from paediatric/adolescent ADHD care to adult services is a well-documented point of treatment discontinuation. For adolescents managed under a paediatrician or child psychiatrist's authority, the GP must plan ahead to assume ongoing prescribing and monitoring responsibility.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Transition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16–17 years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Identify patients approaching transition. Begin transition planning conversation: 'As you turn 18, your ADHD care will transition to adult services. Let's plan for that now so there's no gap in your treatment.'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Note: transition planning commenced; patient informed; timeline set.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17 years (12 months before)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CCR 3.2.1: formal transition planning. If specialist-managed: request transition letter and medication plan. Establish GP as ongoing prescriber. Apply for own GP prescribing authority if not already held.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Specialist transition letter filed. Authority prescription arrangement confirmed.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17–18 years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Establish direct GP relationship — begin shared appointments with specialist if possible. Consolidate diagnostic documentation in GP record. Ensure GP has full diagnostic and medication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Full diagnostic record in GP EMR. Medication history complete.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18 years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assumes full prescribing responsibility OR establishes adult psychiatry/ADHD specialist shared care. NEVER leave a gap in medication between paediatric and adult care.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Transition complete. Adult authority prescription in place. Review scheduled.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18+ years ongoing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review using Module 6 adult monitoring framework. Reassess university/work support needs. Address new adult life domains: driving, relationships, finances, sexual health.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Annual review documented. Adult functional domains assessed.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The 18-year-old transition cliff is a major ADHD healthcare risk. Young people who lose access to ADHD medication at 18 because of inadequate transition planning often experience rapid functional deterioration, academic failure, and increased SUD risk.</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If a young person presents at 18+ having lost access to stimulants at transition: treat as a priority. Re-establish diagnosis documentation; apply for authority; resume medication. Do not make them wait months.</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3.5 Driving and Adolescent ADHD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Topic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Evidence and Guidance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and crash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Adolescents and young adults with ADHD have 2–4 times increased road accident risk, more traffic violations, and more licence suspensions compared to peers.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Discuss at every consultation from age 15 onwards. Document the conversation.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treatment and driving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treatment significantly reduces driving accident risk in ADHD. This is one of the strongest arguments for treatment continuation in adolescents who are ambivalent about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 want to talk about driving. Your ADHD medication makes you a safer driver. This is one of the reasons continuing treatment matters.'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Untreated ADHD and P-plates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 adolescent on P-plates with untreated ADHD is a safety risk. Australian road safety regulations: ADHD is a notifiable medical condition — GPs have an obligation to advise patients whose condition affects driving fitness.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 ADHD and driving discussed; treatment status; recommendation made. If unsafe to drive: document advice given.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Sleepiness from guanfacine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adolescent is on guanfacine: warn explicitly about sedation — do not drive until effect on alertness is known. This sedation effect is greatest in the first 2–4 weeks.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Driving restriction during guanfacine initiation documented.</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4. ADHD in Aboriginal and Torres Strait Islander Peoples</w:t>
      </w:r>
    </w:p>
    <w:p>
      <w:pPr>
        <w:spacing w:after="80" w:before="80"/>
        <w:jc w:val="both"/>
      </w:pPr>
      <w:r>
        <w:rPr>
          <w:rFonts w:ascii="Arial" w:cs="Arial" w:eastAsia="Arial" w:hAnsi="Arial"/>
          <w:sz w:val="22"/>
          <w:szCs w:val="22"/>
        </w:rPr>
        <w:t xml:space="preserve">This section requires a particular form of clinical humility. ADHD assessment frameworks, diagnostic tools, and clinical guidelines were developed predominantly in Western, English-speaking, non-Indigenous populations. Their application to Aboriginal and Torres Strait Islander peoples requires careful, respectful adaptation — not abandonment of clinical rigour, but recognition that rigour must be culturally situated.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3A1F" w:sz="8"/>
              <w:left w:val="single" w:color="8B3A1F" w:sz="8"/>
              <w:bottom w:val="single" w:color="8B3A1F" w:sz="8"/>
              <w:right w:val="single" w:color="8B3A1F" w:sz="8"/>
            </w:tcBorders>
            <w:shd w:fill="FAF0EC" w:val="clear"/>
            <w:tcMar>
              <w:top w:type="dxa" w:w="100"/>
              <w:left w:type="dxa" w:w="200"/>
              <w:bottom w:type="dxa" w:w="40"/>
              <w:right w:type="dxa" w:w="200"/>
            </w:tcMar>
          </w:tcPr>
          <w:p>
            <w:pPr>
              <w:spacing w:after="40" w:before="40"/>
            </w:pPr>
            <w:r>
              <w:rPr>
                <w:rFonts w:ascii="Arial" w:cs="Arial" w:eastAsia="Arial" w:hAnsi="Arial"/>
                <w:b/>
                <w:bCs/>
                <w:color w:val="8B3A1F"/>
                <w:sz w:val="22"/>
                <w:szCs w:val="22"/>
              </w:rPr>
              <w:t xml:space="preserve">🟤  Aboriginal &amp; Torres Strait Islander — Clinical Guidance</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A NOTE ON THIS SECTION:</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Aboriginal and Torres Strait Islander peoples are the world's oldest continuous cultures. They are not defined by deficit, disadvantage, or disorder. Any engagement with ADHD in these communities must be grounded in:</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 Respect for the sovereignty, resilience, and strength of Aboriginal and Torres Strait Islander peoples</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 Recognition of the ongoing impacts of colonisation, intergenerational trauma, and systemic racism on health</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 Commitment to self-determination: communities and individuals have the right to determine what care looks like for them</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 Strengths-based approach: always begin with what the person does well, what their family and community value in them</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The AADPA guideline (CPP 6.2.1–6.2.6) reflects these principles. So must GP practice.</w:t>
            </w:r>
          </w:p>
        </w:tc>
      </w:tr>
      <w:tr>
        <w:tc>
          <w:tcPr>
            <w:tcBorders>
              <w:top w:val="none" w:color="FFFFFF" w:sz="0"/>
              <w:left w:val="single" w:color="8B3A1F" w:sz="8"/>
              <w:bottom w:val="single" w:color="8B3A1F" w:sz="8"/>
              <w:right w:val="single" w:color="8B3A1F" w:sz="8"/>
            </w:tcBorders>
            <w:shd w:fill="FAF0EC"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4.1 Epidemiology and Context</w:t>
      </w:r>
    </w:p>
    <w:p>
      <w:pPr>
        <w:spacing w:after="80" w:before="80"/>
        <w:jc w:val="both"/>
      </w:pPr>
      <w:r>
        <w:rPr>
          <w:rFonts w:ascii="Arial" w:cs="Arial" w:eastAsia="Arial" w:hAnsi="Arial"/>
          <w:sz w:val="22"/>
          <w:szCs w:val="22"/>
        </w:rPr>
        <w:t xml:space="preserve">ADHD rates are elevated in Aboriginal and Torres Strait Islander children and adults compared to the general Australian population. The reasons are complex and multiply-determined — and must not be reduced to simplistic explanations.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Factor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We Know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We Must Avoid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Prevalence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Higher rates reported in Aboriginal and Torres Strait Islander children, particularly those in contact with child protection systems, juvenile justice, and out-of-home care (all AADPA 1.1.1 high-risk groups).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 conflating ADHD with poverty, trauma, or disadvantage. These factors increase risk but do not cause ADHD in a person without the neurobiological substrate.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tools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ADHD rating scales (SNAP-IV, Conners) were not developed or validated in Aboriginal populations. Cultural norms for activity level, eye contact, verbal communication, and response to authority may skew results (AADPA CPP 6.2.1).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Never use a rating scale score as a primary diagnostic tool with Aboriginal patients. Use clinical interview, collateral, and cultural context.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Diagnostic bias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may be over-attributed to culturally normative behaviour (active, outdoor-oriented children in community contexts) OR under-recognised when family/community do not use clinical language.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 both over-diagnosis (pathologising culture) and under-diagnosis (dismissing genuine impairment as cultural).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 overlay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 rates of intergenerational trauma, early childhood adversity, family violence, and disrupted attachment create presentations that overlap with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and trauma co-exist frequently. Trauma does not exclude ADHD — but requires explicit assessment and documentation of the differential.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determinants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Food insecurity, housing instability, inconsistent schooling, and family stress all worsen ADHD symptoms and impair assessment accuracy.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social determinants as part of a comprehensive care plan — not as a reason to avoid ADHD diagnosis.</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4.2 AADPA Guideline Framework — CPP 6.2</w:t>
      </w:r>
    </w:p>
    <w:p>
      <w:pPr>
        <w:spacing w:after="80" w:before="80"/>
        <w:jc w:val="both"/>
      </w:pPr>
      <w:r>
        <w:rPr>
          <w:rFonts w:ascii="Arial" w:cs="Arial" w:eastAsia="Arial" w:hAnsi="Arial"/>
          <w:sz w:val="22"/>
          <w:szCs w:val="22"/>
        </w:rPr>
        <w:t xml:space="preserve">AADPA CPPs 6.2.1 through 6.2.6 provide the clinical framework for ADHD assessment and management in Aboriginal and Torres Strait Islander peoples. Every GP working with these communities must know these recommendations.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CPP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Recommendation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6.2.1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Conduct a culturally appropriate screening assessment. Use a strengths-based focus. ADHD tools may not be valid — use with caution. Seek assistance of cultural interpreter or ATSI health worker.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Before assessment: engage Aboriginal Health Worker if available. Ask patient what language they prefer. Ask what strengths they and their family see in them.</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6.2.2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Culturally and psychometrically validated symptom questionnaires should be developed for ADHD in Indigenous children, adolescents and adults. [Currently: none exist]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Use existing tools with explicit acknowledgment of limitations. Weight clinical interview and collateral heavily. Do not over-interpret scale scores.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6.2.3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Conduct a culturally appropriate assessment. Include a cultural and social assessment of the meaning and significance of symptoms. Strengths-based focus. Cultural interpreter/ATSI health worker if needed.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'What does this difficulty mean to you and your family?' Contextualise symptoms within family and community life. Assess strengths first.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6.2.4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Interventions should include input from parents, families, community, and Elders as appropriate. Individual wishes regarding treatment (cultural, pharmacological vs non-pharmacological) should be prioritised.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Treatment planning is a family and community conversation — not a solo clinical decision. Ask: 'Who do you want involved in making these decisions?'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6.2.5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Non-pharmacological interventions need to be culturally sensitive and appropriately tailored. Consider local cultural context.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Adapt parenting programs, CBT, and lifestyle advice to cultural context. Involve community services. Do not assume Western non-pharmacological approaches translate directly.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6.2.6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Pharmacological interventions should be explained carefully with awareness of potential cultural issues. May be more acceptable as part of a broad package aimed at helping the person reach their potential.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Frame medication as 'helping your brain work the way it wants to' rather than 'fixing a disorder.' Link to the patient's own goals and aspirations.</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4.3 Culturally Safe Assessment Principles — Applied</w:t>
      </w:r>
    </w:p>
    <w:p>
      <w:pPr>
        <w:spacing w:after="80" w:before="80"/>
        <w:jc w:val="both"/>
      </w:pPr>
      <w:r>
        <w:rPr>
          <w:rFonts w:ascii="Arial" w:cs="Arial" w:eastAsia="Arial" w:hAnsi="Arial"/>
          <w:sz w:val="22"/>
          <w:szCs w:val="22"/>
        </w:rPr>
        <w:t xml:space="preserve">Cultural safety is not a checklist — it is a relational quality that emerges from genuine respect, self-reflection, and willingness to learn. The following principles apply every time a GP engages with an Aboriginal or Torres Strait Islander patient for ADHD assessment.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Principle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This Means in Practice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Common Mistake to Avoid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Acknowledge Country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Open with acknowledgment of Country. This signals respect for the patient's connection to land and culture.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Skipping acknowledgment because you're 'too busy' or 'it feels awkward' — the awkwardness is about you, not the patient.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Build relationship before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begin structured assessment on a first visit with a patient you don't know. Spend time in conversation. Ask about family, community, what they enjoy.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Immediately producing questionnaires and structured interview frameworks — this communicates that you see a case, not a person.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Eye contact norms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 many Aboriginal communities, sustained direct eye contact (especially with authority figures) is considered rude or aggressive. Reduced or averted eye contact is respectful — not inattentive or evasive.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Interpreting averted gaze as 'poor eye contact' and recording it as a symptom of inattention or social communication difficulty.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Silence is communication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Silence between question and answer may be culturally normative — a sign of respect and thoughtful consideration. Do not fill silence with another question.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Interpreting silence as non-engagement or cognitive difficulty.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 presence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 members may be present throughout the consultation. This is normative and often therapeutically beneficial. Ask who the patient would like present.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Asking family to leave for 'confidentiality' without checking with the patient first.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Strengths-based opening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ADHD assessment with an Aboriginal patient should begin: 'Before we talk about difficulties, I want to hear what you're good at. What do your family and community value in you?'</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Beginning immediately with deficit exploration — symptoms, problems, impairments. This activates shame and shuts the consultation down.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Language and literacy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Many Aboriginal adults have limited English literacy or have English as a second or additional language. Do not assume literacy. Do not use jargon. Ask how the patient prefers to receive information.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Handing over a written questionnaire without checking literacy or language preference.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 awareness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Always approach assessment with awareness that the patient may have experienced significant trauma — personal, familial, intergenerational. Trauma-informed questioning is mandatory, not optional.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detachment that fails to acknowledge the weight of history that many Aboriginal patients carry into every healthcare encounter.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Use an Aboriginal Health Worker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Where available, an Aboriginal Health Worker or cultural liaison should be involved. They bridge clinical and cultural knowledge, improve assessment accuracy, and support therapeutic alliance.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Assuming you can do culturally safe assessment alone without cultural support.</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4.4 The Differential: ADHD vs Trauma vs Cultural Normality</w:t>
      </w:r>
    </w:p>
    <w:p>
      <w:pPr>
        <w:spacing w:after="80" w:before="80"/>
        <w:jc w:val="both"/>
      </w:pPr>
      <w:r>
        <w:rPr>
          <w:rFonts w:ascii="Arial" w:cs="Arial" w:eastAsia="Arial" w:hAnsi="Arial"/>
          <w:sz w:val="22"/>
          <w:szCs w:val="22"/>
        </w:rPr>
        <w:t xml:space="preserve">This differential is the most clinically challenging in Australian general practice. The GP must hold three possibilities simultaneously and document their reasoning explicitly.</w:t>
      </w:r>
    </w:p>
    <w:p>
      <w:pPr>
        <w:spacing w:after="4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Suggests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Suggests Trauma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Suggests Cultural Normality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Attention and concentration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Difficulties predate trauma; present in safe/structured settings; consistent across all environments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Attention specifically worse in trauma-associated contexts (e.g., school like a previous abusive environment); hypervigilance, not inattention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Normal variation in a culture with different attentional norms (more active, outdoor, experiential learning preference)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Activity level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Developmentally inappropriate restlessness in structured settings; impulsive across contexts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Hyperarousal specifically in trauma-reminiscent contexts; freeze or flight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 physical culture norm — child is within normal range for community peers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 onset, brief duration emotional storms since early childhood; present in safe contexts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responses specifically triggered by trauma cues; prolonged and linked to survival responses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Culturally expressive emotional style that is normative within community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functioning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Cross-setting difficulties with peers; impulsive intrusion; rejection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withdrawal in specific contexts; avoidance of people resembling perpetrators; dissociative episodes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Close family orientation; less emphasis on individual peer relationships; different social norms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Developmental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Consistent pattern since early childhood across all settings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Functioning changed after identifiable traumatic event or adversity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childhood difficulty — presentation driven by current social stressors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First- or second-degree relative with ADHD or similar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 history of trauma, violence, or displacement as primary explanatory factor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Family/community norms are similar — this is not pathological in this context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3A1F" w:sz="8"/>
              <w:left w:val="single" w:color="8B3A1F" w:sz="8"/>
              <w:bottom w:val="single" w:color="8B3A1F" w:sz="8"/>
              <w:right w:val="single" w:color="8B3A1F" w:sz="8"/>
            </w:tcBorders>
            <w:shd w:fill="FAF0EC" w:val="clear"/>
            <w:tcMar>
              <w:top w:type="dxa" w:w="100"/>
              <w:left w:type="dxa" w:w="200"/>
              <w:bottom w:type="dxa" w:w="40"/>
              <w:right w:type="dxa" w:w="200"/>
            </w:tcMar>
          </w:tcPr>
          <w:p>
            <w:pPr>
              <w:spacing w:after="40" w:before="40"/>
            </w:pPr>
            <w:r>
              <w:rPr>
                <w:rFonts w:ascii="Arial" w:cs="Arial" w:eastAsia="Arial" w:hAnsi="Arial"/>
                <w:b/>
                <w:bCs/>
                <w:color w:val="8B3A1F"/>
                <w:sz w:val="22"/>
                <w:szCs w:val="22"/>
              </w:rPr>
              <w:t xml:space="preserve">🟤  Aboriginal &amp; Torres Strait Islander — Clinical Guidance</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CRITICAL CLINICAL PRINCIPLE: ADHD and trauma coexist frequently in Aboriginal and Torres Strait Islander communities — the presence of significant trauma does not exclude ADHD.</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The question is not 'ADHD OR trauma?' It is 'ADHD AND/OR trauma?' Both must be assessed. Both must be treated if present. Neither excludes the other.</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A child or adult with both ADHD and trauma-related symptoms who receives only trauma-focused treatment will continue to experience ADHD-specific impairment. A person with both conditions who receives only ADHD medication without trauma support will not achieve full recovery.</w:t>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B3A1F" w:sz="8"/>
              <w:bottom w:val="none" w:color="FFFFFF" w:sz="0"/>
              <w:right w:val="single" w:color="8B3A1F" w:sz="8"/>
            </w:tcBorders>
            <w:shd w:fill="FAF0EC" w:val="clear"/>
            <w:tcMar>
              <w:top w:type="dxa" w:w="80"/>
              <w:left w:type="dxa" w:w="200"/>
              <w:bottom w:type="dxa" w:w="80"/>
              <w:right w:type="dxa" w:w="200"/>
            </w:tcMar>
          </w:tcPr>
          <w:p>
            <w:pPr>
              <w:spacing w:after="40" w:before="40"/>
            </w:pPr>
            <w:r>
              <w:rPr>
                <w:rFonts w:ascii="Arial" w:cs="Arial" w:eastAsia="Arial" w:hAnsi="Arial"/>
                <w:sz w:val="22"/>
                <w:szCs w:val="22"/>
              </w:rPr>
              <w:t xml:space="preserve">Document your differential reasoning explicitly: 'Traumatic history noted and considered. ADHD features are present across trauma-unrelated contexts, predate identified traumatic events per developmental history, and are consistent with a lifelong neurodevelopmental pattern rather than a trauma response. Working diagnosis: ADHD with trauma comorbidity. Plan: address both concurrently.'</w:t>
            </w:r>
          </w:p>
        </w:tc>
      </w:tr>
      <w:tr>
        <w:tc>
          <w:tcPr>
            <w:tcBorders>
              <w:top w:val="none" w:color="FFFFFF" w:sz="0"/>
              <w:left w:val="single" w:color="8B3A1F" w:sz="8"/>
              <w:bottom w:val="single" w:color="8B3A1F" w:sz="8"/>
              <w:right w:val="single" w:color="8B3A1F" w:sz="8"/>
            </w:tcBorders>
            <w:shd w:fill="FAF0EC"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4.5 Treatment and Management — Cultural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Domain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Approach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Culturally Adapted Approach for Aboriginal/Torres Strait Islander Patients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Psychoeducation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ADHD psychoeducation about neurobiology, treatment options,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Frame ADHD in terms that resonate with the patient's worldview. Some find it helpful to understand ADHD as 'a brain that is well-suited for a different kind of world — one that values immediate problem-solving, physical activity, and rapid response.' Avoid medicalising language where possible.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discussion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risk-benefit discussion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explicitly about cultural views on medication. Some communities have concerns about 'changing the mind' or 'medication dependency.' Address these concerns directly and respectfully. Frame medication as supporting the person's own goals.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 involvement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Optional, consent-based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Actively invite family involvement — consistent with strong family values in Aboriginal cultures (AADPA CPP 6.2.4). Treatment decisions made with, not for, the patient and family.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Non-pharmacological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CBT, parent training, school support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Culturally adapted programs; involve Aboriginal community controlled health organisations (ACCHOs); leverage community strengths; involve Elders if patient wishes; connect with land and culture as part of wellbeing.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Follow-up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Appointment-based follow-up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Flexible follow-up options — drop-in availability at ACCHO; community health worker outreach; phone follow-up. Appointment non-attendance is not disengagement — it may reflect access barriers, shame, or practical obstacles.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Confidentiality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individual confidentiality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 smaller communities, confidentiality concerns may be heightened — patients may worry their community will know about their diagnosis. Address this explicitly and sensitively.</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5. ADHD in Culturally and Linguistically Diverse (CALD) Communities</w:t>
      </w:r>
    </w:p>
    <w:p>
      <w:pPr>
        <w:spacing w:after="80" w:before="80"/>
        <w:jc w:val="both"/>
      </w:pPr>
      <w:r>
        <w:rPr>
          <w:rFonts w:ascii="Arial" w:cs="Arial" w:eastAsia="Arial" w:hAnsi="Arial"/>
          <w:sz w:val="22"/>
          <w:szCs w:val="22"/>
        </w:rPr>
        <w:t xml:space="preserve">Australia is one of the most culturally diverse nations in the world. A GP workforce serving this diversity must be equipped to recognise ADHD across cultural contexts — in communities where ADHD may be conceptualised differently, where assessment tools are linguistically and culturally invalid, and where stigma may prevent help-seeking.</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5.1 Cultural Factors That Modify ADHD Presentation and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Factor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Implication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Adaptation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Idioms of distress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Many cultures describe psychological difficulties in somatic terms (headache, fatigue, 'weak nerves') rather than psychological ones. ADHD may be presented as 'my child is not learning,' 'I am always tired,' 'I have no patience.'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about functional impact across domains rather than expecting DSM language. Follow somatic complaints into functional domains.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Cultural norms for activity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Some cultures expect higher levels of physical activity in children; others expect greater quietness and compliance. A child's behaviour must be interpreted relative to their community's norms.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'Is this different from other children in your family/community?' Do not pathologise culturally normative behaviour.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Educational norms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Some families from collectivist cultures have high expectations of academic conformity and compliance. A child failing these norms may be seen as defiant or disrespectful rather than impaired.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Explore family and cultural expectations around education. Reframe ADHD as a brain difference, not a character failing.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Stigma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Mental health stigma varies enormously across cultures. Many CALD families fear diagnosis will damage future opportunities, marriage prospects, or community standing.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Name stigma explicitly and compassionately: 'I know in some communities there are concerns about mental health diagnoses. Can I share what ADHD actually means and what it doesn't?'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Trust in health systems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Some CALD communities have historical reasons for low trust in health systems — experiences in countries of origin, detention experiences, discrimination.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Build relationship before assessment. Do not rush to diagnosis. Acknowledge that trust takes time.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Language barriers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conducted in English without a professional interpreter produces unreliable results. ADHD may be over-attributed because of language difficulties, or under-recognised because problems are not adequately communicated.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Always use a professional interpreter for assessment in non-English-dominant speakers. Never use family members as interpreters for ADHD assessment — they filter and contextualise information.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Collateral across cultures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Teacher and parent rating scales were developed and normed in Western educational and family contexts.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Use scales as clinical pointers only. Weight clinical interview and functional impact assessment more heavily.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Gender norms in CALD contexts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 some CALD communities, female ADHD may be more heavily masked by gender expectations that emphasise female compliance, quietness, and family orientation.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Apply women's ADHD masking lens in CALD contexts. Female ADHD underdiagnosis is compounded by cultural gender norms.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B00" w:sz="8"/>
              <w:left w:val="single" w:color="7B5B00" w:sz="8"/>
              <w:bottom w:val="single" w:color="7B5B00" w:sz="8"/>
              <w:right w:val="single" w:color="7B5B00" w:sz="8"/>
            </w:tcBorders>
            <w:shd w:fill="FFF8E7" w:val="clear"/>
            <w:tcMar>
              <w:top w:type="dxa" w:w="100"/>
              <w:left w:type="dxa" w:w="200"/>
              <w:bottom w:type="dxa" w:w="40"/>
              <w:right w:type="dxa" w:w="200"/>
            </w:tcMar>
          </w:tcPr>
          <w:p>
            <w:pPr>
              <w:spacing w:after="40" w:before="40"/>
            </w:pPr>
            <w:r>
              <w:rPr>
                <w:rFonts w:ascii="Arial" w:cs="Arial" w:eastAsia="Arial" w:hAnsi="Arial"/>
                <w:b/>
                <w:bCs/>
                <w:color w:val="7B5B00"/>
                <w:sz w:val="22"/>
                <w:szCs w:val="22"/>
              </w:rPr>
              <w:t xml:space="preserve">🌏  Cultural Safety Note</w:t>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THE PROFESSIONAL INTERPRETER STANDARD:</w:t>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ADHD assessment in a patient who is not fluent in English requires a professional, accredited interpreter. Using a family member as interpreter for ADHD assessment is inadequate clinical practice for the following reasons:</w:t>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  1. The family member may censor or reframe disclosures about functional impairment to protect family honour or avoid stigma</w:t>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  2. The family member may have their own ADHD or emotional investment in the outcome</w:t>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  3. Children should never interpret for parents — this is an inappropriate relational burden</w:t>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  4. Clinical accuracy is compromised — you are assessing the interpreter's interpretation, not the patient's experience</w:t>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Access: Therapeutic Interpreting Service (TIS National) 131 450, or your local health district interpreter service.</w:t>
            </w:r>
          </w:p>
        </w:tc>
      </w:tr>
      <w:tr>
        <w:tc>
          <w:tcPr>
            <w:tcBorders>
              <w:top w:val="none" w:color="FFFFFF" w:sz="0"/>
              <w:left w:val="single" w:color="7B5B00" w:sz="8"/>
              <w:bottom w:val="none" w:color="FFFFFF" w:sz="0"/>
              <w:right w:val="single" w:color="7B5B00" w:sz="8"/>
            </w:tcBorders>
            <w:shd w:fill="FFF8E7" w:val="clear"/>
            <w:tcMar>
              <w:top w:type="dxa" w:w="80"/>
              <w:left w:type="dxa" w:w="200"/>
              <w:bottom w:type="dxa" w:w="80"/>
              <w:right w:type="dxa" w:w="200"/>
            </w:tcMar>
          </w:tcPr>
          <w:p>
            <w:pPr>
              <w:spacing w:after="40" w:before="40"/>
            </w:pPr>
            <w:r>
              <w:rPr>
                <w:rFonts w:ascii="Arial" w:cs="Arial" w:eastAsia="Arial" w:hAnsi="Arial"/>
                <w:sz w:val="22"/>
                <w:szCs w:val="22"/>
              </w:rPr>
              <w:t xml:space="preserve">Document: 'Assessment conducted with assistance of professional NAATI-accredited interpreter [language]. Family member did not interpret.'</w:t>
            </w:r>
          </w:p>
        </w:tc>
      </w:tr>
      <w:tr>
        <w:tc>
          <w:tcPr>
            <w:tcBorders>
              <w:top w:val="none" w:color="FFFFFF" w:sz="0"/>
              <w:left w:val="single" w:color="7B5B00" w:sz="8"/>
              <w:bottom w:val="single" w:color="7B5B00" w:sz="8"/>
              <w:right w:val="single" w:color="7B5B00" w:sz="8"/>
            </w:tcBorders>
            <w:shd w:fill="FFF8E7"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5.2 Communication Adaptations for CALD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Communication Principle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Frame ADHD neurobiologically, not moralistically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'Your brain has a different wiring pattern — it makes some things easier and some things harder. It is not a weakness, a character fault, or the result of bad parenting. Many very successful people have this brain pattern.'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Use concrete, visual explanations where possible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dopamine/motivation explanation works well across cultures. The 'interest-based nervous system' metaphor translates well. Avoid clinical jargon.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Link to the patient's own goals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'What would you most like to be able to do that ADHD is getting in the way of?' Frame treatment in terms of their goals, not your clinical agenda.</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Written information in first language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Provide ADHD information in the patient's primary language where available. AADPA website and many health services have multilingual resources.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Medication framing across cultures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 communities with concerns about medication: 'This medication helps the brain make the chemical that it already tries to make — it is not adding something foreign, it is supporting what the brain is already doing.'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Family-inclusive approach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Many CALD families make health decisions collectively. With consent, involve key family members. Frame ADHD in terms of family impact and family benefit.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Allow more time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assessment in a CALD context typically requires more appointments. Build this into your scheduling. Rushed cross-cultural ADHD assessment produces poor outcomes.</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6. ADHD in Older Adults (65+)</w:t>
      </w:r>
    </w:p>
    <w:p>
      <w:pPr>
        <w:spacing w:after="80" w:before="80"/>
        <w:jc w:val="both"/>
      </w:pPr>
      <w:r>
        <w:rPr>
          <w:rFonts w:ascii="Arial" w:cs="Arial" w:eastAsia="Arial" w:hAnsi="Arial"/>
          <w:sz w:val="22"/>
          <w:szCs w:val="22"/>
        </w:rPr>
        <w:t xml:space="preserve">AADPA CCR 2.1.6: ADHD should be considered as a possible diagnosis in all age groups, including adults over 65 years. Symptom criteria should be considered based on age and developmental level. This is a frequently missed diagnostic opportunity.</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6.1 ADHD vs Early Cognitive Decline — The Critical Differential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Early Cognitive Decline (MCI/Dementia)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Key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Onset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Lifelong — symptoms since childhood, consistent developmental trajectory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New onset in later life (after age 65 typically) OR progressive change from a previous baseline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'Have you always had this difficulty or is it new?' Any recent change from baseline is a red flag for organic cause.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Progression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Stable or improving over time as life adaptations accumulate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Progressive — cognitive function declines over time despite stable environment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Track function over 6–12 months. ADHD does not worsen over time; dementia does.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Memory type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Prospective memory ('forgetting to remember') and working memory failures. Remote memory intact.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prospective and remote memory affected. Episodic memory (events) impaired early in Alzheimer's.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'Can you tell me about your wedding?' (remote). 'What did you do this morning?' (recent). ADHD spares remote memory.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Word finding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Variable; not a primary 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Prominent in dementia — anomia, word-finding pauses, circumlocution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Note word-finding difficulties during the consultation.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Orientation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Normal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Impaired in moderate dementia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orientation testing (time, place, person).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Executive function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Impaired from childhood — but stable pattern known to patient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New executive impairment — patient notices change from their previous level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Subjective change: 'Is this different from how you've always been, or is this new?'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Cognitive testing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May score below age norms due to ADHD (attention-dependent tasks); may score surprisingly well on tasks they're motivated for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Consistent and broad deficits across cognitive domains; does not show marked test-retest variability with motivation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shows better performance on engaging tasks; dementia shows consistent deficit regardless of engagement.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Response to stimulant trial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Diagnostic trial: if stimulants produce meaningful benefit in attention and EF → more likely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produce little EF improvement in dementia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Low-dose stimulant trial can be diagnostically informative in ambiguous cases (specialist guidance recommended).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clinical heuristic for older adults: 'Is this a new story or the same old story, finally named?'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An older adult with ADHD has had these symptoms their entire life — they bring a history full of consistent struggle, compensation, and pattern. An older adult with early dementia brings a story of change — something that worked before that no longer does.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Always ask the partner or adult child: 'Has [patient] always been like this, or has something changed in the last year or two?' This single collateral question often resolves the differential.</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6.2 Prescribing Considerations in Older Adults</w:t>
      </w:r>
    </w:p>
    <w:p>
      <w:pPr>
        <w:spacing w:after="80" w:before="80"/>
        <w:jc w:val="both"/>
      </w:pPr>
      <w:r>
        <w:rPr>
          <w:rFonts w:ascii="Arial" w:cs="Arial" w:eastAsia="Arial" w:hAnsi="Arial"/>
          <w:sz w:val="22"/>
          <w:szCs w:val="22"/>
        </w:rPr>
        <w:t xml:space="preserve">AADPA CPP 5.4.5: Clinicians should apply the same recommendations and principles of prescribing for adults over 65 years as for adults below 65 years, with careful monitoring of side effects.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Guidance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Starting dose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 at 50% of standard adult starting dose. Reduced renal and hepatic clearance increases plasma drug levels at standard doses.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Cardiovascular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More sensitive to BP and HR effects. ECG recommended if any cardiac history. BP/HR at every appointment. Consider cardiology review at lower threshold than in younger adults.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Polypharmacy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Review all medications for interactions. Key concerns: antihypertensives (additive hypotension); cardiac medications; MAOIs (absolute CI); medications with narrow therapeutic window.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Cognitive benefit vs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may improve cognitive function in older adults with ADHD — this is beneficial. However, in genuine cognitive decline, stimulants carry risk of worsening anxiety and agitation.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Older adults are more sensitive to stimulant-related sleep disruption. Ensure dose timing is optimised. Consider sleep study to exclude OSA (very common, worsens cognition).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Falls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Stimulant-related dizziness, BP changes, and sleep disruption may increase falls risk. Assess falls history. Balance monitoring with therapeutic benefit.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Titration pace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Slower titration than in younger adults. Increase dose no faster than every 2–3 weeks. Lower maximum dose targets may be appropriate.</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7. Memory Systems: Anki Cards for Module 3</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AADPA CPP 1.1.2 states that ADHD could be under-recognised in girls and women, who are: {{c1::less likely to be referred for assessment}}; {{c2::more likely to have undiagnosed ADHD}}; {{c3::more likely to receive an incorrect diagnosis of another mental health or neurodevelopmental disorder, such as anxiety or depressive disorder}}.</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2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masking in the context of female ADHD, and what triggers masking collapse?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Masking is the active concealment of ADHD symptoms through compensatory strategies (hyperorganisation, people-pleasing, intellectual compensation, copying social scripts). It is energetically costly and unsustainable. Masking collapse is triggered by: return to work post-children; relationship breakdown; promotion to more complex role; perimenopause (oestrogen decline); a child's ADHD diagnosis. Presents as burnout, anxiety disorder, or acute mental health crisis.</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3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In the luteal phase (days 14–28) of the menstrual cycle, {{c1::oestrogen falls}}, reducing {{c2::dopamine receptor sensitivity}}. The clinical result is {{c3::worsening ADHD symptoms}} and {{c4::increased emotional dysregulation}}. Women assessed in the {{c5::follicular phase}} may have their severity {{c6::underestimated}}.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4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the 'zombie effect' on stimulants and what does it indicate?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The zombie effect is emotional blunting, flat affect, reduced personality and creativity on stimulants. It indicates the dose is too high. Management: reduce dose by one step. It is NOT a reason to cease medication — it is a dose signal.</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5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does AADPA CPP 6.2.1 require of clinicians assessing ADHD in Aboriginal and Torres Strait Islander peoples?</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Conduct culturally appropriate screening. (2) Use strengths-based focus wherever possible. (3) Be aware that ADHD tools may not be valid in these populations and use with caution. (4) Seek assistance of a cultural interpreter or Aboriginal and Torres Strait Islander health worker. (5) Rating scales are adjuncts only — never primary diagnostic tools.</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6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In Aboriginal and Torres Strait Islander assessment, {{c1::eye contact}} may be culturally normative to avoid — it signals {{c2::respect}}, not inattention. {{c3::Silence}} between question and answer indicates {{c4::thoughtful consideration}}, not non-engagement. Family presence is {{c5::culturally normative}} and should be {{c6::welcomed}} with patient consent.</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7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three possibilities the GP must hold simultaneously when assessing an Aboriginal child for ADHD?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ADHD — neurodevelopmental, lifelong, cross-situational, family history. (2) Trauma response — symptoms triggered by trauma-associated contexts; hypervigilance; onset linked to traumatic event. (3) Cultural normality — behaviour within normal range for community peers; culturally normative activity level, communication style, or educational engagement. ADHD and trauma frequently coexist — neither excludes the other.</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8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AADPA CCR 3.2.1 states that transition planning for adolescents to adult services should begin at least {{c1::12 months}} before their {{c2::18th birthday}}. The risk of failing to plan is {{c3::treatment discontinuation}} and {{c4::rapid functional deterioration}} at the transition point.</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9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How do you clinically distinguish ADHD from early cognitive decline in an older adult?</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ADHD: lifelong history; stable pattern; patient has 'always been like this'; prospective memory failures; remote memory intact; performance varies with motivation. Early cognitive decline: new onset or progressive change from previous baseline; partner/family notices change; consistent deficits across cognitive domains; episodic memory impaired; does not improve with engaging tasks. Key question: 'Is this a new story or the same old story, finally named?'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10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Why should a family member NEVER interpret for an ADHD assessment in a CALD patient?</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Family member may censor disclosures to protect family honour or avoid stigma. (2) May have their own ADHD or emotional investment in the outcome. (3) Children should never interpret for parents. (4) Clinical accuracy is compromised — you assess the interpreter's interpretation, not the patient's experience. Use a professional, NAATI-accredited interpreter. Document the interpreter's name and language.</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11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In adolescent ADHD, cannabis use should be understood as {{c1::self-medication}} of {{c2::emotional dysregulation and RSD}}, not solely recreational behaviour. Stimulant treatment of ADHD in adolescence {{c3::reduces}} the risk of developing SUD in adulthood. Cannabis use {{c4::worsens}} ADHD through effects on the developing {{c5::dopaminergic system}}.</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12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five most common triggers for masking collapse in women with ADHD?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Return to work after parental leave — external organisational structure removed. (2) Relationship breakdown — partner was the external organising system. (3) Promotion to a more complex role — executive demands exceed compensatory capacity. (4) Perimenopause — oestrogen decline reduces dopamine availability, previously effective dose/compensation becomes inadequate. (5) Child's ADHD diagnosis — 'that's me in every description.'</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8. Quick Reference — High-Yield Special Populations Pearls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Population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High-Yield Pearl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Women — 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woman with anxiety, depression, or emotional dysregulation warrants ADHD screening (AADPA CPP 1.1.2)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the masking question: 'Describe the gap between how you appear and how things actually feel inside'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Women — hormones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Oestrogen drives dopamine sensitivity — symptoms fluctuate across the cycle and worsen at perimenopause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Chart symptoms against menstrual cycle; reassess dose at perimenopause; consider HRT discussion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Women — late 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Diagnostic disclosure is a profound psychosocial event — not just a clinical information session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Allow time; expect grief, relief, anger; schedule follow-up specifically to process the diagnosis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Women — masking collapse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Burnout + anxiety + functional breakdown in a high-achieving woman = unmasked ADHD until proven otherwise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about masking triggers: parental leave, promotion, relationship breakdown, perimenopause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Children — girls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Inattentive girls are the most missed group in primary school — quiet, dreamy, 'lovely but could do better'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the teacher specifically: 'Are there girls who are quietly underperforming?'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Children — growth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 height every 6 months and weight at 3, 6 months and 6-monthly on stimulants (AADPA CCR 5.7.6)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Plot on growth chart. Dietary intervention and drug holidays if growth deceleration.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Adolescents — cannabis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Cannabis use in ADHD adolescents is predominantly self-medication — neurologically sensible, biologically harmful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Non-judgmental exploration: 'What does it do for you?' Address both ADHD and SUD.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Adolescents — transition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Transition planning must begin 12 months before 18th birthday (AADPA CCR 3.2.1)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18-year-old cliff is a real risk — plan ahead, never leave a medication gap</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Aboriginal — tools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Rating scales are not validated for Aboriginal and Torres Strait Islander peoples — use with caution (AADPA CPP 6.2.1)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Weight clinical interview and cultural context heavily; do not diagnose from scale scores alone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Aboriginal — strengths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Always begin with strengths: 'What do you and your family value in you?' before any deficit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Strengths-based opening changes the entire relational dynamic of the assessment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Aboriginal — co-occurrence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and trauma coexist frequently — trauma does not exclude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 both; document differential reasoning explicitly; treat both concurrently if present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CALD — interpreter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Never use a family member as interpreter for ADHD 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Use a professional NAATI-accredited interpreter; document name and language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Older adults — differential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key question: 'Is this a new story or the same old story, finally named?'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Partner collateral: 'Has [patient] always been like this, or has something changed recently?'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Older adults — prescribing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 at 50% of standard dose; cardiovascular monitoring more frequent; polypharmacy review (AADPA CPP 5.4.5)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Lower starting dose, slower titration, more frequent BP/HR monitoring</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9. Reference List</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Primary Australian Guidelines</w:t>
      </w:r>
    </w:p>
    <w:p>
      <w:pPr>
        <w:spacing w:after="80" w:before="80"/>
        <w:jc w:val="both"/>
      </w:pPr>
      <w:r>
        <w:rPr>
          <w:rFonts w:ascii="Arial" w:cs="Arial" w:eastAsia="Arial" w:hAnsi="Arial"/>
          <w:sz w:val="22"/>
          <w:szCs w:val="22"/>
        </w:rPr>
        <w:t xml:space="preserve">1. Australian ADHD Professionals Association (AADPA). Australian Evidence-Based Clinical Practice Guideline for ADHD. Sydney: AADPA; June 2024.</w:t>
      </w:r>
    </w:p>
    <w:p>
      <w:pPr>
        <w:spacing w:after="80" w:before="80"/>
        <w:jc w:val="both"/>
      </w:pPr>
      <w:r>
        <w:rPr>
          <w:rFonts w:ascii="Arial" w:cs="Arial" w:eastAsia="Arial" w:hAnsi="Arial"/>
          <w:sz w:val="22"/>
          <w:szCs w:val="22"/>
        </w:rPr>
        <w:t xml:space="preserve">2. Australian ADHD Professionals Association (AADPA). Summary of Recommendations. Sydney: AADPA; 2022.</w:t>
      </w:r>
    </w:p>
    <w:p>
      <w:pPr>
        <w:spacing w:after="80" w:before="80"/>
        <w:jc w:val="both"/>
      </w:pPr>
      <w:r>
        <w:rPr>
          <w:rFonts w:ascii="Arial" w:cs="Arial" w:eastAsia="Arial" w:hAnsi="Arial"/>
          <w:sz w:val="22"/>
          <w:szCs w:val="22"/>
        </w:rPr>
        <w:t xml:space="preserve">3. Australian ADHD Professionals Association (AADPA). ADHD Prescribing Guide for Australian Healthcare Professionals. Sydney: AADPA; September 2024.</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in Women</w:t>
      </w:r>
    </w:p>
    <w:p>
      <w:pPr>
        <w:spacing w:after="80" w:before="80"/>
        <w:jc w:val="both"/>
      </w:pPr>
      <w:r>
        <w:rPr>
          <w:rFonts w:ascii="Arial" w:cs="Arial" w:eastAsia="Arial" w:hAnsi="Arial"/>
          <w:sz w:val="22"/>
          <w:szCs w:val="22"/>
        </w:rPr>
        <w:t xml:space="preserve">4. Quinn PO, Madhoo M. A review of attention-deficit/hyperactivity disorder in women and girls: uncovering this hidden diagnosis. Prim Care Companion CNS Disord. 2014;16(3).</w:t>
      </w:r>
    </w:p>
    <w:p>
      <w:pPr>
        <w:spacing w:after="80" w:before="80"/>
        <w:jc w:val="both"/>
      </w:pPr>
      <w:r>
        <w:rPr>
          <w:rFonts w:ascii="Arial" w:cs="Arial" w:eastAsia="Arial" w:hAnsi="Arial"/>
          <w:sz w:val="22"/>
          <w:szCs w:val="22"/>
        </w:rPr>
        <w:t xml:space="preserve">5. Nussbaum NL. ADHD and female specific concerns: a review of the literature and clinical implications. J Atten Disord. 2012;16(2):87–100.</w:t>
      </w:r>
    </w:p>
    <w:p>
      <w:pPr>
        <w:spacing w:after="80" w:before="80"/>
        <w:jc w:val="both"/>
      </w:pPr>
      <w:r>
        <w:rPr>
          <w:rFonts w:ascii="Arial" w:cs="Arial" w:eastAsia="Arial" w:hAnsi="Arial"/>
          <w:sz w:val="22"/>
          <w:szCs w:val="22"/>
        </w:rPr>
        <w:t xml:space="preserve">6. Arnett AB, Pennington BF, Willcutt EG, et al. Sex differences in ADHD symptom severity. J Child Psychol Psychiatry. 2015;56(6):632–639.</w:t>
      </w:r>
    </w:p>
    <w:p>
      <w:pPr>
        <w:spacing w:after="80" w:before="80"/>
        <w:jc w:val="both"/>
      </w:pPr>
      <w:r>
        <w:rPr>
          <w:rFonts w:ascii="Arial" w:cs="Arial" w:eastAsia="Arial" w:hAnsi="Arial"/>
          <w:sz w:val="22"/>
          <w:szCs w:val="22"/>
        </w:rPr>
        <w:t xml:space="preserve">7. Hinshaw SP, et al. Prospective follow-up of girls with attention-deficit/hyperactivity disorder into early adulthood: continuing impairment includes elevated risk for suicide attempts and self-injury. J Consult Clin Psychol. 2012;80(6):1041–1051.</w:t>
      </w:r>
    </w:p>
    <w:p>
      <w:pPr>
        <w:spacing w:after="80" w:before="80"/>
        <w:jc w:val="both"/>
      </w:pPr>
      <w:r>
        <w:rPr>
          <w:rFonts w:ascii="Arial" w:cs="Arial" w:eastAsia="Arial" w:hAnsi="Arial"/>
          <w:sz w:val="22"/>
          <w:szCs w:val="22"/>
        </w:rPr>
        <w:t xml:space="preserve">8. Young S, et al. Females with ADHD: an expert consensus statement taking a lifespan approach providing guidance for the identification and treatment of attention-deficit/hyperactivity disorder in females of all ages. BMC Psychiatry. 2020;20:404.</w:t>
      </w:r>
    </w:p>
    <w:p>
      <w:pPr>
        <w:spacing w:after="80" w:before="80"/>
        <w:jc w:val="both"/>
      </w:pPr>
      <w:r>
        <w:rPr>
          <w:rFonts w:ascii="Arial" w:cs="Arial" w:eastAsia="Arial" w:hAnsi="Arial"/>
          <w:sz w:val="22"/>
          <w:szCs w:val="22"/>
        </w:rPr>
        <w:t xml:space="preserve">9. Robison RJ, Reimherr FW, Marchant BK, et al. Gender differences in 2 clinical trials of adults with attention-deficit/hyperactivity disorder. J Clin Psychiatry. 2008;69(2):213–221.</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Hormonal Modulation of ADHD</w:t>
      </w:r>
    </w:p>
    <w:p>
      <w:pPr>
        <w:spacing w:after="80" w:before="80"/>
        <w:jc w:val="both"/>
      </w:pPr>
      <w:r>
        <w:rPr>
          <w:rFonts w:ascii="Arial" w:cs="Arial" w:eastAsia="Arial" w:hAnsi="Arial"/>
          <w:sz w:val="22"/>
          <w:szCs w:val="22"/>
        </w:rPr>
        <w:t xml:space="preserve">10. Roberts B, Eisler I, Eisler M. The menstrual cycle and ADHD: systematic review of the literature and implications for treatment. Expert Rev Neurother. 2022;22(7):591–603.</w:t>
      </w:r>
    </w:p>
    <w:p>
      <w:pPr>
        <w:spacing w:after="80" w:before="80"/>
        <w:jc w:val="both"/>
      </w:pPr>
      <w:r>
        <w:rPr>
          <w:rFonts w:ascii="Arial" w:cs="Arial" w:eastAsia="Arial" w:hAnsi="Arial"/>
          <w:sz w:val="22"/>
          <w:szCs w:val="22"/>
        </w:rPr>
        <w:t xml:space="preserve">11. Agnew-Blais JC, et al. Evaluation of the persistence, remission, and new onset of DSM-5 attention-deficit/hyperactivity disorder from childhood to adolescence. JAMA Psychiatry. 2016;73(7):713–720.</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in Children</w:t>
      </w:r>
    </w:p>
    <w:p>
      <w:pPr>
        <w:spacing w:after="80" w:before="80"/>
        <w:jc w:val="both"/>
      </w:pPr>
      <w:r>
        <w:rPr>
          <w:rFonts w:ascii="Arial" w:cs="Arial" w:eastAsia="Arial" w:hAnsi="Arial"/>
          <w:sz w:val="22"/>
          <w:szCs w:val="22"/>
        </w:rPr>
        <w:t xml:space="preserve">12. Barkley RA. Attention-Deficit Hyperactivity Disorder: A Handbook for Diagnosis and Treatment. 4th ed. New York: Guilford Press; 2015.</w:t>
      </w:r>
    </w:p>
    <w:p>
      <w:pPr>
        <w:spacing w:after="80" w:before="80"/>
        <w:jc w:val="both"/>
      </w:pPr>
      <w:r>
        <w:rPr>
          <w:rFonts w:ascii="Arial" w:cs="Arial" w:eastAsia="Arial" w:hAnsi="Arial"/>
          <w:sz w:val="22"/>
          <w:szCs w:val="22"/>
        </w:rPr>
        <w:t xml:space="preserve">13. Sonuga-Barke EJS, et al. Non-pharmacological interventions for ADHD: systematic review and meta-analyses of randomised controlled trials of dietary and psychological treatments. Am J Psychiatry. 2013;170(3):275–289.</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in Adolescents</w:t>
      </w:r>
    </w:p>
    <w:p>
      <w:pPr>
        <w:spacing w:after="80" w:before="80"/>
        <w:jc w:val="both"/>
      </w:pPr>
      <w:r>
        <w:rPr>
          <w:rFonts w:ascii="Arial" w:cs="Arial" w:eastAsia="Arial" w:hAnsi="Arial"/>
          <w:sz w:val="22"/>
          <w:szCs w:val="22"/>
        </w:rPr>
        <w:t xml:space="preserve">14. Barkley RA, Murphy KR, Fischer M. ADHD in Adults: What the Science Says. New York: Guilford Press; 2008.</w:t>
      </w:r>
    </w:p>
    <w:p>
      <w:pPr>
        <w:spacing w:after="80" w:before="80"/>
        <w:jc w:val="both"/>
      </w:pPr>
      <w:r>
        <w:rPr>
          <w:rFonts w:ascii="Arial" w:cs="Arial" w:eastAsia="Arial" w:hAnsi="Arial"/>
          <w:sz w:val="22"/>
          <w:szCs w:val="22"/>
        </w:rPr>
        <w:t xml:space="preserve">15. Wilens TE, Faraone SV, Biederman J, Gunawardene S. Does stimulant therapy of attention-deficit/hyperactivity disorder beget later substance abuse? A meta-analytic review of the literature. Pediatrics. 2003;111(1):179–185.</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Aboriginal and Torres Strait Islander Health</w:t>
      </w:r>
    </w:p>
    <w:p>
      <w:pPr>
        <w:spacing w:after="80" w:before="80"/>
        <w:jc w:val="both"/>
      </w:pPr>
      <w:r>
        <w:rPr>
          <w:rFonts w:ascii="Arial" w:cs="Arial" w:eastAsia="Arial" w:hAnsi="Arial"/>
          <w:sz w:val="22"/>
          <w:szCs w:val="22"/>
        </w:rPr>
        <w:t xml:space="preserve">16. Eapen V, Dadds M. ADHD in cultural and indigenous populations. In: Banaschewski T, Coghill D, Zuddas A (eds). Oxford Textbook of Attention Deficit Hyperactivity Disorder. Oxford: OUP; 2018.</w:t>
      </w:r>
    </w:p>
    <w:p>
      <w:pPr>
        <w:spacing w:after="80" w:before="80"/>
        <w:jc w:val="both"/>
      </w:pPr>
      <w:r>
        <w:rPr>
          <w:rFonts w:ascii="Arial" w:cs="Arial" w:eastAsia="Arial" w:hAnsi="Arial"/>
          <w:sz w:val="22"/>
          <w:szCs w:val="22"/>
        </w:rPr>
        <w:t xml:space="preserve">17. Australian Institute of Health and Welfare (AIHW). Aboriginal and Torres Strait Islander Health Performance Framework. Canberra: AIHW; 2023.</w:t>
      </w:r>
    </w:p>
    <w:p>
      <w:pPr>
        <w:spacing w:after="80" w:before="80"/>
        <w:jc w:val="both"/>
      </w:pPr>
      <w:r>
        <w:rPr>
          <w:rFonts w:ascii="Arial" w:cs="Arial" w:eastAsia="Arial" w:hAnsi="Arial"/>
          <w:sz w:val="22"/>
          <w:szCs w:val="22"/>
        </w:rPr>
        <w:t xml:space="preserve">18. National Aboriginal and Torres Strait Islander Health Plan 2021–2031. Canberra: Department of Health; 2021.</w:t>
      </w:r>
    </w:p>
    <w:p>
      <w:pPr>
        <w:spacing w:after="80" w:before="80"/>
        <w:jc w:val="both"/>
      </w:pPr>
      <w:r>
        <w:rPr>
          <w:rFonts w:ascii="Arial" w:cs="Arial" w:eastAsia="Arial" w:hAnsi="Arial"/>
          <w:sz w:val="22"/>
          <w:szCs w:val="22"/>
        </w:rPr>
        <w:t xml:space="preserve">19. Dudgeon P, Milroy H, Walker R (eds). Working Together: Aboriginal and Torres Strait Islander Mental Health and Wellbeing Principles and Practice. 2nd ed. Canberra: Commonwealth of Australia; 2014.</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Culturally and Linguistically Diverse Populations</w:t>
      </w:r>
    </w:p>
    <w:p>
      <w:pPr>
        <w:spacing w:after="80" w:before="80"/>
        <w:jc w:val="both"/>
      </w:pPr>
      <w:r>
        <w:rPr>
          <w:rFonts w:ascii="Arial" w:cs="Arial" w:eastAsia="Arial" w:hAnsi="Arial"/>
          <w:sz w:val="22"/>
          <w:szCs w:val="22"/>
        </w:rPr>
        <w:t xml:space="preserve">20. Slobodin O, Masalha R. Challenges in ADHD care for ethnic minority children: a review of the literature. Transcult Psychiatry. 2020;57(3):468–483.</w:t>
      </w:r>
    </w:p>
    <w:p>
      <w:pPr>
        <w:spacing w:after="80" w:before="80"/>
        <w:jc w:val="both"/>
      </w:pPr>
      <w:r>
        <w:rPr>
          <w:rFonts w:ascii="Arial" w:cs="Arial" w:eastAsia="Arial" w:hAnsi="Arial"/>
          <w:sz w:val="22"/>
          <w:szCs w:val="22"/>
        </w:rPr>
        <w:t xml:space="preserve">21. Skounti M, Philalithis A, Galanakis E. Variations in prevalence of attention deficit hyperactivity disorder worldwide. Eur J Pediatr. 2007;166(2):117–123.</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Older Adults</w:t>
      </w:r>
    </w:p>
    <w:p>
      <w:pPr>
        <w:spacing w:after="80" w:before="80"/>
        <w:jc w:val="both"/>
      </w:pPr>
      <w:r>
        <w:rPr>
          <w:rFonts w:ascii="Arial" w:cs="Arial" w:eastAsia="Arial" w:hAnsi="Arial"/>
          <w:sz w:val="22"/>
          <w:szCs w:val="22"/>
        </w:rPr>
        <w:t xml:space="preserve">22. Michielsen M, et al. Attention deficit hyperactivity disorder in older adults. Expert Opin Pharmacother. 2014;15(11):1573–1583.</w:t>
      </w:r>
    </w:p>
    <w:p>
      <w:pPr>
        <w:spacing w:after="80" w:before="80"/>
        <w:jc w:val="both"/>
      </w:pPr>
      <w:r>
        <w:rPr>
          <w:rFonts w:ascii="Arial" w:cs="Arial" w:eastAsia="Arial" w:hAnsi="Arial"/>
          <w:sz w:val="22"/>
          <w:szCs w:val="22"/>
        </w:rPr>
        <w:t xml:space="preserve">23. Kooij JJS, et al. European consensus statement on diagnosis and treatment of adult ADHD. Eur Psychiatry. 2019;56:14–34.</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Professional Standards and Regulatory Framework</w:t>
      </w:r>
    </w:p>
    <w:p>
      <w:pPr>
        <w:spacing w:after="80" w:before="80"/>
        <w:jc w:val="both"/>
      </w:pPr>
      <w:r>
        <w:rPr>
          <w:rFonts w:ascii="Arial" w:cs="Arial" w:eastAsia="Arial" w:hAnsi="Arial"/>
          <w:sz w:val="22"/>
          <w:szCs w:val="22"/>
        </w:rPr>
        <w:t xml:space="preserve">24. Royal Australian College of General Practitioners (RACGP). Standards for general practices. 5th ed. East Melbourne: RACGP; 2020.</w:t>
      </w:r>
    </w:p>
    <w:p>
      <w:pPr>
        <w:spacing w:after="80" w:before="80"/>
        <w:jc w:val="both"/>
      </w:pPr>
      <w:r>
        <w:rPr>
          <w:rFonts w:ascii="Arial" w:cs="Arial" w:eastAsia="Arial" w:hAnsi="Arial"/>
          <w:sz w:val="22"/>
          <w:szCs w:val="22"/>
        </w:rPr>
        <w:t xml:space="preserve">25. Medical Board of Australia. Good Medical Practice: A Code of Conduct for Doctors in Australia. AHPRA; 2020.</w:t>
      </w:r>
    </w:p>
    <w:p>
      <w:pPr>
        <w:spacing w:after="80" w:before="80"/>
        <w:jc w:val="both"/>
      </w:pPr>
      <w:r>
        <w:rPr>
          <w:rFonts w:ascii="Arial" w:cs="Arial" w:eastAsia="Arial" w:hAnsi="Arial"/>
          <w:sz w:val="22"/>
          <w:szCs w:val="22"/>
        </w:rPr>
        <w:t xml:space="preserve">26. NSW Health. Stimulant Treatment Program: Guidelines for Prescribers. Sydney: NSW Health; current version.</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 NSW GP ADHD Training Course  |  AADPA Clinical Practice Guideline 2024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NSW GP ADHD Endorsed Prescribing Training</w:t>
    </w:r>
    <w:r>
      <w:rPr>
        <w:rFonts w:ascii="Arial" w:cs="Arial" w:eastAsia="Arial" w:hAnsi="Arial"/>
        <w:color w:val="888888"/>
        <w:sz w:val="18"/>
        <w:szCs w:val="18"/>
      </w:rPr>
      <w:t xml:space="preserve">  |  Module 3: Special Populations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2026-05-16T23:44:53.692Z</dcterms:created>
  <dcterms:modified xsi:type="dcterms:W3CDTF">2026-05-16T23:44:53.706Z</dcterms:modified>
</cp:coreProperties>
</file>

<file path=docProps/custom.xml><?xml version="1.0" encoding="utf-8"?>
<Properties xmlns="http://schemas.openxmlformats.org/officeDocument/2006/custom-properties" xmlns:vt="http://schemas.openxmlformats.org/officeDocument/2006/docPropsVTypes"/>
</file>