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b/>
          <w:bCs/>
          <w:color w:val="888888"/>
          <w:sz w:val="28"/>
          <w:szCs w:val="28"/>
        </w:rPr>
        <w:t xml:space="preserve">NSW GP ADHD ENDORSED PRESCRIBING TRAINING</w:t>
      </w:r>
    </w:p>
    <w:p>
      <w:pPr>
        <w:spacing w:after="80" w:before="80"/>
      </w:pPr>
      <w:r>
        <w:t xml:space="preserve"/>
      </w:r>
    </w:p>
    <w:p>
      <w:pPr>
        <w:jc w:val="center"/>
      </w:pPr>
      <w:r>
        <w:rPr>
          <w:rFonts w:ascii="Arial" w:cs="Arial" w:eastAsia="Arial" w:hAnsi="Arial"/>
          <w:b/>
          <w:bCs/>
          <w:color w:val="1B3A6B"/>
          <w:sz w:val="64"/>
          <w:szCs w:val="64"/>
        </w:rPr>
        <w:t xml:space="preserve">MODULE 6</w:t>
      </w:r>
    </w:p>
    <w:p>
      <w:pPr>
        <w:spacing w:after="80" w:before="80"/>
      </w:pPr>
      <w:r>
        <w:t xml:space="preserve"/>
      </w:r>
    </w:p>
    <w:p>
      <w:pPr>
        <w:jc w:val="center"/>
      </w:pPr>
      <w:r>
        <w:rPr>
          <w:rFonts w:ascii="Arial" w:cs="Arial" w:eastAsia="Arial" w:hAnsi="Arial"/>
          <w:b/>
          <w:bCs/>
          <w:color w:val="0F6E56"/>
          <w:sz w:val="40"/>
          <w:szCs w:val="40"/>
        </w:rPr>
        <w:t xml:space="preserve">Pharmacotherapy:</w:t>
      </w:r>
    </w:p>
    <w:p>
      <w:pPr>
        <w:jc w:val="center"/>
      </w:pPr>
      <w:r>
        <w:rPr>
          <w:rFonts w:ascii="Arial" w:cs="Arial" w:eastAsia="Arial" w:hAnsi="Arial"/>
          <w:b/>
          <w:bCs/>
          <w:color w:val="0F6E56"/>
          <w:sz w:val="40"/>
          <w:szCs w:val="40"/>
        </w:rPr>
        <w:t xml:space="preserve">Stimulants, Non-Stimulants,</w:t>
      </w:r>
    </w:p>
    <w:p>
      <w:pPr>
        <w:jc w:val="center"/>
      </w:pPr>
      <w:r>
        <w:rPr>
          <w:rFonts w:ascii="Arial" w:cs="Arial" w:eastAsia="Arial" w:hAnsi="Arial"/>
          <w:b/>
          <w:bCs/>
          <w:color w:val="0F6E56"/>
          <w:sz w:val="40"/>
          <w:szCs w:val="40"/>
        </w:rPr>
        <w:t xml:space="preserve">Titration &amp; NSW Prescribing Framework</w:t>
      </w:r>
    </w:p>
    <w:p>
      <w:pPr>
        <w:spacing w:after="200" w:before="200"/>
      </w:pPr>
      <w:r>
        <w:t xml:space="preserve"/>
      </w:r>
    </w:p>
    <w:p>
      <w:pPr>
        <w:jc w:val="center"/>
      </w:pPr>
      <w:r>
        <w:rPr>
          <w:rFonts w:ascii="Arial" w:cs="Arial" w:eastAsia="Arial" w:hAnsi="Arial"/>
          <w:color w:val="555555"/>
          <w:sz w:val="22"/>
          <w:szCs w:val="22"/>
        </w:rPr>
        <w:t xml:space="preserve">Aligned with: AADPA Clinical Practice Guideline 2024  |  AADPA Prescribing Guide 2024</w:t>
      </w:r>
    </w:p>
    <w:p>
      <w:pPr>
        <w:jc w:val="center"/>
      </w:pPr>
      <w:r>
        <w:rPr>
          <w:rFonts w:ascii="Arial" w:cs="Arial" w:eastAsia="Arial" w:hAnsi="Arial"/>
          <w:color w:val="555555"/>
          <w:sz w:val="22"/>
          <w:szCs w:val="22"/>
        </w:rPr>
        <w:t xml:space="preserve">NSW Health Stimulant Treatment Program  |  DSM-5-TR  |  RACGP  |  ACRRM</w:t>
      </w:r>
    </w:p>
    <w:p>
      <w:pPr>
        <w:spacing w:after="300" w:before="300"/>
      </w:pPr>
      <w:r>
        <w:t xml:space="preserve"/>
      </w:r>
    </w:p>
    <w:p>
      <w:pPr>
        <w:jc w:val="center"/>
      </w:pPr>
      <w:r>
        <w:rPr>
          <w:rFonts w:ascii="Arial" w:cs="Arial" w:eastAsia="Arial" w:hAnsi="Arial"/>
          <w:color w:val="666666"/>
          <w:sz w:val="22"/>
          <w:szCs w:val="22"/>
        </w:rPr>
        <w:t xml:space="preserve">Month 4 of 6  |  Domain 5: Pharmacotherapy  |  Domain 6: Medicolegal &amp; Governance</w:t>
      </w:r>
    </w:p>
    <w:p>
      <w:r>
        <w:br w:type="page"/>
      </w:r>
    </w:p>
    <w:p>
      <w:pPr>
        <w:pStyle w:val="Heading1"/>
        <w:spacing w:after="200" w:before="480"/>
      </w:pPr>
      <w:r>
        <w:rPr>
          <w:rFonts w:ascii="Arial" w:cs="Arial" w:eastAsia="Arial" w:hAnsi="Arial"/>
          <w:b/>
          <w:bCs/>
          <w:color w:val="1B3A6B"/>
          <w:sz w:val="36"/>
          <w:szCs w:val="36"/>
        </w:rPr>
        <w:t xml:space="preserve">Module 6 Learning Outcomes</w:t>
      </w:r>
    </w:p>
    <w:p>
      <w:pPr>
        <w:spacing w:after="80" w:before="80"/>
        <w:jc w:val="both"/>
      </w:pPr>
      <w:r>
        <w:rPr>
          <w:rFonts w:ascii="Arial" w:cs="Arial" w:eastAsia="Arial" w:hAnsi="Arial"/>
          <w:sz w:val="22"/>
          <w:szCs w:val="22"/>
        </w:rPr>
        <w:t xml:space="preserve">On completion of this module, the GP will be able to:</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Knowledge</w:t>
      </w:r>
    </w:p>
    <w:p>
      <w:pPr>
        <w:pStyle w:val="ListParagraph"/>
        <w:numPr>
          <w:ilvl w:val="0"/>
          <w:numId w:val="2"/>
        </w:numPr>
        <w:spacing w:after="40" w:before="40"/>
      </w:pPr>
      <w:r>
        <w:rPr>
          <w:rFonts w:ascii="Arial" w:cs="Arial" w:eastAsia="Arial" w:hAnsi="Arial"/>
          <w:sz w:val="22"/>
          <w:szCs w:val="22"/>
        </w:rPr>
        <w:t xml:space="preserve">Describe the pharmacology of stimulant and non-stimulant medications used in ADHD, including mechanism of action, pharmacokinetics, and formulation differences.</w:t>
      </w:r>
    </w:p>
    <w:p>
      <w:pPr>
        <w:pStyle w:val="ListParagraph"/>
        <w:numPr>
          <w:ilvl w:val="0"/>
          <w:numId w:val="2"/>
        </w:numPr>
        <w:spacing w:after="40" w:before="40"/>
      </w:pPr>
      <w:r>
        <w:rPr>
          <w:rFonts w:ascii="Arial" w:cs="Arial" w:eastAsia="Arial" w:hAnsi="Arial"/>
          <w:sz w:val="22"/>
          <w:szCs w:val="22"/>
        </w:rPr>
        <w:t xml:space="preserve">Identify first-line, second-line, and further-line pharmacological treatment options for children, adolescents, and adults, as per AADPA EBR recommendations.</w:t>
      </w:r>
    </w:p>
    <w:p>
      <w:pPr>
        <w:pStyle w:val="ListParagraph"/>
        <w:numPr>
          <w:ilvl w:val="0"/>
          <w:numId w:val="2"/>
        </w:numPr>
        <w:spacing w:after="40" w:before="40"/>
      </w:pPr>
      <w:r>
        <w:rPr>
          <w:rFonts w:ascii="Arial" w:cs="Arial" w:eastAsia="Arial" w:hAnsi="Arial"/>
          <w:sz w:val="22"/>
          <w:szCs w:val="22"/>
        </w:rPr>
        <w:t xml:space="preserve">Explain the titration principles for stimulant and non-stimulant medications, including starting doses, titration increments, and optimal dose endpoints.</w:t>
      </w:r>
    </w:p>
    <w:p>
      <w:pPr>
        <w:pStyle w:val="ListParagraph"/>
        <w:numPr>
          <w:ilvl w:val="0"/>
          <w:numId w:val="2"/>
        </w:numPr>
        <w:spacing w:after="40" w:before="40"/>
      </w:pPr>
      <w:r>
        <w:rPr>
          <w:rFonts w:ascii="Arial" w:cs="Arial" w:eastAsia="Arial" w:hAnsi="Arial"/>
          <w:sz w:val="22"/>
          <w:szCs w:val="22"/>
        </w:rPr>
        <w:t xml:space="preserve">Describe the pre-prescribing assessment requirements mandated by AADPA CPP 5.1.2 and NSW Health Stimulant Treatment Program guidelines.</w:t>
      </w:r>
    </w:p>
    <w:p>
      <w:pPr>
        <w:pStyle w:val="ListParagraph"/>
        <w:numPr>
          <w:ilvl w:val="0"/>
          <w:numId w:val="2"/>
        </w:numPr>
        <w:spacing w:after="40" w:before="40"/>
      </w:pPr>
      <w:r>
        <w:rPr>
          <w:rFonts w:ascii="Arial" w:cs="Arial" w:eastAsia="Arial" w:hAnsi="Arial"/>
          <w:sz w:val="22"/>
          <w:szCs w:val="22"/>
        </w:rPr>
        <w:t xml:space="preserve">Identify contraindications, precautions, and referral triggers for stimulant prescribing (AADPA CCR 5.1.3, 5.1.4).</w:t>
      </w:r>
    </w:p>
    <w:p>
      <w:pPr>
        <w:pStyle w:val="ListParagraph"/>
        <w:numPr>
          <w:ilvl w:val="0"/>
          <w:numId w:val="2"/>
        </w:numPr>
        <w:spacing w:after="40" w:before="40"/>
      </w:pPr>
      <w:r>
        <w:rPr>
          <w:rFonts w:ascii="Arial" w:cs="Arial" w:eastAsia="Arial" w:hAnsi="Arial"/>
          <w:sz w:val="22"/>
          <w:szCs w:val="22"/>
        </w:rPr>
        <w:t xml:space="preserve">Explain monitoring requirements during titration and at stabilised maintenance therapy (AADPA CCR 5.7.6, 5.7.7).</w:t>
      </w:r>
    </w:p>
    <w:p>
      <w:pPr>
        <w:pStyle w:val="ListParagraph"/>
        <w:numPr>
          <w:ilvl w:val="0"/>
          <w:numId w:val="2"/>
        </w:numPr>
        <w:spacing w:after="40" w:before="40"/>
      </w:pPr>
      <w:r>
        <w:rPr>
          <w:rFonts w:ascii="Arial" w:cs="Arial" w:eastAsia="Arial" w:hAnsi="Arial"/>
          <w:sz w:val="22"/>
          <w:szCs w:val="22"/>
        </w:rPr>
        <w:t xml:space="preserve">Describe the pharmacological considerations for special populations: women across the reproductive lifespan, older adults, patients with ASD, anxiety, substance use disorders, and cardiovascular risk.</w:t>
      </w:r>
    </w:p>
    <w:p>
      <w:pPr>
        <w:pStyle w:val="ListParagraph"/>
        <w:numPr>
          <w:ilvl w:val="0"/>
          <w:numId w:val="2"/>
        </w:numPr>
        <w:spacing w:after="40" w:before="40"/>
      </w:pPr>
      <w:r>
        <w:rPr>
          <w:rFonts w:ascii="Arial" w:cs="Arial" w:eastAsia="Arial" w:hAnsi="Arial"/>
          <w:sz w:val="22"/>
          <w:szCs w:val="22"/>
        </w:rPr>
        <w:t xml:space="preserve">Explain the NSW Schedule 8 authority prescribing framework for ADHD medications, including permit requirements, shared care obligations, and documentation standards.</w:t>
      </w:r>
    </w:p>
    <w:p>
      <w:pPr>
        <w:pStyle w:val="ListParagraph"/>
        <w:numPr>
          <w:ilvl w:val="0"/>
          <w:numId w:val="2"/>
        </w:numPr>
        <w:spacing w:after="40" w:before="40"/>
      </w:pPr>
      <w:r>
        <w:rPr>
          <w:rFonts w:ascii="Arial" w:cs="Arial" w:eastAsia="Arial" w:hAnsi="Arial"/>
          <w:sz w:val="22"/>
          <w:szCs w:val="22"/>
        </w:rPr>
        <w:t xml:space="preserve">Identify and manage common adverse effects of stimulant medications including insomnia, appetite suppression, rebound, cardiovascular effects, and mood changes.</w:t>
      </w:r>
    </w:p>
    <w:p>
      <w:pPr>
        <w:pStyle w:val="ListParagraph"/>
        <w:numPr>
          <w:ilvl w:val="0"/>
          <w:numId w:val="2"/>
        </w:numPr>
        <w:spacing w:after="40" w:before="40"/>
      </w:pPr>
      <w:r>
        <w:rPr>
          <w:rFonts w:ascii="Arial" w:cs="Arial" w:eastAsia="Arial" w:hAnsi="Arial"/>
          <w:sz w:val="22"/>
          <w:szCs w:val="22"/>
        </w:rPr>
        <w:t xml:space="preserve">Apply the AADPA guideline principles for stimulant prescribing in patients with comorbid substance use disorders (AADPA CCR 6.3.7, 6.3.8).</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Skills</w:t>
      </w:r>
    </w:p>
    <w:p>
      <w:pPr>
        <w:pStyle w:val="ListParagraph"/>
        <w:numPr>
          <w:ilvl w:val="0"/>
          <w:numId w:val="2"/>
        </w:numPr>
        <w:spacing w:after="40" w:before="40"/>
      </w:pPr>
      <w:r>
        <w:rPr>
          <w:rFonts w:ascii="Arial" w:cs="Arial" w:eastAsia="Arial" w:hAnsi="Arial"/>
          <w:sz w:val="22"/>
          <w:szCs w:val="22"/>
        </w:rPr>
        <w:t xml:space="preserve">Select the most appropriate ADHD medication for a given patient, justifying the choice with reference to patient factors, AADPA guidelines, and NSW prescribing framework.</w:t>
      </w:r>
    </w:p>
    <w:p>
      <w:pPr>
        <w:pStyle w:val="ListParagraph"/>
        <w:numPr>
          <w:ilvl w:val="0"/>
          <w:numId w:val="2"/>
        </w:numPr>
        <w:spacing w:after="40" w:before="40"/>
      </w:pPr>
      <w:r>
        <w:rPr>
          <w:rFonts w:ascii="Arial" w:cs="Arial" w:eastAsia="Arial" w:hAnsi="Arial"/>
          <w:sz w:val="22"/>
          <w:szCs w:val="22"/>
        </w:rPr>
        <w:t xml:space="preserve">Construct and document a titration plan using the dose escalation ladders in this module.</w:t>
      </w:r>
    </w:p>
    <w:p>
      <w:pPr>
        <w:pStyle w:val="ListParagraph"/>
        <w:numPr>
          <w:ilvl w:val="0"/>
          <w:numId w:val="2"/>
        </w:numPr>
        <w:spacing w:after="40" w:before="40"/>
      </w:pPr>
      <w:r>
        <w:rPr>
          <w:rFonts w:ascii="Arial" w:cs="Arial" w:eastAsia="Arial" w:hAnsi="Arial"/>
          <w:sz w:val="22"/>
          <w:szCs w:val="22"/>
        </w:rPr>
        <w:t xml:space="preserve">Identify and manage titration problems: non-response, partial response, rebound, insomnia, appetite loss, and mood effects.</w:t>
      </w:r>
    </w:p>
    <w:p>
      <w:pPr>
        <w:pStyle w:val="ListParagraph"/>
        <w:numPr>
          <w:ilvl w:val="0"/>
          <w:numId w:val="2"/>
        </w:numPr>
        <w:spacing w:after="40" w:before="40"/>
      </w:pPr>
      <w:r>
        <w:rPr>
          <w:rFonts w:ascii="Arial" w:cs="Arial" w:eastAsia="Arial" w:hAnsi="Arial"/>
          <w:sz w:val="22"/>
          <w:szCs w:val="22"/>
        </w:rPr>
        <w:t xml:space="preserve">Conduct and document a stimulant medication review using the monitoring template provided.</w:t>
      </w:r>
    </w:p>
    <w:p>
      <w:pPr>
        <w:pStyle w:val="ListParagraph"/>
        <w:numPr>
          <w:ilvl w:val="0"/>
          <w:numId w:val="2"/>
        </w:numPr>
        <w:spacing w:after="40" w:before="40"/>
      </w:pPr>
      <w:r>
        <w:rPr>
          <w:rFonts w:ascii="Arial" w:cs="Arial" w:eastAsia="Arial" w:hAnsi="Arial"/>
          <w:sz w:val="22"/>
          <w:szCs w:val="22"/>
        </w:rPr>
        <w:t xml:space="preserve">Complete the NSW authority prescription process correctly, including documentation requirements.</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Attitudes</w:t>
      </w:r>
    </w:p>
    <w:p>
      <w:pPr>
        <w:pStyle w:val="ListParagraph"/>
        <w:numPr>
          <w:ilvl w:val="0"/>
          <w:numId w:val="2"/>
        </w:numPr>
        <w:spacing w:after="40" w:before="40"/>
      </w:pPr>
      <w:r>
        <w:rPr>
          <w:rFonts w:ascii="Arial" w:cs="Arial" w:eastAsia="Arial" w:hAnsi="Arial"/>
          <w:sz w:val="22"/>
          <w:szCs w:val="22"/>
        </w:rPr>
        <w:t xml:space="preserve">Appreciate that prescribing stimulants for ADHD is not 'just writing a script' — it is an ongoing clinical relationship requiring titration expertise, safety monitoring, and longitudinal care.</w:t>
      </w:r>
    </w:p>
    <w:p>
      <w:pPr>
        <w:pStyle w:val="ListParagraph"/>
        <w:numPr>
          <w:ilvl w:val="0"/>
          <w:numId w:val="2"/>
        </w:numPr>
        <w:spacing w:after="40" w:before="40"/>
      </w:pPr>
      <w:r>
        <w:rPr>
          <w:rFonts w:ascii="Arial" w:cs="Arial" w:eastAsia="Arial" w:hAnsi="Arial"/>
          <w:sz w:val="22"/>
          <w:szCs w:val="22"/>
        </w:rPr>
        <w:t xml:space="preserve">Recognise the therapeutic transformative potential of correctly prescribed ADHD medication — and the equal obligation to prescribe safely, not just generously.</w:t>
      </w:r>
    </w:p>
    <w:p>
      <w:pPr>
        <w:pStyle w:val="ListParagraph"/>
        <w:numPr>
          <w:ilvl w:val="0"/>
          <w:numId w:val="2"/>
        </w:numPr>
        <w:spacing w:after="40" w:before="40"/>
      </w:pPr>
      <w:r>
        <w:rPr>
          <w:rFonts w:ascii="Arial" w:cs="Arial" w:eastAsia="Arial" w:hAnsi="Arial"/>
          <w:sz w:val="22"/>
          <w:szCs w:val="22"/>
        </w:rPr>
        <w:t xml:space="preserve">Accept the unique medicolegal accountability that attaches to Schedule 8 stimulant prescribing in NSW.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EBR 5.3.1 / 5.4.1 (Strong, LOW certainty): Methylphenidate or dexamfetamine or lisdexamfetamine should be offered as first-line pharmacological treatment for ADHD where symptoms are causing significant impairment.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5.1.3: Cardiology referral is mandatory before stimulants if any cardiac risk features are present. ECG is NOT routinely required (CPP 5.1.2).</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NSW S8 Obligation: GPs prescribing Schedule 8 stimulants must hold a current NSW Health authority. Prescribing without authority is unlawful. Documentation of diagnosis, pre-prescribing assessment, and informed consent is mandatory.</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CPP 5.6.5: Clinicians should NOT offer immediate-release stimulants that can be easily injected or inhaled if there is a risk of misuse or diversion.</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1. Pharmacological Foundations — How ADHD Medications Work</w:t>
      </w:r>
    </w:p>
    <w:p>
      <w:pPr>
        <w:spacing w:after="80" w:before="80"/>
        <w:jc w:val="both"/>
      </w:pPr>
      <w:r>
        <w:rPr>
          <w:rFonts w:ascii="Arial" w:cs="Arial" w:eastAsia="Arial" w:hAnsi="Arial"/>
          <w:sz w:val="22"/>
          <w:szCs w:val="22"/>
        </w:rPr>
        <w:t xml:space="preserve">Before choosing between agents or formulations, the GP must understand the neurochemical rationale for ADHD pharmacotherapy. Every prescribing decision — agent selection, formulation choice, dose optimisation, timing — flows from this foundation.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NEUROCHEMICAL TARGET: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ADHD is fundamentally a disorder of catecholamine signalling — insufficient dopamine (DA) and noradrenaline (NA) tone in the prefrontal cortex (PFC) and its connections.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All effective ADHD medications address this by one of three mechanisms: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Increasing DA/NA release at the synapse (amphetamines)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Blocking DA/NA reuptake transporters (methylphenidate, atomoxetine)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Modulating post-synaptic NA receptor sensitivity (guanfacine, clonidine)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result in each case: increased catecholamine availability at PFC synapses → improved signal-to-noise ratio → improved executive function, attention regulation, and impulse control.</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1.1 Stimulant Mechanism — The Two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Amphetamines (DEX, LDX)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Methylphenidate (MPH)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Primary 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Reverses DA/NA transporters — actively pumps DA/NA into synapse + blocks reuptake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Blocks DA/NA reuptake transporters (DAT/NET) — prevents removal from synapse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Relative dopaminergic effect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Stronger dopaminergic effect — more potent reward pathway activation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Relatively more balanced DA/NA effect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Relative noradrenergic effect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NA release — contributes to attention signal clarity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Strong DAT blockade; also blocks NET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 of action (IR)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30–60 minutes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30–45 minutes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 (IR)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4–6 hours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3–5 hours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 (LA formulations)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Lisdexamfetamine: 12–14 hours; Dexamphetamine LA: not available in Australia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Methylphenidate LA: 8–12 hours (Ritalin LA, Concerta, Vyvanse equivalent: LDX)</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Misuse/diversion potential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Higher — more euphoric if misused; immediate-release dex has highest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Lower — less reinforcing at therapeutic doses; Concerta osmotic delivery resists tampering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Australian availability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Dexamfetamine (short-acting); Lisdexamfetamine (Vyvanse — long-acting prodrug)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Methylphenidate IR (Ritalin); Methylphenidate LA (Ritalin LA, Concerta, Rubifen)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Lisdexamfetamine (Vyvanse) is a prodrug — it is pharmacologically inactive until cleaved by red blood cell enzymes in the gut to release d-amphetamine. This means it cannot be injected or snorted effectively, making it the preferred stimulant in patients with substance use history or diversion risk (AADPA CPP 5.6.5).</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clinical implication: for a patient with ADHD + past stimulant misuse who is now stable, lisdexamfetamine is a safer prescribing choice than dexamfetamine IR. Document this rationale.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1.2 The Prodrug Advantage — Lisdexamfetamine in Detail</w:t>
      </w:r>
    </w:p>
    <w:p>
      <w:pPr>
        <w:spacing w:after="80" w:before="80"/>
        <w:jc w:val="both"/>
      </w:pPr>
      <w:r>
        <w:rPr>
          <w:rFonts w:ascii="Arial" w:cs="Arial" w:eastAsia="Arial" w:hAnsi="Arial"/>
          <w:sz w:val="22"/>
          <w:szCs w:val="22"/>
        </w:rPr>
        <w:t xml:space="preserve">Lisdexamfetamine dimesylate (LDX, brand name Vyvanse) warrants specific attention because it represents the most commonly prescribed long-acting stimulant in Australian adult ADHD practice and has properties that distinguish it from all other stimulant formulations.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Property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Significance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Prodrug design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 lysine + d-amphetamine. Inactive until cleaved. Absorption is rate-limited by enzymatic cleavage — prevents dose-dumping.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 hours to effect (slower than IR dex — important for morning timing)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12–14 hours of therapeutic effect — covers full working/school day and homework time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Plasma level profile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Smooth, consistent plasma curve without sharp peaks (unlike IR formulations). Reduces rebound effect.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Misuse resistance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Intranasal/IV misuse produces no additional effect because the prodrug requires oral GI cleavage. Preferred when diversion risk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Dose conversion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20mg ≈ d-amphetamine 6mg; LDX 30mg ≈ 9mg; LDX 50mg ≈ 14mg; LDX 70mg ≈ 20mg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Australian approved doses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20mg, 30mg, 40mg, 50mg, 60mg, 70mg (adults and children ≥6 years)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PBS listing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 children ≥6 and adults — Section 85; authority prescription required</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1.3 Methylphenidate Formulation Differences</w:t>
      </w:r>
    </w:p>
    <w:p>
      <w:pPr>
        <w:spacing w:after="80" w:before="80"/>
        <w:jc w:val="both"/>
      </w:pPr>
      <w:r>
        <w:rPr>
          <w:rFonts w:ascii="Arial" w:cs="Arial" w:eastAsia="Arial" w:hAnsi="Arial"/>
          <w:sz w:val="22"/>
          <w:szCs w:val="22"/>
        </w:rPr>
        <w:t xml:space="preserve">Multiple methylphenidate formulations are available in Australia. Selecting between them requires understanding the delivery mechanism of each, as the pharmacokinetic profile determines clinical suitability.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1600"/>
        <w:gridCol w:w="1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Formulation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Brand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Release Profile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Use Case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Immediate-release MPH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Ritalin 5mg, 10mg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Immediate, pulse release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3–5 hours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Trialling a new patient; flexible dosing; when close monitoring of short windows needed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Methylphenidate LA (biphasic)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Ritalin LA 10mg, 20mg, 30mg, 40mg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 IR + 50% delayed (SODAS bead system)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6–8 hours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School-age children; adults wanting twice-daily coverage without lunchtime dose; moderate duration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OROS methylphenidate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18mg, 27mg, 36mg, 54mg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22% IR + 78% osmotic pump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10–12 hours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Adults; once-daily dosing preferred; reduced lunchtime stigma; more tamper-resistant than LA beads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Methylphenidate LA (extended)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Rubifen LA 10mg, 20mg, 30mg, 40mg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Similar to Ritalin LA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6–8 hours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PBS-listed alternative to Ritalin LA; bioequivalence generally accepted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Dexamfetamine IR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Dexedrine, generic 5mg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Immediate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4–6 hours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Preferred when shorter duration needed; add-on to LA formulation for late-day coverage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Concerta contains an osmotic pump (OROS system) — the tablet shell must be swallowed intact. It is NOT interchangeable with other methylphenidate LA formulations for individual patients, as the release profile differs significantly.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Some patients who respond poorly to LDX respond well to Concerta and vice versa, even though both are long-acting stimulants. This is because the DA/NA ratio and release kinetics differ. Trialling both classes before declaring stimulant non-response is good clinical practice (AADPA CPP 5.3.3).</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1.4 Non-Stimulant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Class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Key Clinical Profile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Atomoxetine (Strattera)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Selective NA reuptake inhibitor (SNRI)</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Blocks noradrenaline transporter (NET) selectively → increases NA (and indirectly DA) in PFC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Non-stimulant; no abuse potential; delayed onset 4–8 weeks; continuous 24-hour effect; preferred when stimulant CI or SUD risk</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 (Intuniv)</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Alpha-2A adrenergic agonist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Stimulates post-synaptic alpha-2A receptors in PFC → strengthens PFC signal, reduces 'noise'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Non-stimulant; also reduces hyperactivity and impulsivity; useful in tic disorders, anxiety comorbidity, ASD+ADHD; sedation risk</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Clonidine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Alpha-2 adrenergic agonist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Broader alpha-2 agonism than guanfacine → less PFC-selective; more sedating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Lower PFC selectivity than guanfacine; used for sleep disturbance, tic comorbidity; blood pressure monitoring required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Bupropion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NDRI (DA + NA reuptake inhibitor)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Inhibits DAT and NET; also weak nicotinic receptor antagonist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Second-line in adults (AADPA EBR 5.5.1); moderate ADHD effect; also treats comorbid depression/nicotine dependence; VERY LOW evidence</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2. First-Line Medication Selection — The Clinical Decision Framework</w:t>
      </w:r>
    </w:p>
    <w:p>
      <w:pPr>
        <w:spacing w:after="80" w:before="80"/>
        <w:jc w:val="both"/>
      </w:pPr>
      <w:r>
        <w:rPr>
          <w:rFonts w:ascii="Arial" w:cs="Arial" w:eastAsia="Arial" w:hAnsi="Arial"/>
          <w:sz w:val="22"/>
          <w:szCs w:val="22"/>
        </w:rPr>
        <w:t xml:space="preserve">AADPA EBR 5.3.1 and 5.4.1 establish that methylphenidate OR dexamfetamine OR lisdexamfetamine should be offered as first-line treatment for ADHD in both children/adolescents and adults where symptoms are causing significant impairment (Strong recommendation, LOW certainty evidence). The choice between these agents is a clinical decision — not a hierarchy.</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2.1 The Agent Selection Decision Tree</w:t>
      </w:r>
    </w:p>
    <w:p>
      <w:pPr>
        <w:spacing w:after="80" w:before="80"/>
        <w:jc w:val="both"/>
      </w:pPr>
      <w:r>
        <w:rPr>
          <w:rFonts w:ascii="Arial" w:cs="Arial" w:eastAsia="Arial" w:hAnsi="Arial"/>
          <w:sz w:val="22"/>
          <w:szCs w:val="22"/>
        </w:rPr>
        <w:t xml:space="preserve">The following framework guides first-line stimulant selection. Apply it at the point of initiating pharmacotherapy after completed assessment and pre-prescribing safety evaluation.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B3A6B" w:sz="6"/>
              <w:left w:val="single" w:color="1B3A6B" w:sz="6"/>
              <w:bottom w:val="single" w:color="1B3A6B" w:sz="6"/>
              <w:right w:val="single" w:color="1B3A6B" w:sz="6"/>
            </w:tcBorders>
            <w:shd w:fill="D6E4F0" w:val="clear"/>
            <w:tcMar>
              <w:top w:type="dxa" w:w="80"/>
              <w:left w:type="dxa" w:w="100"/>
              <w:bottom w:type="dxa" w:w="80"/>
              <w:right w:type="dxa" w:w="100"/>
            </w:tcMar>
            <w:vAlign w:val="center"/>
          </w:tcPr>
          <w:p>
            <w:pPr>
              <w:jc w:val="center"/>
            </w:pPr>
            <w:r>
              <w:rPr>
                <w:rFonts w:ascii="Arial" w:cs="Arial" w:eastAsia="Arial" w:hAnsi="Arial"/>
                <w:b/>
                <w:bCs/>
                <w:color w:val="1B3A6B"/>
                <w:sz w:val="24"/>
                <w:szCs w:val="24"/>
              </w:rPr>
              <w:t xml:space="preserve">1</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Confirm indication</w:t>
            </w:r>
          </w:p>
          <w:p>
            <w:pPr>
              <w:spacing w:before="40"/>
            </w:pPr>
            <w:r>
              <w:rPr>
                <w:rFonts w:ascii="Arial" w:cs="Arial" w:eastAsia="Arial" w:hAnsi="Arial"/>
                <w:color w:val="2C2C2A"/>
                <w:sz w:val="22"/>
                <w:szCs w:val="22"/>
              </w:rPr>
              <w:t xml:space="preserve">Diagnosis confirmed (Possible/Probable/Confirmed ADHD); functional impairment documented; non-pharmacological treatment discussed; patient consents to pharmacotherapy.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B3A6B" w:sz="6"/>
              <w:left w:val="single" w:color="1B3A6B" w:sz="6"/>
              <w:bottom w:val="single" w:color="1B3A6B" w:sz="6"/>
              <w:right w:val="single" w:color="1B3A6B" w:sz="6"/>
            </w:tcBorders>
            <w:shd w:fill="D6E4F0" w:val="clear"/>
            <w:tcMar>
              <w:top w:type="dxa" w:w="80"/>
              <w:left w:type="dxa" w:w="100"/>
              <w:bottom w:type="dxa" w:w="80"/>
              <w:right w:type="dxa" w:w="100"/>
            </w:tcMar>
            <w:vAlign w:val="center"/>
          </w:tcPr>
          <w:p>
            <w:pPr>
              <w:jc w:val="center"/>
            </w:pPr>
            <w:r>
              <w:rPr>
                <w:rFonts w:ascii="Arial" w:cs="Arial" w:eastAsia="Arial" w:hAnsi="Arial"/>
                <w:b/>
                <w:bCs/>
                <w:color w:val="1B3A6B"/>
                <w:sz w:val="24"/>
                <w:szCs w:val="24"/>
              </w:rPr>
              <w:t xml:space="preserve">2</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Assess diversion/misuse risk</w:t>
            </w:r>
          </w:p>
          <w:p>
            <w:pPr>
              <w:spacing w:before="40"/>
            </w:pPr>
            <w:r>
              <w:rPr>
                <w:rFonts w:ascii="Arial" w:cs="Arial" w:eastAsia="Arial" w:hAnsi="Arial"/>
                <w:color w:val="2C2C2A"/>
                <w:sz w:val="22"/>
                <w:szCs w:val="22"/>
              </w:rPr>
              <w:t xml:space="preserve">Current or recent SUD; household members with SUD; history of stimulant misuse; forensic history. If ANY risk present → prefer lisdexamfetamine (prodrug) or long-acting formulations. Consider non-stimulant if risk is high.</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B3A6B" w:sz="6"/>
              <w:left w:val="single" w:color="1B3A6B" w:sz="6"/>
              <w:bottom w:val="single" w:color="1B3A6B" w:sz="6"/>
              <w:right w:val="single" w:color="1B3A6B" w:sz="6"/>
            </w:tcBorders>
            <w:shd w:fill="D6E4F0" w:val="clear"/>
            <w:tcMar>
              <w:top w:type="dxa" w:w="80"/>
              <w:left w:type="dxa" w:w="100"/>
              <w:bottom w:type="dxa" w:w="80"/>
              <w:right w:type="dxa" w:w="100"/>
            </w:tcMar>
            <w:vAlign w:val="center"/>
          </w:tcPr>
          <w:p>
            <w:pPr>
              <w:jc w:val="center"/>
            </w:pPr>
            <w:r>
              <w:rPr>
                <w:rFonts w:ascii="Arial" w:cs="Arial" w:eastAsia="Arial" w:hAnsi="Arial"/>
                <w:b/>
                <w:bCs/>
                <w:color w:val="1B3A6B"/>
                <w:sz w:val="24"/>
                <w:szCs w:val="24"/>
              </w:rPr>
              <w:t xml:space="preserve">3</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Assess cardiovascular profile</w:t>
            </w:r>
          </w:p>
          <w:p>
            <w:pPr>
              <w:spacing w:before="40"/>
            </w:pPr>
            <w:r>
              <w:rPr>
                <w:rFonts w:ascii="Arial" w:cs="Arial" w:eastAsia="Arial" w:hAnsi="Arial"/>
                <w:color w:val="2C2C2A"/>
                <w:sz w:val="22"/>
                <w:szCs w:val="22"/>
              </w:rPr>
              <w:t xml:space="preserve">Hypertension, arrhythmia, structural heart disease, family history sudden death &lt;40 years. If cardiac risk features → cardiology review before stimulants (AADPA CCR 5.1.3). If hypertension → consider guanfacine or treat BP first.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854F0B" w:sz="6"/>
              <w:left w:val="single" w:color="854F0B" w:sz="6"/>
              <w:bottom w:val="single" w:color="854F0B" w:sz="6"/>
              <w:right w:val="single" w:color="854F0B" w:sz="6"/>
            </w:tcBorders>
            <w:shd w:fill="FFF3CD" w:val="clear"/>
            <w:tcMar>
              <w:top w:type="dxa" w:w="80"/>
              <w:left w:type="dxa" w:w="100"/>
              <w:bottom w:type="dxa" w:w="80"/>
              <w:right w:type="dxa" w:w="100"/>
            </w:tcMar>
            <w:vAlign w:val="center"/>
          </w:tcPr>
          <w:p>
            <w:pPr>
              <w:jc w:val="center"/>
            </w:pPr>
            <w:r>
              <w:rPr>
                <w:rFonts w:ascii="Arial" w:cs="Arial" w:eastAsia="Arial" w:hAnsi="Arial"/>
                <w:b/>
                <w:bCs/>
                <w:color w:val="854F0B"/>
                <w:sz w:val="24"/>
                <w:szCs w:val="24"/>
              </w:rPr>
              <w:t xml:space="preserve">4</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Assess anxiety comorbidity</w:t>
            </w:r>
          </w:p>
          <w:p>
            <w:pPr>
              <w:spacing w:before="40"/>
            </w:pPr>
            <w:r>
              <w:rPr>
                <w:rFonts w:ascii="Arial" w:cs="Arial" w:eastAsia="Arial" w:hAnsi="Arial"/>
                <w:color w:val="2C2C2A"/>
                <w:sz w:val="22"/>
                <w:szCs w:val="22"/>
              </w:rPr>
              <w:t xml:space="preserve">Significant comorbid anxiety? Stimulants can worsen anxiety, particularly at higher doses. If mild-moderate anxiety: start low, titrate slowly, monitor closely. If severe anxiety: consider atomoxetine or guanfacine first.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854F0B" w:sz="6"/>
              <w:left w:val="single" w:color="854F0B" w:sz="6"/>
              <w:bottom w:val="single" w:color="854F0B" w:sz="6"/>
              <w:right w:val="single" w:color="854F0B" w:sz="6"/>
            </w:tcBorders>
            <w:shd w:fill="FFF3CD" w:val="clear"/>
            <w:tcMar>
              <w:top w:type="dxa" w:w="80"/>
              <w:left w:type="dxa" w:w="100"/>
              <w:bottom w:type="dxa" w:w="80"/>
              <w:right w:type="dxa" w:w="100"/>
            </w:tcMar>
            <w:vAlign w:val="center"/>
          </w:tcPr>
          <w:p>
            <w:pPr>
              <w:jc w:val="center"/>
            </w:pPr>
            <w:r>
              <w:rPr>
                <w:rFonts w:ascii="Arial" w:cs="Arial" w:eastAsia="Arial" w:hAnsi="Arial"/>
                <w:b/>
                <w:bCs/>
                <w:color w:val="854F0B"/>
                <w:sz w:val="24"/>
                <w:szCs w:val="24"/>
              </w:rPr>
              <w:t xml:space="preserve">5</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Assess ASD comorbidity</w:t>
            </w:r>
          </w:p>
          <w:p>
            <w:pPr>
              <w:spacing w:before="40"/>
            </w:pPr>
            <w:r>
              <w:rPr>
                <w:rFonts w:ascii="Arial" w:cs="Arial" w:eastAsia="Arial" w:hAnsi="Arial"/>
                <w:color w:val="2C2C2A"/>
                <w:sz w:val="22"/>
                <w:szCs w:val="22"/>
              </w:rPr>
              <w:t xml:space="preserve">ASD+ADHD: slower titration required (AADPA CCR 5.1.7). Stimulants still effective but side effect profile can differ — irritability, emotional lability may increase. Start at lowest dose and titrate more slowly.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1B3A6B" w:sz="6"/>
              <w:left w:val="single" w:color="1B3A6B" w:sz="6"/>
              <w:bottom w:val="single" w:color="1B3A6B" w:sz="6"/>
              <w:right w:val="single" w:color="1B3A6B" w:sz="6"/>
            </w:tcBorders>
            <w:shd w:fill="D6E4F0" w:val="clear"/>
            <w:tcMar>
              <w:top w:type="dxa" w:w="80"/>
              <w:left w:type="dxa" w:w="100"/>
              <w:bottom w:type="dxa" w:w="80"/>
              <w:right w:type="dxa" w:w="100"/>
            </w:tcMar>
            <w:vAlign w:val="center"/>
          </w:tcPr>
          <w:p>
            <w:pPr>
              <w:jc w:val="center"/>
            </w:pPr>
            <w:r>
              <w:rPr>
                <w:rFonts w:ascii="Arial" w:cs="Arial" w:eastAsia="Arial" w:hAnsi="Arial"/>
                <w:b/>
                <w:bCs/>
                <w:color w:val="1B3A6B"/>
                <w:sz w:val="24"/>
                <w:szCs w:val="24"/>
              </w:rPr>
              <w:t xml:space="preserve">6</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Consider formulation preference</w:t>
            </w:r>
          </w:p>
          <w:p>
            <w:pPr>
              <w:spacing w:before="40"/>
            </w:pPr>
            <w:r>
              <w:rPr>
                <w:rFonts w:ascii="Arial" w:cs="Arial" w:eastAsia="Arial" w:hAnsi="Arial"/>
                <w:color w:val="2C2C2A"/>
                <w:sz w:val="22"/>
                <w:szCs w:val="22"/>
              </w:rPr>
              <w:t xml:space="preserve">Patient preference, practical factors (school/work timing, swallowing capsules, cost), once-daily preference, monitoring accessibility. LA preferred for: once-daily dosing convenience, reducing diversion risk, reducing lunchtime stigma. IR for: flexible titration, cost, specific coverage windows.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single" w:color="0F6E56" w:sz="6"/>
              <w:left w:val="single" w:color="0F6E56" w:sz="6"/>
              <w:bottom w:val="single" w:color="0F6E56" w:sz="6"/>
              <w:right w:val="single" w:color="0F6E56" w:sz="6"/>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4"/>
                <w:szCs w:val="24"/>
              </w:rPr>
              <w:t xml:space="preserve">7</w:t>
            </w:r>
          </w:p>
        </w:tc>
        <w:tc>
          <w:tcPr>
            <w:tcBorders>
              <w:top w:val="single" w:color="BBBBBB" w:sz="4"/>
              <w:left w:val="single" w:color="BBBBBB" w:sz="4"/>
              <w:bottom w:val="single" w:color="BBBBBB" w:sz="4"/>
              <w:right w:val="single" w:color="BBBBBB" w:sz="4"/>
            </w:tcBorders>
            <w:shd w:fill="FFFFFF" w:val="clear"/>
            <w:tcMar>
              <w:top w:type="dxa" w:w="80"/>
              <w:left w:type="dxa" w:w="160"/>
              <w:bottom w:type="dxa" w:w="80"/>
              <w:right w:type="dxa" w:w="160"/>
            </w:tcMar>
          </w:tcPr>
          <w:p>
            <w:r>
              <w:rPr>
                <w:rFonts w:ascii="Arial" w:cs="Arial" w:eastAsia="Arial" w:hAnsi="Arial"/>
                <w:b/>
                <w:bCs/>
                <w:color w:val="2C2C2A"/>
                <w:sz w:val="22"/>
                <w:szCs w:val="22"/>
              </w:rPr>
              <w:t xml:space="preserve">Select and document</w:t>
            </w:r>
          </w:p>
          <w:p>
            <w:pPr>
              <w:spacing w:before="40"/>
            </w:pPr>
            <w:r>
              <w:rPr>
                <w:rFonts w:ascii="Arial" w:cs="Arial" w:eastAsia="Arial" w:hAnsi="Arial"/>
                <w:color w:val="2C2C2A"/>
                <w:sz w:val="22"/>
                <w:szCs w:val="22"/>
              </w:rPr>
              <w:t xml:space="preserve">Document: agent chosen, rationale for choice over alternatives, patient preference, contraindications excluded, safety screen completed. Issue authority prescription. Plan titration schedule.</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2.2 Agent Selection Comparison — Clinical Decision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Factor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Preferred Agent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Rationale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 presentation, no complicating factors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or Concerta (LA)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Once-daily dosing; reduced rebound; smooth plasma curve; less diversion risk than IR dex</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 school coverage priority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20–30mg or Ritalin LA 10–20mg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Covers school day + homework; no lunchtime dose required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 stigma around lunchtime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or Concerta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Once-daily; no need to visit school office for medication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 once-daily preference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20–30mg starting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12–14 hour coverage; consistent plasma level; best evidence for adult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SUD history (stable)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preferred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Prodrug design prevents IV/intranasal misuse; cannot be extracted for recreational 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SUD / unstable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Non-stimulant first (atomoxetine or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 immediate-release stimulants entirely; LA acceptable if SUD stabilised (AADPA 6.3.5)</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anxiety comorbidity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stimulants low/slow; consider atomoxetine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can exacerbate anxiety; atomoxetine has neutral/positive anxiety effect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stimulant, but start low + titrate slowly (AADPA 5.1.7)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patients may have lower tolerability threshold; monitor for irritability, emotional lability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Tic disorder +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Methylphenidate preferred (less tic exacerbation); or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Amphetamines more likely to exacerbate tics; guanfacine reduces both ADHD and tics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Hypertension (untreated)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BP first; or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raise BP and HR; untreated hypertension is a prescribing risk</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Cardiac risk features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Cardiology review before any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CCR 5.1.3 — mandatory referral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Insomnia prominent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LA formulation earlier in day; consider guanfacine evening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worsen delayed sleep phase; guanfacine can improve sleep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Depression +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 antidepressant; or bupropion (treats both)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both conditions; bupropion is second-line ADHD but first-line depression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Pregnancy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Discuss fully; consider non-pharmacological; specialist input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stimulant has established safety in pregnancy; individual risk-benefit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Older adults (65+)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Same agents; start lower; monitor more carefully (AADPA CPP 5.4.5)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Reduced renal/hepatic clearance; increased cardiovascular sensitivity; polypharmacy risk</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non-response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Trial second stimulant class before declaring non-response (AADPA CPP 5.3.3)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Non-response to MPH does not predict non-response to amphetamine and vice versa</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3. Dose Escalation Ladders — Practical Titration Protocols</w:t>
      </w:r>
    </w:p>
    <w:p>
      <w:pPr>
        <w:spacing w:after="80" w:before="80"/>
        <w:jc w:val="both"/>
      </w:pPr>
      <w:r>
        <w:rPr>
          <w:rFonts w:ascii="Arial" w:cs="Arial" w:eastAsia="Arial" w:hAnsi="Arial"/>
          <w:sz w:val="22"/>
          <w:szCs w:val="22"/>
        </w:rPr>
        <w:t xml:space="preserve">Titration is the process of finding the optimal dose for an individual patient — the dose at which ADHD symptoms are maximally reduced, functional outcomes are improved, and adverse effects are minimal or absent. AADPA CPP 5.1.6: 'The dose should be titrated against symptoms, level of functioning and adverse effects until the optimal dose has been identified.'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TITRATION MANDATE: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There is no 'standard dose' for ADHD medications. There is only the optimal dose for this patient.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optimal dose is the lowest dose at which the patient reports: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(1) Meaningful symptom reduction in daily functioning,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(2) No significant adverse effects limiting tolerability or quality of life,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(3) Improved self-report and/or collateral-reported functional outcomes.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 patient on 70mg LDX who reports no meaningful benefit has not reached optimal dose — they have reached maximum dose with inadequate response.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 patient on 20mg LDX with excellent symptom control and no adverse effects: do not escalate further.</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3.1 Lisdexamfetamine (Vyvanse) — Titration Ladder</w:t>
      </w:r>
    </w:p>
    <w:p>
      <w:pPr>
        <w:spacing w:after="80" w:before="80"/>
        <w:jc w:val="both"/>
      </w:pPr>
      <w:r>
        <w:rPr>
          <w:rFonts w:ascii="Arial" w:cs="Arial" w:eastAsia="Arial" w:hAnsi="Arial"/>
          <w:sz w:val="22"/>
          <w:szCs w:val="22"/>
        </w:rPr>
        <w:t xml:space="preserve">AADPA CPP 5.1.5: Baseline ADHD symptoms and level of functioning should be recorded before titration. During titration, adverse effects should be monitored and recorded at each dose change.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500"/>
        <w:gridCol w:w="2800"/>
        <w:gridCol w:w="2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Instructions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 At This Step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Action If Problems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20mg daily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Take 20mg with or after breakfast. Capsule can be opened and mixed into water. Assess at week 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Appetite (lunch and dinner intake); sleep onset time; BP/HR at week 2 review; mood, anxiety, irritability. Patient rates ADHD symptoms daily or uses rating scale.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sleep onset delayed &gt;1 hour: ensure dose taken before 8am. If appetite loss severe: ensure dose with food; reassess timing.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3–4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30mg daily (if 20mg insufficient)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Increase to 30mg if: patient reports only partial benefit AND tolerating 20mg well. Do not escalate if adverse effects are present.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rating; BP/HR; appetite; sleep; mood. Ask: 'Is there a meaningful difference in your functioning from before you started?'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anxiety significantly worsened at 30mg: return to 20mg; consider adding low-dose guanfacine or switching to MPH.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5–6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40mg daily (if 30mg insufficient)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incremental step. Most adults find their optimal dose between 30–50mg.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Continue monitoring. Growth chart review if child.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HR &gt;100bpm consistently or BP elevated: hold at current dose; review cardiovascular status.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7–8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50mg daily (if 40mg insufficient)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Upper mid-range dose. Many adults optimise here.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Side effect review comprehensive. Collateral informant check-in.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Partial response only: ensure not dose-timing issue (dose wearing off in afternoon). Consider adding small IR dex booster.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9–10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60mg daily (if 50mg insufficient)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High-range dose. Reassess diagnosis before escalating further if minimal response to date.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review. Reassess diagnostic certainty. Check adherence (LDX taken consistently? With food?).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Minimal response at 50mg despite good adherence: consider cross-titrating to methylphenidate LA before reaching 70mg.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11–12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70mg daily (if 60mg insufficient)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Maximum approved dose. Review comprehensively. If no meaningful benefit at 70mg: stimulant trial inadequate — cross-titrate to MPH class or reconsider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Complete symptom and function review. Adverse effects comprehensive. Collateral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response at 70mg: document trial of LDX adequate (dates, doses, responses). Plan: switch to MPH LA; or atomoxetine; or specialist referral.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 titration error is escalating too fast. Moving from 20mg to 70mg in 2 weeks obscures which dose caused side effects and which caused benefit. The recommended titration schedule is no faster than every 1–2 weeks.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second most common error is stopping at a partial response. If the patient says 'it's a bit better but I'm still struggling,' this is a signal to continue titrating — not to declare success.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3.2 Methylphenidate LA (Ritalin LA / Concerta) — Titration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280"/>
        <w:gridCol w:w="198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Ritalin LA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Equivalent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10mg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18mg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Appetite, sleep onset, mood, BP/HR at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Ensure dose before 8am for sleep protection. If breakfast skipped: dose with breakfast.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3–4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20mg (if 10mg insufficient)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18–27mg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rating scale; BP/HR; appetite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Ritalin LA capsule can be opened — beads should NOT be chewed (alters release profile).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5–6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27–36mg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Growth monitoring if child; mood stability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mood labile in afternoon: consider rebound (see Section 6). Timing adjustment.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7–8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36–54mg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Comprehensive review: symptom, function, adverse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appetite significantly affected in child: holiday breaks; dietary advice (AADPA 5.7.6).</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Up to 60mg (adults); 54mg Concerta max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maximum 54mg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Collateral informant review; annual medication review planned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inadequate response at maximum MPH: cross-titrate to LDX. Document trial adequacy.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854F0B" w:sz="8"/>
              <w:right w:val="single" w:color="854F0B" w:sz="8"/>
            </w:tcBorders>
            <w:shd w:fill="FFF3CD" w:val="clear"/>
            <w:tcMar>
              <w:top w:type="dxa" w:w="100"/>
              <w:left w:type="dxa" w:w="200"/>
              <w:bottom w:type="dxa" w:w="40"/>
              <w:right w:type="dxa" w:w="200"/>
            </w:tcMar>
          </w:tcPr>
          <w:p>
            <w:pPr>
              <w:spacing w:after="40" w:before="40"/>
            </w:pPr>
            <w:r>
              <w:rPr>
                <w:rFonts w:ascii="Arial" w:cs="Arial" w:eastAsia="Arial" w:hAnsi="Arial"/>
                <w:b/>
                <w:bCs/>
                <w:color w:val="854F0B"/>
                <w:sz w:val="22"/>
                <w:szCs w:val="22"/>
              </w:rPr>
              <w:t xml:space="preserve">⚠️  Caution</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Concerta tablets must be swallowed whole. Crushing, chewing, or dissolving the Concerta tablet destroys the OROS osmotic mechanism and delivers the full dose as an immediate release — effectively a massive IR dose. This is clinically dangerous and constitutes misuse.</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Ritalin LA capsules CAN be opened and the beads sprinkled on food (applesauce etc.) for children who cannot swallow capsules — but the beads must not be chewed. Instruct parents/carers explicitly.</w:t>
            </w:r>
          </w:p>
        </w:tc>
      </w:tr>
      <w:tr>
        <w:tc>
          <w:tcPr>
            <w:tcBorders>
              <w:top w:val="none" w:color="FFFFFF" w:sz="0"/>
              <w:left w:val="single" w:color="854F0B" w:sz="8"/>
              <w:bottom w:val="single" w:color="854F0B" w:sz="8"/>
              <w:right w:val="single" w:color="854F0B" w:sz="8"/>
            </w:tcBorders>
            <w:shd w:fill="FFF3CD"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3.3 Dexamfetamine IR — Titration (Short-Acting)</w:t>
      </w:r>
    </w:p>
    <w:p>
      <w:pPr>
        <w:spacing w:after="80" w:before="80"/>
        <w:jc w:val="both"/>
      </w:pPr>
      <w:r>
        <w:rPr>
          <w:rFonts w:ascii="Arial" w:cs="Arial" w:eastAsia="Arial" w:hAnsi="Arial"/>
          <w:sz w:val="22"/>
          <w:szCs w:val="22"/>
        </w:rPr>
        <w:t xml:space="preserve">Dexamfetamine immediate-release is used as a starter agent when close monitoring of short effect windows is preferred, as an add-on to long-acting formulations for late-day coverage, or when cost is a limiting factor.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4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Dose Step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Timing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Notes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2.5–5mg twice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Morning + lunchtime (no later than 1pm)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starting dose especially if child or high anxiety. First dose with breakfast.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Step 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5mg twice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Morning + lunchtime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starting step for most adults. Allow 1–2 weeks at each step.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Step 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5mg three times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Morning, lunchtime, early afternoon (no later than 3pm)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work/school extends into afternoon. Third dose timing is critical for sleep.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Step 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10mg twice daily or 5mg three times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 above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Titrate by increasing individual doses in 2.5–5mg increments, not by adding more doses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Maximum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20mg three times daily (60mg/day)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Rarely required; reassess at high doses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reaching maximum without meaningful response: reconsider diagnosis; cross-titrate to LDX.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Dexamfetamine IR has the highest misuse and diversion risk of all ADHD medications. It can be crushed, dissolved, and injected — producing intense euphoria. If prescribing dexamfetamine IR, document explicitly why it was chosen over long-acting alternatives. If any diversion risk is present — use LDX instead (AADPA CPP 5.6.5).</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For patients with known SUD history: prefer LDX. If LDX is unavailable or not tolerated: use Concerta (OROS-delivery tamper resistance). Avoid dexamfetamine IR and standard-release MPH.</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3.4 Atomoxetine — Titration (Non-Stimulant)</w:t>
      </w:r>
    </w:p>
    <w:p>
      <w:pPr>
        <w:spacing w:after="80" w:before="80"/>
        <w:jc w:val="both"/>
      </w:pPr>
      <w:r>
        <w:rPr>
          <w:rFonts w:ascii="Arial" w:cs="Arial" w:eastAsia="Arial" w:hAnsi="Arial"/>
          <w:sz w:val="22"/>
          <w:szCs w:val="22"/>
        </w:rPr>
        <w:t xml:space="preserve">Atomoxetine has a fundamentally different titration rationale than stimulants. Its therapeutic effect is not felt immediately — it requires 4–8 weeks of consistent dosing. Patients must be counselled about this delay before starting, or they will discontinue during the therapeutic lag.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Weight-Based Dose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1–4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0.5mg/kg/day (morning or split AM/PM)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40mg daily (AM)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initial dose reduces nausea and initial GI effects. Warn patient: 'You will not feel a benefit for 4–8 weeks. This is normal — atomoxetine works differently from stimulants.'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5–8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0.8–1.0mg/kg/day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60–80mg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After minimum 4 weeks at starting dose. Assess tolerability before escalating.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9–12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1.2–1.4mg/kg/day (max 1.8mg/kg or 100mg)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80–100mg daily (maximum)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therapeutic effect may not be evident until 8–12 weeks. Be patient. Assess formally with rating scale at 12 weeks.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Maintenance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Optimal dose (1.0–1.4mg/kg typically)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60–100mg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Ongoing daily dosing required. Unlike stimulants, no drug holidays — effect is cumulative.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Atomoxetine has a 'therapeutic test' quality: patients who respond well often describe a gradual, subtle improvement across weeks — not the rapid, obvious effect of stimulants. Set this expectation explicitly: 'You'll notice after about 6–8 weeks that things are a bit easier — not dramatic, but consistent.'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One major advantage over stimulants: atomoxetine works around the clock — including evenings and weekends — because it provides 24-hour NA reuptake inhibition. This is clinically valuable for patients whose ADHD difficulties are prominent in the evenings (homework, family conflict, emotional regulation).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3.5 Guanfacine Extended-Release (Intuniv) — Titration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1800"/>
        <w:gridCol w:w="3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Dose (off-label)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Notes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1mg once daily (evening)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1mg once daily (evening)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1mg once daily (evening)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Evening dosing preferred — sedation effect aids sleep. Take at same time daily.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2mg once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1–2mg once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1–2mg once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Increase by 1mg weekly if tolerated. Sedation typically reduces after 1–2 weeks.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Week 3–4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2–3mg once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2–3mg once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2–3mg once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 BP/HR at each step. Guanfacine lowers BP — particularly relevant if taking antihypertensives.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Maintenance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2–4mg daily (max 4mg)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2–4mg daily (max 4mg)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2–4mg daily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NEVER stop abruptly — rebound hypertension risk. Taper over ≥1 week if discontinuing.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854F0B" w:sz="8"/>
              <w:right w:val="single" w:color="854F0B" w:sz="8"/>
            </w:tcBorders>
            <w:shd w:fill="FFF3CD" w:val="clear"/>
            <w:tcMar>
              <w:top w:type="dxa" w:w="100"/>
              <w:left w:type="dxa" w:w="200"/>
              <w:bottom w:type="dxa" w:w="40"/>
              <w:right w:type="dxa" w:w="200"/>
            </w:tcMar>
          </w:tcPr>
          <w:p>
            <w:pPr>
              <w:spacing w:after="40" w:before="40"/>
            </w:pPr>
            <w:r>
              <w:rPr>
                <w:rFonts w:ascii="Arial" w:cs="Arial" w:eastAsia="Arial" w:hAnsi="Arial"/>
                <w:b/>
                <w:bCs/>
                <w:color w:val="854F0B"/>
                <w:sz w:val="22"/>
                <w:szCs w:val="22"/>
              </w:rPr>
              <w:t xml:space="preserve">⚠️  Caution</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Guanfacine must NEVER be stopped abruptly — this can cause rebound hypertension, which may be clinically significant. Always taper the dose over at least one week when discontinuing.</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Guanfacine interacts with CYP3A4 inhibitors and inducers. Ketoconazole and other strong CYP3A4 inhibitors significantly increase guanfacine levels. Check all medications before prescribing.</w:t>
            </w:r>
          </w:p>
        </w:tc>
      </w:tr>
      <w:tr>
        <w:tc>
          <w:tcPr>
            <w:tcBorders>
              <w:top w:val="none" w:color="FFFFFF" w:sz="0"/>
              <w:left w:val="single" w:color="854F0B" w:sz="8"/>
              <w:bottom w:val="single" w:color="854F0B" w:sz="8"/>
              <w:right w:val="single" w:color="854F0B" w:sz="8"/>
            </w:tcBorders>
            <w:shd w:fill="FFF3CD"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4. Managing Adverse Effects — The Practical Troubleshooting Guide</w:t>
      </w:r>
    </w:p>
    <w:p>
      <w:pPr>
        <w:spacing w:after="80" w:before="80"/>
        <w:jc w:val="both"/>
      </w:pPr>
      <w:r>
        <w:rPr>
          <w:rFonts w:ascii="Arial" w:cs="Arial" w:eastAsia="Arial" w:hAnsi="Arial"/>
          <w:sz w:val="22"/>
          <w:szCs w:val="22"/>
        </w:rPr>
        <w:t xml:space="preserve">Adverse effects are the primary reason patients discontinue ADHD medication in the first months of treatment. Most adverse effects are dose-related, timing-related, or formulation-related — and most are manageable with clinical adjustment rather than cessation. The GP who can troubleshoot adverse effects confidently retains patients on beneficial treatment.</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4.1 The Adverse Effects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400"/>
        <w:gridCol w:w="1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Adverse Effect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Features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Management Strategy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to Cease/Refer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Appetite suppression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DA stimulation of hypothalamic satiety centres; direct NA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Reduced lunch/dinner appetite; weight loss; 'forgets to eat'; children: growth concerns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Ensure dose AFTER breakfast not before. (2) High-calorie breakfast before dose. (3) Late evening snack when medication wears off. (4) LA formulations: ensure food timing is adequate. (5) If significant growth deceleration in child: dose holiday; lower dose; change agent (AADPA 5.7.6).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Growth rate significantly declining in child despite dietary intervention; adult with BMI &lt;18.5 and unable to maintain weight; anorexia nervosa comorbidity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Insomnia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Stimulant-driven delay in sleep onset; increased arousal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falling asleep; typically 60–90+ min delayed sleep onset; not increased waking once asleep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Ensure LA dose taken before 8am. (2) Avoid IR booster doses after 2pm. (3) Melatonin 0.5–3mg at bedtime (evidence-based in ADHD insomnia). (4) Switch to earlier morning dosing. (5) If DSPS is primary: address sleep disorder separately. (6) Guanfacine evening dose can improve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Severe insomnia unresponsive to timing adjustment; significant sleep deprivation affecting safety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Cardiovascular — HR increase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Sympathomimetic effect of DA/NA on cardiac conduction and vasculature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HR increase 5–15bpm typically; BP increase 3–5mmHg typically; onset with dose, resolves as medication wears off</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Reassess baseline. (2) If HR 90–100: monitor closely; review cardiovascular risk. (3) Consider dose reduction. (4) If HR &gt;100 consistently or BP rising significantly: cardiology review; consider non-stimulant.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HR &gt;100 persistent; BP consistently above age-appropriate normal (AADPA 5.1.4); any cardiac symptoms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Rebound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drop in stimulant plasma level → temporary worsening below pre-treatment baseline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Afternoon/evening irritability, emotional volatility, hyperactivity spike, headache 3–6 hours after last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Switch to LA formulation if on IR. (2) Add small IR dose 4–6 hours after morning dose to smooth the curve. (3) Adjust LA dose timing. (4) Consider LDX (smoothest plasma curve). (5) Guanfacine or clonidine evening dose for rebound HI.</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Severe rebound unresponsive to adjustment — reassess formulation choice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Mood/emotional lability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Variable — may reflect over-stimulation, rebound, or unmasking of comorbid mood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Irritability, emotional blunting ('zombie effect'), anxiety, low mood, crying spells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If 'zombie effect' (flat, emotionless): dose too high — reduce. (2) If anxiety worsened: reduce dose or switch to MPH. (3) If depressive symptoms: assess for unmasking comorbid depression — treat both. (4) Persistent mood changes after dose adjustment: specialist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Emergence of psychotic symptoms or mania — cease stimulant immediately (AADPA CPP 5.6.2)</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Tic exacerbation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Enhanced DA transmission in striatum can activate tic circuits in susceptible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Emergence or worsening of motor/vocal tics in patient with tic disorder or family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Reduce dose. (2) Switch from amphetamine to MPH (lower tic risk). (3) Consider guanfacine (treats both ADHD and tics simultaneously). (4) Clonidine adjunct if needed. (5) Note: some patients develop transient tics that resolve — do not reflexively cease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New onset tics in patient without prior history who does not respond to dose reduction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Headache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Vasoconstriction effects; dehydration (reduced thirst); or rebound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Typically onset 1–2 hours after dose; frontal; may be tension-type or vascular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Ensure adequate hydration — stimulants reduce thirst. (2) If late headache: consider rebound — adjust timing. (3) Most resolve in first 2–4 weeks as tolerance develops. (4) Dose reduction if persistent.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Severe/unusual headache pattern — exclude secondary causes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Growth delay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Appetite suppression → caloric deficit; possible direct effect on growth hormone release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Height velocity deceleration; weight below expected centile for height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Plot on growth chart every 6 months (AADPA CCR 5.7.6). (2) Drug holidays (school holidays) can restore growth — weigh benefits vs harms. (3) Dietary intervention: calorie-dense foods, protein supplement. (4) Timing: dose after breakfast.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and sustained growth deceleration despite dietary intervention — review agent; consider lower dose or drug holiday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Psychosis/mania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Excessive DA stimulation in mesolimbic pathways at high doses or in predisposed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Paranoia, hallucinations, grandiosity, racing thoughts, marked mood elevation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CEASE STIMULANT IMMEDIATELY. Treat episode as required. Review: (1) Was dose too high? (2) Is there underlying bipolar disorder or psychosis risk? Consider mood stabiliser. Stimulant reintroduction only under specialist supervision (AADPA CPP 5.6.2).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psychotic or manic symptoms — immediate cessation and specialist review</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4.2 The Rebound Problem — A Deeper Look</w:t>
      </w:r>
    </w:p>
    <w:p>
      <w:pPr>
        <w:spacing w:after="80" w:before="80"/>
        <w:jc w:val="both"/>
      </w:pPr>
      <w:r>
        <w:rPr>
          <w:rFonts w:ascii="Arial" w:cs="Arial" w:eastAsia="Arial" w:hAnsi="Arial"/>
          <w:sz w:val="22"/>
          <w:szCs w:val="22"/>
        </w:rPr>
        <w:t xml:space="preserve">Stimulant rebound is one of the most commonly mismanaged phenomena in ADHD pharmacotherapy. It is frequently misidentified as the medication 'not working,' 'wearing off too soon,' or causing the child to be 'worse in the afternoon.' Understanding rebound pharmacokinetics is essential for optimising therapy.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REBOUND — THE PHARMACOKINETIC EXPLANATION: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When stimulant plasma levels fall rapidly (particularly after IR formulations), DA/NA availability in the PFC drops below pre-treatment baseline transiently — because the brain has partially adjusted its regulatory mechanisms to the presence of the medication.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Clinical result: for 1–2 hours after medication wears off, the patient may be MORE irritable, hyperactive, or emotionally volatile than they were before they took the medication that day.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solution is NOT to stop the medication. It is to smooth the plasma curve: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Switch from IR to LA formulation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Use LDX (smoothest curve of all stimulants)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Add a small IR dose to bridge the gap before the LA dose wears off</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Add guanfacine or clonidine in the evening to dampen the rebound effect</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4.3 The 'Zombie Effect' — Dose-Too-High Indicator</w:t>
      </w:r>
    </w:p>
    <w:p>
      <w:pPr>
        <w:spacing w:after="80" w:before="80"/>
        <w:jc w:val="both"/>
      </w:pPr>
      <w:r>
        <w:rPr>
          <w:rFonts w:ascii="Arial" w:cs="Arial" w:eastAsia="Arial" w:hAnsi="Arial"/>
          <w:sz w:val="22"/>
          <w:szCs w:val="22"/>
        </w:rPr>
        <w:t xml:space="preserve">One of the most important adverse effect patterns to recognise is the 'zombie effect' — a presentation of emotional blunting, flat affect, reduced creativity, and loss of personality that indicates the stimulant dose is too high for this individual.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Classic presentation: parent or partner reports that the patient seems 'not like themselves,' 'flat,' 'robotic,' 'lost their spark.' The patient may report feeling emotionally blunted, unable to access humour or creativity, or feeling like their personality has disappeared.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mechanism: at doses above the optimal, excessive DA tone in limbic and striatal circuits begins to suppress not just maladaptive ADHD symptoms, but the normal range of emotional and motivational experience.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Management: reduce the dose by one step. This almost invariably resolves the zombie effect while maintaining meaningful ADHD symptom reduction. This is not a reason to cease medication — it is a reason to find the right dose.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5. Prescribing in Special Populations</w:t>
      </w:r>
    </w:p>
    <w:p>
      <w:pPr>
        <w:pStyle w:val="Heading2"/>
        <w:pBdr>
          <w:bottom w:val="single" w:color="0F6E56" w:sz="4"/>
        </w:pBdr>
        <w:spacing w:after="160" w:before="360"/>
      </w:pPr>
      <w:r>
        <w:rPr>
          <w:rFonts w:ascii="Arial" w:cs="Arial" w:eastAsia="Arial" w:hAnsi="Arial"/>
          <w:b/>
          <w:bCs/>
          <w:color w:val="0F6E56"/>
          <w:sz w:val="28"/>
          <w:szCs w:val="28"/>
        </w:rPr>
        <w:t xml:space="preserve">5.1 Women Across the Reproductive Lifespan</w:t>
      </w:r>
    </w:p>
    <w:p>
      <w:pPr>
        <w:spacing w:after="80" w:before="80"/>
        <w:jc w:val="both"/>
      </w:pPr>
      <w:r>
        <w:rPr>
          <w:rFonts w:ascii="Arial" w:cs="Arial" w:eastAsia="Arial" w:hAnsi="Arial"/>
          <w:sz w:val="22"/>
          <w:szCs w:val="22"/>
        </w:rPr>
        <w:t xml:space="preserve">Oestrogen modulates dopamine receptor density and sensitivity. As oestrogen levels fluctuate across the female reproductive lifespan, ADHD medication requirements change in ways that are clinically significant and frequently under-recognised.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Hormonal State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Medication Considerations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Luteal phase (premenstrual, days 14–28)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Oestrogen falls → reduced dopamine sensitivity → medication may feel 'less effective'; emotional dysregulation peaks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Chart symptoms vs menstrual cycle. (2) Consider dose increase in luteal phase only. (3) Address RSD explicitly — this is the time of maximum vulnerability.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Oral contraceptive pill (OCP)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OCP suppresses oestrogen fluctuation → may stabilise ADHD symptoms month-to-month; some patients report OCP improves medication effectiveness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Discuss OCP as potential adjunct to ADHD management if clinically appropriate. Note: progesterone-dominant OCPs may worsen symptoms.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Pregnancy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stimulant has established safety data in pregnancy. Limited human evidence for methylphenidate; atomoxetine carries potential risk. Risk-benefit is highly individual.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Discuss pre-conception: plan medication tapering if pregnancy planned. (2) If ADHD is severe: specialist input. (3) Non-pharmacological strategies prioritised. (4) If medication continued: patient must give informed consent with documented risk discussion. (5) Refer to maternal-fetal medicine if complex.</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Post-natal period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Oestrogen drops dramatically post-delivery → significant ADHD symptom exacerbation, often misidentified as postnatal depression. Stimulants pass into breast milk in small amounts.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Counsel women pre-natally about likely postnatal ADHD exacerbation. (2) If breastfeeding: assess risk-benefit; methylphenidate has lowest breast milk transfer. (3) Non-pharmacological prioritised. (4) Consider restart of medication if PND treatment is not resolving symptoms.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Perimenopause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Progressive oestrogen decline → significant ADHD symptom deterioration; often presents as 'worsening ADHD' or 'new-onset ADHD.' Previously effective dose may become inadequate.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Check if current dose was established pre-perimenopausal — may need increase. (2) Discuss HRT: oestrogen replacement may improve ADHD medication effectiveness. (3) Dose adjustment may be needed. Liaise with gynaecologist if HRT being considered.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Post-menopause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stable oestrogen → persistent ADHD symptom burden. HRT may improve DA sensitivity and medication effectiveness.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If HRT initiated: reassess medication dose — may need adjustment as DA sensitivity changes. (2) Stable but low oestrogen state: maintain current dose; monitor annually.</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5.2 Prescribing in Substance Use Disorders — The AADPA Framework</w:t>
      </w:r>
    </w:p>
    <w:p>
      <w:pPr>
        <w:spacing w:after="80" w:before="80"/>
        <w:jc w:val="both"/>
      </w:pPr>
      <w:r>
        <w:rPr>
          <w:rFonts w:ascii="Arial" w:cs="Arial" w:eastAsia="Arial" w:hAnsi="Arial"/>
          <w:sz w:val="22"/>
          <w:szCs w:val="22"/>
        </w:rPr>
        <w:t xml:space="preserve">ADHD and substance use disorder co-occur at high rates — approximately 25% of adults with SUD have ADHD. Undiagnosed and untreated ADHD drives substance use through self-medication of dysphoria, impulsivity, and emotional dysregulation. Both disorders must be treated. The sequence and agent selection matter.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Recommendation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Number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Screening and diagnostic assessment should take place when substance use is sufficiently stabilised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formally diagnose ADHD during acute intoxication or severe withdrawal. Stabilise first. Exception: severe ADHD clearly present prior to SUD.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Treatment should focus on both disorders concurrently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Once stabilised: treat ADHD and SUD simultaneously. ADHD treatment reduces relapse risk by addressing the underlying driver of self-medication.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treatment aimed at abstaining or reducing/stabilising substance use first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stabilisation precedes ADHD pharmacotherapy where possible. But do not unnecessarily delay ADHD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 aware of and monitor for risk of misuse and diversion of psychostimulant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long-acting formulations; prefer LDX. Regular urine drug screen consideration. Restrict supply to short intervals initially.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Before stimulant therapy with concurrent SUD: person should be abstinent or have reduced/stabilised 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not stabilised: use non-stimulant first (atomoxetine, guanfacine, or bupropion).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Higher stimulant doses may be required in ADHD + SUD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DA receptor downregulation from chronic substance use may reduce stimulant effectiveness. Careful titration with specialist input advised.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 error in ADHD + SUD: refusing to treat ADHD because the patient has a history of substance use. This perpetuates the cycle — untreated ADHD drives the SUD. The evidence consistently shows that treating ADHD reduces substance use in the medium term.</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safest prescribing approach in ADHD + SUD: stabilise substance use first → confirm ADHD diagnosis → start with lisdexamfetamine (prodrug design, lowest diversion risk) → titrate carefully with regular follow-up → involve addiction medicine if complex.</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5.3 Prescribing in ASD + ADHD</w:t>
      </w:r>
    </w:p>
    <w:p>
      <w:pPr>
        <w:spacing w:after="80" w:before="80"/>
        <w:jc w:val="both"/>
      </w:pPr>
      <w:r>
        <w:rPr>
          <w:rFonts w:ascii="Arial" w:cs="Arial" w:eastAsia="Arial" w:hAnsi="Arial"/>
          <w:sz w:val="22"/>
          <w:szCs w:val="22"/>
        </w:rPr>
        <w:t xml:space="preserve">ASD and ADHD co-occur in 50–70% of cases. Both conditions should be identified and treated. AADPA CCR 5.1.7 specifies that dose titration should be slower and monitoring more frequent when ASD is present.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Detail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Slower titration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patients may have altered DA/NA receptor sensitivity; greater vulnerability to adverse effects at standard doses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at half the normal starting dose (e.g., LDX 10mg not 20mg). Titrate in smaller steps over longer intervals.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Irritability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can increase irritability, emotional lability, and repetitive behaviours in ASD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 closely for behavioural change at each dose step. If irritability worsens: reduce dose.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 utility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 improves both ADHD symptoms AND some ASD-associated behaviours (hyperactivity, impulsivity, aggression)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 guanfacine as first-line non-stimulant in ASD+ADHD, particularly if anxiety or aggression is prominent.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effectiveness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are effective in ADHD+ASD but generally show somewhat smaller effect sizes than in ADHD alone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Set realistic expectations; be cautious about high-dose escalation if benefit is partial.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Specialist input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Complex ASD+ADHD often benefits from paediatric/adult psychiatry input for medication optimisation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threshold for referral if titration is challenging or response is poor.</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5.4 Prescribing in Anxiety + ADHD</w:t>
      </w:r>
    </w:p>
    <w:p>
      <w:pPr>
        <w:spacing w:after="80" w:before="80"/>
        <w:jc w:val="both"/>
      </w:pPr>
      <w:r>
        <w:rPr>
          <w:rFonts w:ascii="Arial" w:cs="Arial" w:eastAsia="Arial" w:hAnsi="Arial"/>
          <w:sz w:val="22"/>
          <w:szCs w:val="22"/>
        </w:rPr>
        <w:t xml:space="preserve">Anxiety is the most common ADHD comorbidity — present in approximately 50% of adults with ADHD. Stimulants can both improve anxiety (by reducing ADHD-driven cognitive overload) and worsen it (through sympathomimetic stimulation). The net effect is patient-specific.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Approach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Mild-moderate anxiety comorbid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stimulant at low dose; titrate slowly; monitor anxiety scores at each step. Most patients with mild anxiety tolerate stimulants well. Address anxiety with CBT concurrently.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driven primarily by ADHD consequences (RSD, failure, overwhelm)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first — anxiety often significantly improves as ADHD is controlled and patient experiences success and reliability.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Significant/severe anxiety that predates ADHD treatment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 atomoxetine first (positive anxiety effect, improves both ADHD and anxiety). If stimulant needed: start very low and slow. Consider SSRI for anxiety alongside ADHD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worsens on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Reduce dose first. If persists: switch to MPH (less anxiogenic than amphetamines for many patients). If still worsens: switch to atomoxetine or guanfacine.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PTSD +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Trauma-informed approach; stabilise trauma first; prefer non-stimulant initially; stimulant can be added carefully once stable.</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5.5 Prescribing in Older Adults (65+)</w:t>
      </w:r>
    </w:p>
    <w:p>
      <w:pPr>
        <w:spacing w:after="80" w:before="80"/>
        <w:jc w:val="both"/>
      </w:pPr>
      <w:r>
        <w:rPr>
          <w:rFonts w:ascii="Arial" w:cs="Arial" w:eastAsia="Arial" w:hAnsi="Arial"/>
          <w:sz w:val="22"/>
          <w:szCs w:val="22"/>
        </w:rPr>
        <w:t xml:space="preserve">AADPA CPP 5.4.5: Clinicians should apply the same recommendations and principles of prescribing for adults over 65 years as for adults below 65 years, with careful monitoring of side effects.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Guidance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Cardiovascular sensitivity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More sensitive to BP/HR effects of stimulants. Obtain resting ECG if any cardiac history. Monitor BP/HR more frequently — at every review.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Pharmacokinetics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Reduced renal and hepatic clearance may increase plasma levels. Start at 50% of standard adult starting dose and titrate more slowly.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Polypharmacy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 risk of drug interactions. Review all medications. Particular attention to: antihypertensives (additive BP effects), MAOIs (absolute CI), TCAs, cardiac medications.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Cognitive profile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 older adults: differential includes early dementia. Stimulant trial can be diagnostic — improves attention in ADHD, less clear effect in dementia.</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Untreated ADHD impairs driving; stimulant treatment generally improves driving safety. Assess individually; document driving assessment and recommendation.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Falls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Stimulant-related dizziness, BP changes, or sleep disruption may increase falls risk. Review at each visit.</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5.6 Stimulants and Driving</w:t>
      </w:r>
    </w:p>
    <w:p>
      <w:pPr>
        <w:spacing w:after="80" w:before="80"/>
        <w:jc w:val="both"/>
      </w:pPr>
      <w:r>
        <w:rPr>
          <w:rFonts w:ascii="Arial" w:cs="Arial" w:eastAsia="Arial" w:hAnsi="Arial"/>
          <w:sz w:val="22"/>
          <w:szCs w:val="22"/>
        </w:rPr>
        <w:t xml:space="preserve">Untreated ADHD is associated with significantly increased road accident risk, traffic violations, and impaired driving performance. Stimulant treatment has been shown to improve driving performance in ADHD.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legal and clinical position in Australia: untreated ADHD impairs driving. The GP has a duty to discuss this. There is no absolute prohibition on driving with ADHD in Australia — the determination is fitness to drive, which is impaired by symptoms not treatment.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Document the driving discussion explicitly in the note: 'Driving assessed: Patient reports [no incidents / recent incidents / licence issues]. ADHD symptom impact on driving discussed. Treatment effect on driving safety discussed. Advised: do not drive if medication effects are adverse [e.g., initial sedation with guanfacine]. ADHD treatment improves driving safety.'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Key medicolegal point: if a patient with known ADHD has a road accident and their treating GP has never documented a driving assessment, this is a documentation failure. Assess and document at every medication review.</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6. NSW Schedule 8 Prescribing Framework</w:t>
      </w:r>
    </w:p>
    <w:p>
      <w:pPr>
        <w:spacing w:after="80" w:before="80"/>
        <w:jc w:val="both"/>
      </w:pPr>
      <w:r>
        <w:rPr>
          <w:rFonts w:ascii="Arial" w:cs="Arial" w:eastAsia="Arial" w:hAnsi="Arial"/>
          <w:sz w:val="22"/>
          <w:szCs w:val="22"/>
        </w:rPr>
        <w:t xml:space="preserve">Stimulant medications for ADHD are Schedule 8 (S8) controlled substances in NSW under the Poisons and Therapeutic Goods Act 1966 (NSW). Prescribing S8 stimulants requires compliance with the NSW Health Stimulant Treatment Program and the NSW ADHD Prescribing Framework. Non-compliance is unlawful.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NSW Legal Requirement: GPs prescribing S8 stimulants for ADHD must hold a current NSW Health authority permit (or prescribe under an endorsed prescribing arrangement). Prescribing without authority is a criminal offence under the Poisons and Therapeutic Goods Regulation 2008 (NSW).</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The NSW ADHD Endorsed Prescribing Training course you are completing is the pathway to obtaining GP prescribing authority for ADHD stimulants. Documentation of completed training and demonstrated competency is required.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The authority prescription must specify: patient name, date of birth, medication, dose, quantity, and number of repeats. Prescriptions must be kept within the approved limits. Records must be maintained for the required period.</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6.1 NSW Authority Prescribing —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Requirement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Diagnosis confirmed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diagnosis documented to AADPA standard (all formulation elements met). Diagnostic confidence: Probable or Confirmed.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diagnostic formulation in medical record. DSM-5 criteria mapped. Collateral documented. Differentials addressed.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 Pre-prescribing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assessment completed: BP, HR, weight/height, cardiac history, medications, substance use, pregnancy status (women). All documented.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assessment results in record. Contraindications addressed. Referrals made where indicated.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Informed 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has received psychoeducation about: the diagnosis, treatment options, stimulant risks and benefits, schedule 8 nature of medication, diversion risk, driving considerations, monitoring requirements.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Consent documented. Topics covered listed. Patient questions addressed.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 Authority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applies for NSW Health authority to prescribe stimulants for this patient. Process: varies — check current NSW Health Stimulant Treatment Program guidelines for current process.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number obtained and documented in record. Include on prescription.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 Stimulant agreement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(and parent/carer for children) signs stimulant agreement acknowledging: medication is for their use only; not to share or sell; safe storage; report if lost or stolen; requirement for regular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agreement signed and filed in record.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 Issue prescription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prescription issued: medication, dose, quantity, repeats within permitted limits. Schedule 8 prescription requirements followed.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Copy of prescription retained. Dose and date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 Titration and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Regular follow-up during titration (AADPA CPP 5.1.5). Once stable: chronic disease management model of review (AADPA CPP 5.7.1). Annual comprehensive review minimum (AADPA CPP 5.9.1).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Each review documented: symptoms, function, adverse effects, height/weight (child), BP/HR, medication adherence, diversion risk assessment.</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6.2 Shared Care Arrangements</w:t>
      </w:r>
    </w:p>
    <w:p>
      <w:pPr>
        <w:spacing w:after="80" w:before="80"/>
        <w:jc w:val="both"/>
      </w:pPr>
      <w:r>
        <w:rPr>
          <w:rFonts w:ascii="Arial" w:cs="Arial" w:eastAsia="Arial" w:hAnsi="Arial"/>
          <w:sz w:val="22"/>
          <w:szCs w:val="22"/>
        </w:rPr>
        <w:t xml:space="preserve">Many patients are initiated on ADHD medication by a specialist (paediatrician, psychiatrist) and transferred to GP for ongoing prescribing under a shared care arrangement. The GP accepting shared care must understand their obligations.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Shared Care Element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Obligation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Standard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Receiving the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Obtain and review the initiating specialist's diagnosis and medication documentation. Do not simply continue a prescription without understanding the diagnostic basis.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specialist name; date of diagnosis; ADHD subtype; medication initiated; last specialist review date.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prescription continuation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Ensure your authority to prescribe is current. The GP continuation authority may differ from the specialist's initial authority — check NSW Health requirements.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number documented at each prescription issue.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Ongoing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GP bears the monitoring obligation once in shared care: BP, HR, weight/height, adverse effects, annual review (AADPA CPP 5.9.1).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Monitoring results documented at each review. Annual review date recorded.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Escalation and referral back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must recognise when patient requires specialist review: diagnostic uncertainty, treatment resistance, significant comorbidity, concerning adverse effects, psychiatric deterioration.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Referral documented with clear clinical reason. Response from specialist filed.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limits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S8 prescribing limits apply regardless of whether GP or specialist is prescribing. Quantity and repeat limits must be followed.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Quantity prescribed; number of repeats; next review date on prescription.</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6.3 The Stimulant Diversion Risk Assessment</w:t>
      </w:r>
    </w:p>
    <w:p>
      <w:pPr>
        <w:spacing w:after="80" w:before="80"/>
        <w:jc w:val="both"/>
      </w:pPr>
      <w:r>
        <w:rPr>
          <w:rFonts w:ascii="Arial" w:cs="Arial" w:eastAsia="Arial" w:hAnsi="Arial"/>
          <w:sz w:val="22"/>
          <w:szCs w:val="22"/>
        </w:rPr>
        <w:t xml:space="preserve">Every ADHD prescribing consultation should include a brief, non-judgmental diversion risk assessment. This is not about distrust — it is about safe prescribing. AADPA CPP 5.6.4 and 5.6.5 make this explicit.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Risk Factor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Signal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Requests for specific brand/formulation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insists on immediate-release dexamfetamine specifically, refuses long-acting alternatives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Switch to LDX. Document rationale. Explore why IR was preferred.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Reports repeated loss of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'lost' repeatedly, especially before end of prescription period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Shorter supply; more frequent review; consider urine drug screen; explore honestly.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Household members with SUD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Partner, adult child, or flatmate with known SUD in home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Prefer LDX; counsel on secure storage; consider locked medication storage.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History of SUD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Documented or disclosed SUD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Prefer LDX always; non-stimulant if active/unstable SUD. Regular check-ins.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Escalating dose requests without clinical rationale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Requests for dose increases not supported by rating scale data or clinical observation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Decline escalation; reassess diagnosis and adherence; avoid dose escalation under social pressure.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Selling behaviour (disclosed or suspected)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discloses selling, or pharmacist/family member reports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Cease prescribing. Report to NSW Health as required. Document thoroughly. Manage patient safety.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Cognitive enhancement requests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Student or professional seeking performance enhancement without functional ADHD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must be confirmed. ADHD treatment is for ADHD, not cognitive enhancement. Document diagnostic basis.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diversion assessment should feel like a clinical conversation, not an interrogation. Frame it: 'I ask everyone on Schedule 8 medication about this — it's part of my routine safe prescribing. Is [medication] being taken only by you, stored safely, and not being shared with anyone?'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Most patients appreciate this framing because it normalises the question and signals that you take their treatment seriously.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7. Monitoring, Review and Long-Term Management</w:t>
      </w:r>
    </w:p>
    <w:p>
      <w:pPr>
        <w:spacing w:after="80" w:before="80"/>
        <w:jc w:val="both"/>
      </w:pPr>
      <w:r>
        <w:rPr>
          <w:rFonts w:ascii="Arial" w:cs="Arial" w:eastAsia="Arial" w:hAnsi="Arial"/>
          <w:sz w:val="22"/>
          <w:szCs w:val="22"/>
        </w:rPr>
        <w:t xml:space="preserve">ADHD pharmacotherapy is not a 'set and forget' intervention. It is an ongoing therapeutic relationship requiring structured monitoring across the treatment course. AADPA CPP 5.7.1: 'Clinicians should arrange regular and frequent follow-up until medication is optimised and stabilised. Once stabilised, clinicians should proactively arrange individualised monitoring based on a chronic disease management model.'</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7.1 The Monitoring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Frequency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to Assess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Initiation (weeks 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Phone or brief review at end of week 1; in-person review week 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Adverse effects; sleep onset time; appetite; BP/HR; any significant behavioural changes; early efficacy signal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Adverse effects listed; BP/HR recorded; dose change decision and rationale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titration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1–2 weeks at each dose change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 above at each step; ADHD symptom rating scale; functional outcome measure; school/parent report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rating documented; dose change or hold decision; adverse effects at current dose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Stabilisation (first 3 months)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Monthly review until 3 months 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Optimal dose confirmed; symptom control adequate; functioning improved; adverse effects managed or absent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stabilised at [dose]. Symptoms well-controlled. No significant adverse effects. Function improved in [domains].'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Maintenance (stable, &gt;3 months)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3-monthly (or more frequent if concerns)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check; adverse effects; functioning; height/weight (children every 6 months); BP/HR; driving; diversion screen; medication adherence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Brief but structured note at each review. Annual comprehensive review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review (mandatory, AADPA CPP 5.9.1)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Yearly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reassessment: (1) patient preferences; (2) benefits — symptom and function; (3) adverse effects; (4) clinical need; (5) education/employment impact; (6) effects of missed doses; (7) mood/mental health effects; (8) diversion risk; (9) whether medication break/reduction appropriate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Comprehensive annual review note. Decision on continuing/adjusting/ceasing documented with rationale.</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7.2 The Annual Medication Review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Documentation Example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ADHD ANNUAL MEDICATION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Date: [DATE] | Patient: [NAME] | Current medication: [AGENT] [DOSE]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PATIENT PREFERENCES: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satisfied with current medication/dose: [Yes/No/Partially]. Requests: [document any changes requested].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SYMPTOM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Rating scale completed: [ASRS or equivalent score vs previous]. Patient self-rates symptom control: [1–10].</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Specific symptom domains: Attention [improved/unchanged/worse]. Organisation []. Impulsivity []. Emotional regulation [].</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FUNCTIONAL OUTCOMES: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Work/study: []. Relationships: []. Finances: []. Driving: []. Sleep: []. Self-esteem: [].</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ADVERSE EFFECTS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Appetite: []. Weight: [current] vs [previous]. Sleep onset: []. Cardiovascular: BP []/[] HR []. Mood/anxiety: []. Other: [].</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PHYSICAL MONITORING (MANDATORY):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BP: []/[] (right arm, seated) | HR: [bpm] | Weight: [kg] | Height (children): [cm] | Growth chart updated: [Y/N]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6. EFFECTS OF MISSED DOSES: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uses medication consistently / takes breaks / inconsistent use. Effect of missed days: [].</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7. DRIVING ASSESSMENT: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Driving incidents/infringements since last review: [none/specify]. Medication effect on driving discussed: [Y/N].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8. DIVERSION RISK SCREEN: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Medication used by patient only: [confirmed]. Storage: [safe]. No sharing: [confirmed]. Any concerns: [].</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9. MENTAL HEALTH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Mood: [stable/concerns]. Anxiety: []. Substance use: []. Suicidal ideation: [screened — none/specify].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10. DECISION: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Continue current medication and dose: [rationale]. OR Change dose to [dose] because [rationale]. OR Trial medication break: [rationale, agreed with patient]. OR Cease: [rationale].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11. NEXT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Scheduled: [date]. Authority renewal due: [date]. Specialist review indicated: [Y/N — reason if yes].</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7.3 Medication Cessation — When and How</w:t>
      </w:r>
    </w:p>
    <w:p>
      <w:pPr>
        <w:spacing w:after="80" w:before="80"/>
        <w:jc w:val="both"/>
      </w:pPr>
      <w:r>
        <w:rPr>
          <w:rFonts w:ascii="Arial" w:cs="Arial" w:eastAsia="Arial" w:hAnsi="Arial"/>
          <w:sz w:val="22"/>
          <w:szCs w:val="22"/>
        </w:rPr>
        <w:t xml:space="preserve">AADPA CCR 5.9.3: Trial periods of stopping medication or reducing the dose should be considered when assessment of the overall balance of benefits and harms suggests this may be appropriate. If continuation is decided, the reasons should be documented.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Approach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reassessment: patient stable, wants to try without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Planned medication break during a low-demand period (school holidays, annual leave). Structured symptom monitoring during break. Return if symptoms significantly impair.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patient-initiated break; agreed plan; monitoring approach; return criteria; date for review.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Adverse effects unmanageable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Taper dose; if adverse effects persist at lowest dose: cease. Document adverse effects and attempts to manage.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Adverse effects documented; management attempted; clinical decision to cease with rationale.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Pregnancy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Planned taper pre-conception or early pregnancy as clinically appropriate. Shared decision-making with obstetric team.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Informed consent re: risks of ceasing vs continuing. Obstetric team communication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Stimulant-precipitated psychosis or mania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Cease immediately. Do not taper. Manage acute psychiatric emergency. Specialist review before any reconsideration.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Immediate cessation. Psychiatric emergency management documented. Specialist referral.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lost to follow-up, no recent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Contact patient for review before issuing repeat prescription. Do not prescribe without current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Attempt to contact documented. Review completed before re-prescribing.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Discontinuing atomoxetine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taper required — no discontinuation syndrome. Can stop immediately, but gradual reduction avoids potential rebound.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reason for cessation and plan.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Discontinuing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MUST taper over ≥1 week. Abrupt cessation risks rebound hypertension.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Taper schedule documented. Patient instructed not to stop abruptly. Emergency contact provided.</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8. Clinical Prescribing Algorithms — Quick Reference</w:t>
      </w:r>
    </w:p>
    <w:p>
      <w:pPr>
        <w:pStyle w:val="Heading2"/>
        <w:pBdr>
          <w:bottom w:val="single" w:color="0F6E56" w:sz="4"/>
        </w:pBdr>
        <w:spacing w:after="160" w:before="360"/>
      </w:pPr>
      <w:r>
        <w:rPr>
          <w:rFonts w:ascii="Arial" w:cs="Arial" w:eastAsia="Arial" w:hAnsi="Arial"/>
          <w:b/>
          <w:bCs/>
          <w:color w:val="0F6E56"/>
          <w:sz w:val="28"/>
          <w:szCs w:val="28"/>
        </w:rPr>
        <w:t xml:space="preserve">8.1 Stimulant Non-Response Algorithm</w:t>
      </w:r>
    </w:p>
    <w:p>
      <w:pPr>
        <w:spacing w:after="80" w:before="80"/>
        <w:jc w:val="both"/>
      </w:pPr>
      <w:r>
        <w:rPr>
          <w:rFonts w:ascii="Arial" w:cs="Arial" w:eastAsia="Arial" w:hAnsi="Arial"/>
          <w:sz w:val="22"/>
          <w:szCs w:val="22"/>
        </w:rPr>
        <w:t xml:space="preserve">Non-response to a stimulant trial does not mean 'ADHD pharmacotherapy has failed.' It means this agent at this dose at this titration speed has not produced optimal outcomes. Before declaring stimulant non-response, the following must be satisfied: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Check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Action if No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Adequate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Has the patient been trialled up to the maximum tolerated dose of this agent?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Continue titrating upward before declaring failure.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 Adequate duration?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Has the patient been on each dose for at least 1–2 weeks before judging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Extend titration before changing.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Adherence confirmed?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 the patient taking the medication consistently, at the right time, with food if needed?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adherence barriers. Counsel on consistent 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 Timing correct?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 the dose timing optimised for the patient's daily schedule? Is LA dose before 8am?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Adjust timing before changing agent.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 Cross-class trial?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Has the patient trialled both methylphenidate class AND amphetamine class adequately?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Try the other class. MPH non-response does not predict amphetamine non-response.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 Comorbidity addressed?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 unaddressed anxiety, depression, sleep disorder, or SUD confounding the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comorbidities. Reassess stimulant response after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 Diagnosis correct?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 ADHD still the correct diagnosis? Has anything emerged that suggests an alternative?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Revisit formulation. Consider specialist review if uncertainty.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8. Non-stimulant trial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After adequate trial of both stimulant classes without adequate response: trial atomoxetine or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trial adequacy before switching.</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8.2 The Switching Algorithm — Between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600"/>
        <w:gridCol w:w="1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Switching From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Switching To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Method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Timing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Reason to Switch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Dex IR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Stop IR; start LDX at equivalent dose next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switch overnight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risk; preference for LA; rebound problems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MPH LA (Concerta)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Stop LDX; start Concerta 18mg next morning regardless of LDX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switch overnight; MPH titration from beginning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Inadequate LDX response; anxiety on amphetamine; tic exacerbation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MPH LA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Stop MPH; start LDX 20mg next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switch overnight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Inadequate MPH response; preference; once-daily coverage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Atomoxetine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overlap briefly or stop and start. Atomoxetine can be started at low dose while tapering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Gradual; allow 4–8 weeks for atomoxetine to reach therapeutic effect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non-response to both classes; SUD; anxiety; hypertension; patient preference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add guanfacine as adjunct OR switch fully. If adding: start guanfacine evening; maintain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Gradual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Tic disorder; anxiety; sleep problems; ASD+ADHD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Atomoxetine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Taper atomoxetine while starting stimulant; allow overlap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Gradual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Inadequate atomoxetine response; patient wants faster onset</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9. Informed Consent and Documentation Templates</w:t>
      </w:r>
    </w:p>
    <w:p>
      <w:pPr>
        <w:pStyle w:val="Heading2"/>
        <w:pBdr>
          <w:bottom w:val="single" w:color="0F6E56" w:sz="4"/>
        </w:pBdr>
        <w:spacing w:after="160" w:before="360"/>
      </w:pPr>
      <w:r>
        <w:rPr>
          <w:rFonts w:ascii="Arial" w:cs="Arial" w:eastAsia="Arial" w:hAnsi="Arial"/>
          <w:b/>
          <w:bCs/>
          <w:color w:val="0F6E56"/>
          <w:sz w:val="28"/>
          <w:szCs w:val="28"/>
        </w:rPr>
        <w:t xml:space="preserve">9.1 Stimulant Initiation — Informed Consent Documentation</w:t>
      </w:r>
    </w:p>
    <w:p>
      <w:pPr>
        <w:spacing w:after="80" w:before="80"/>
        <w:jc w:val="both"/>
      </w:pPr>
      <w:r>
        <w:rPr>
          <w:rFonts w:ascii="Arial" w:cs="Arial" w:eastAsia="Arial" w:hAnsi="Arial"/>
          <w:sz w:val="22"/>
          <w:szCs w:val="22"/>
        </w:rPr>
        <w:t xml:space="preserve">Documenting informed consent for stimulant initiation is a medicolegal requirement. The note must demonstrate that the patient received adequate information to make an autonomous decision about pharmacotherapy.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Documentation Example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STIMULANT INITIATION — INFORMED CONSENT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Date: [DATE] | Duration: 30 minutes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DIAGNOSIS COMMUNICATED: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informed of diagnosis: ADHD [subtype] [severity]. Patient's understanding checked. Patient's response: []. ADHD diagnosis accepted / requires further reflection / declined.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PHARMACOTHERAPY DISCUSSION — INFORMATION PROVIDED: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Treatment options discussed: stimulant medication; non-stimulant medication; non-pharmacological approaches; combined approach.</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Stimulant medication information provided: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Mechanism: medication increases availability of dopamine/noradrenaline in the brain to improve attention, impulse control, and executive function.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Expected benefits: improved concentration, task completion, impulse control, emotional regulation.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Onset: stimulants work on the first day, with ongoing titration to find optimal dose.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Duration: most people benefit from long-term treatment. Annual review of need.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ADVERSE EFFECTS DISCUSSED: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Appetite suppression (common; strategies provided).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Sleep onset delay (common; managed by timing).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Cardiovascular: mild HR and BP increase (monitored).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Mood effects (rare; managed by dose adjustment).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Growth monitoring (children).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Rebound effect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Serious but rare: psychosis, mania, cardiac events — when to seek urgent care.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SCHEDULE 8 NATURE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Medication is a controlled substance. Prescription requirements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Safe storage discussed: locked if possible; out of reach of children.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Medication is for patient's use only — not to be shared, sold, or given away.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Stimulant Agreement: [patient/parent/carer] signed and copy provided/filed.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DRIVING DISCUSSED: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Untreated ADHD impairs driving. Treatment improves driving safety.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If guanfacine: initial sedation — do not drive until effect known.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6. MONITORING PLAN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Review in 1–2 weeks after first dose. Regular titration reviews. Annual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What to report urgently: chest pain, palpitations, severe mood changes, suicidal thoughts.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DECISION: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[consents to / declines / defers decision on] stimulant pharmacotherapy.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MEDICATION INITIATED: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[Agent] [Dose] daily. [Titration schedule explained]. Authority prescription issued. NSW S8 authority number: [number].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NEXT REVIEW: [Date]</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9.2 Stimulant Agreement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Documentation Example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STIMULANT TREATMENT AGREEMENT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Name: _________________ Date of Birth: _________ Date: _________</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Prescribed Medication: _________________ Dose: _________ Prescribing GP: _________</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 understand and agree to the following: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MEDICATION USE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This medication is prescribed for me (or my child) only. I will not give, sell, or share this medication with anyone else.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SAFE STORAGE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will store this medication securely, out of reach of children and other household members, ideally in a locked container.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LOST OR STOLEN MEDICATION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If medication is lost or stolen, I will report this to my GP and to police (if stolen) before a replacement prescription can be considered.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REGULAR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understand that this medication requires regular medical review. I agree to attend scheduled appointments and to not request prescription renewals without review when clinically indicated.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MONITORING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consent to regular monitoring including blood pressure, heart rate, weight (and height for children), and mental health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6. REPORTING SIDE EFFECTS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will report concerning side effects promptly. I understand what symptoms require urgent medical attention: chest pain, palpitations, severe mood changes, thoughts of self-harm.</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7. ALCOHOL AND OTHER SUBSTANCES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understand that combining this medication with alcohol or other stimulants increases adverse effect risk. I will inform my GP of any substance use.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8. DRIVING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understand that ADHD treatment improves driving safety but I should not drive if I experience sedation or other effects that impair driving ability.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9. INFORMING OTHER CLINICIANS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I consent to my GP informing other treating clinicians (surgeon, anaesthetist, emergency physician) of my ADHD medication when clinically relevant.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Signature: _____________________________ Date: ___________</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Parent/Guardian (if applicable): _________ Relationship: _________ Date: ___________</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GP Signature: ___________________________ Date: ___________</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10. Memory Systems: Anki Cards for Module 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mechanism of action of lisdexamfetamine, and why is it the preferred stimulant in patients with substance use history?</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LDX is a prodrug — inactive lysine-amphetamine conjugate that requires enzymatic cleavage in the gut to release d-amphetamine. Intranasal or IV misuse produces no additional effect because the prodrug cannot be activated that way. Preferred in SUD because it cannot be effectively misused and provides smooth, once-daily dosing.</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2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EBR 5.3.1 / 5.4.1 (Strong recommendation): {{c1::Methylphenidate}} or {{c2::dexamfetamine}} or {{c3::lisdexamfetamine}} should be offered as {{c4::first-line}} pharmacological treatment for ADHD where symptoms cause significant impairment, in both children/adolescents and adults.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3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8 mandatory components of the pre-prescribing assessment before initiating stimulants (AADPA CPP 5.1.2)?</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Confirmation ADHD diagnostic criteria met. (2) Evaluation of educational/employment circumstances. (3) Substance misuse and diversion risk assessment. (4) Medical history including contraindications. (5) Current medications. (6) Height and weight (vs normal range for age/sex). (7) Cardiovascular assessment: baseline HR and BP. (8) Pregnancy status in women. ECG NOT routinely required.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4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Under AADPA CCR 5.1.3, cardiology referral is required BEFORE stimulants if any of the following are present: history of {{c1::congenital heart disease or previous cardiac surgery}}; family history of {{c2::sudden death in first-degree relative under 40 years}}; {{c3::shortness of breath or fainting on exertion}}; {{c4::palpitations that are rapid, regular, start and stop suddenly}}; {{c5::hypertension}}.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5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starting dose, titration interval, and maximum dose for lisdexamfetamine in adults?</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Starting dose: 20mg daily (morning). Titration interval: increase by 10mg every 1–2 weeks. Maximum dose: 70mg daily. Optimal dose for most adults: 30–50mg. If no meaningful response at 70mg after adequate trial: cross-titrate to methylphenidate class or atomoxetine.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6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'zombie effect' on stimulants indicates the dose is {{c1::too high}}. Clinically: patient appears {{c2::emotionally blunted, flat, robotic, 'not like themselves'}}. Management: {{c3::reduce the dose by one step}}. This is not a reason to cease medication — it is a signal to {{c4::find the correct dose}}.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7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does AADPA CPP 5.6.5 state about stimulant selection in patients with misuse or diversion risk?</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'Clinicians should not offer immediate-release stimulants or modified-release stimulants that can be easily injected or inhaled if there is a risk of stimulant misuse or diversion.' Clinical application: use LDX (prodrug, injection/inhalation-resistant) or Concerta (OROS tamper-resistant) when any diversion risk is present.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8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Atomoxetine's therapeutic effect is delayed by {{c1::4–8 weeks}} from initiation. It is a {{c2::selective noradrenaline reuptake inhibitor (SNRI)}} providing {{c3::24-hour}} continuous coverage. It is preferred when stimulants are contraindicated, when {{c4::substance use disorder}} is present, or when significant {{c5::anxiety comorbidity}} exists.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9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stimulant rebound and how is it managed?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Rebound = temporary worsening of ADHD symptoms (irritability, hyperactivity, emotional lability) as stimulant plasma levels fall rapidly after wearing off — due to transient catecholamine under-availability below baseline. Management: (1) Switch IR to LA formulation. (2) Use LDX (smoothest plasma curve). (3) Add small IR dose to bridge the gap. (4) Add guanfacine/clonidine evening dose. Do NOT cease medication for rebound.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10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CCR 5.1.7 states that dose titration should be {{c1::slower}} and monitoring {{c2::more frequent}} when any of the following are present: {{c3::ASD}}, {{c4::tic disorders}}, {{c5::intellectual disability}}, anxiety disorders, bipolar disorder, or substance misuse.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11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Why must guanfacine never be stopped abruptly, and what is the minimum taper duration?</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Abrupt guanfacine cessation causes rebound hypertension — a potentially significant cardiovascular complication. Minimum taper: ≥1 week, reducing dose gradually. Always counsel patients explicitly not to stop guanfacine suddenly. Provide emergency contact instructions if medication runs out unexpectedly.</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12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For women in perimenopause with ADHD, previously effective stimulant doses may become {{c1::inadequate}} because progressive {{c2::oestrogen decline}} reduces {{c3::dopamine receptor sensitivity}}. Clinical actions: (1) consider {{c4::dose increase}}; (2) discuss {{c5::HRT}} as potential adjunct; (3) liaise with {{c6::gynaecologist}} if HRT indicated.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11. Quick Reference — High-Yield Pharmacotherapy Pearls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High-Yield Pearl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First-line: MPH or DEX or LDX — choice is clinical, not hierarchy (AADPA 5.3.1/5.4.1)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rationale for your agent choice at initiation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is preferred when any diversion/misuse risk is present (CPP 5.6.5)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Prodrug design prevents effective IV/intranasal misuse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Concerta must be swallowed whole — OROS mechanism destroyed if crushed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Instruct patient explicitly; do not substitute for other MPH LA</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Titrate against symptoms AND function AND adverse effects — not to maximum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Optimal dose is lowest dose with maximum benefit and minimal adverse effects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Titrate no faster than every 1–2 weeks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Too-fast titration obscures which dose caused which effect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'Zombie effect' = dose too high — reduce, do not cease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blunting on stimulants is a dose signal, not a failure signal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rebound ≠ medication failure — it means smooth the plasma curve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Switch to LA/LDX; add evening guanfacine; do not stop medication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Atomoxetine takes 4–8 weeks — counsel patients explicitly before starting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Patients who expect rapid effect like stimulants will discontinue prematurely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 never stop abruptly — rebound hypertension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Taper over ≥1 week; document this instruction to patient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Cardiology referral mandatory if ANY cardiac risk feature present (CCR 5.1.3)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ECG NOT routinely required — but cardiac history IS routinely required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comprehensive medication review is mandatory (CPP 5.9.1)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all 9 review elements; decision on continuing documented with rationale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NSW S8 authority is a legal requirement, not administrative preference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without authority is unlawful. Document authority number on prescription.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risk screen at every review — frame clinically, not accusatorially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 ask everyone on S8 medication this' — normalise the question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treatment improves driving safety — document the driving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Untreated ADHD impairs driving. Treatment discussion and assessment is a medicolegal obligation.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in perimenopause may need dose increase — oestrogen drives DA sensitivity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Check if dose was set pre-perimenopausally; consider HRT discussion</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12. Reference List</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Primary Australian Guidelines</w:t>
      </w:r>
    </w:p>
    <w:p>
      <w:pPr>
        <w:spacing w:after="80" w:before="80"/>
        <w:jc w:val="both"/>
      </w:pPr>
      <w:r>
        <w:rPr>
          <w:rFonts w:ascii="Arial" w:cs="Arial" w:eastAsia="Arial" w:hAnsi="Arial"/>
          <w:sz w:val="22"/>
          <w:szCs w:val="22"/>
        </w:rPr>
        <w:t xml:space="preserve">1. Australian ADHD Professionals Association (AADPA). Australian Evidence-Based Clinical Practice Guideline for ADHD. Sydney: AADPA; June 2024.</w:t>
      </w:r>
    </w:p>
    <w:p>
      <w:pPr>
        <w:spacing w:after="80" w:before="80"/>
        <w:jc w:val="both"/>
      </w:pPr>
      <w:r>
        <w:rPr>
          <w:rFonts w:ascii="Arial" w:cs="Arial" w:eastAsia="Arial" w:hAnsi="Arial"/>
          <w:sz w:val="22"/>
          <w:szCs w:val="22"/>
        </w:rPr>
        <w:t xml:space="preserve">2. Australian ADHD Professionals Association (AADPA). Summary of Recommendations. Sydney: AADPA; 2022.</w:t>
      </w:r>
    </w:p>
    <w:p>
      <w:pPr>
        <w:spacing w:after="80" w:before="80"/>
        <w:jc w:val="both"/>
      </w:pPr>
      <w:r>
        <w:rPr>
          <w:rFonts w:ascii="Arial" w:cs="Arial" w:eastAsia="Arial" w:hAnsi="Arial"/>
          <w:sz w:val="22"/>
          <w:szCs w:val="22"/>
        </w:rPr>
        <w:t xml:space="preserve">3. Australian ADHD Professionals Association (AADPA). ADHD Prescribing Guide for Australian Healthcare Professionals. Sydney: AADPA; September 2024.</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NSW Regulatory Framework</w:t>
      </w:r>
    </w:p>
    <w:p>
      <w:pPr>
        <w:spacing w:after="80" w:before="80"/>
        <w:jc w:val="both"/>
      </w:pPr>
      <w:r>
        <w:rPr>
          <w:rFonts w:ascii="Arial" w:cs="Arial" w:eastAsia="Arial" w:hAnsi="Arial"/>
          <w:sz w:val="22"/>
          <w:szCs w:val="22"/>
        </w:rPr>
        <w:t xml:space="preserve">4. NSW Health. Stimulant Treatment Program: Guidelines for Prescribers. Sydney: NSW Health; current version. https://www.health.nsw.gov.au</w:t>
      </w:r>
    </w:p>
    <w:p>
      <w:pPr>
        <w:spacing w:after="80" w:before="80"/>
        <w:jc w:val="both"/>
      </w:pPr>
      <w:r>
        <w:rPr>
          <w:rFonts w:ascii="Arial" w:cs="Arial" w:eastAsia="Arial" w:hAnsi="Arial"/>
          <w:sz w:val="22"/>
          <w:szCs w:val="22"/>
        </w:rPr>
        <w:t xml:space="preserve">5. NSW Ministry of Health. Poisons and Therapeutic Goods Regulation 2008 (NSW). Schedule 8 Prescribing Requirements.</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Pharmacology and Prescribing</w:t>
      </w:r>
    </w:p>
    <w:p>
      <w:pPr>
        <w:spacing w:after="80" w:before="80"/>
        <w:jc w:val="both"/>
      </w:pPr>
      <w:r>
        <w:rPr>
          <w:rFonts w:ascii="Arial" w:cs="Arial" w:eastAsia="Arial" w:hAnsi="Arial"/>
          <w:sz w:val="22"/>
          <w:szCs w:val="22"/>
        </w:rPr>
        <w:t xml:space="preserve">6. Heal DJ, Smith SL, Gosden J, Nutt DJ. Amphetamine, past and present — a pharmacological and clinical perspective. J Psychopharmacol. 2013;27(6):479–496.</w:t>
      </w:r>
    </w:p>
    <w:p>
      <w:pPr>
        <w:spacing w:after="80" w:before="80"/>
        <w:jc w:val="both"/>
      </w:pPr>
      <w:r>
        <w:rPr>
          <w:rFonts w:ascii="Arial" w:cs="Arial" w:eastAsia="Arial" w:hAnsi="Arial"/>
          <w:sz w:val="22"/>
          <w:szCs w:val="22"/>
        </w:rPr>
        <w:t xml:space="preserve">7. Stahl SM. Stahl's Essential Psychopharmacology: Prescriber's Guide. 6th ed. Cambridge: Cambridge University Press; 2017.</w:t>
      </w:r>
    </w:p>
    <w:p>
      <w:pPr>
        <w:spacing w:after="80" w:before="80"/>
        <w:jc w:val="both"/>
      </w:pPr>
      <w:r>
        <w:rPr>
          <w:rFonts w:ascii="Arial" w:cs="Arial" w:eastAsia="Arial" w:hAnsi="Arial"/>
          <w:sz w:val="22"/>
          <w:szCs w:val="22"/>
        </w:rPr>
        <w:t xml:space="preserve">8. Cortese S, et al. Comparative efficacy and tolerability of medications for attention-deficit hyperactivity disorder in children, adolescents, and adults: a systematic review and network meta-analysis. Lancet Psychiatry. 2018;5(9):727–738.</w:t>
      </w:r>
    </w:p>
    <w:p>
      <w:pPr>
        <w:spacing w:after="80" w:before="80"/>
        <w:jc w:val="both"/>
      </w:pPr>
      <w:r>
        <w:rPr>
          <w:rFonts w:ascii="Arial" w:cs="Arial" w:eastAsia="Arial" w:hAnsi="Arial"/>
          <w:sz w:val="22"/>
          <w:szCs w:val="22"/>
        </w:rPr>
        <w:t xml:space="preserve">9. Biederman J, et al. Efficacy and safety of lisdexamfetamine dimesylate in adults with attention-deficit/hyperactivity disorder. J Nerv Ment Dis. 2008;196(2):97–105.</w:t>
      </w:r>
    </w:p>
    <w:p>
      <w:pPr>
        <w:spacing w:after="80" w:before="80"/>
        <w:jc w:val="both"/>
      </w:pPr>
      <w:r>
        <w:rPr>
          <w:rFonts w:ascii="Arial" w:cs="Arial" w:eastAsia="Arial" w:hAnsi="Arial"/>
          <w:sz w:val="22"/>
          <w:szCs w:val="22"/>
        </w:rPr>
        <w:t xml:space="preserve">10. Faraone SV, Glatt SJ. A comparison of the efficacy of medications for adult attention-deficit/hyperactivity disorder using meta-analysis of effect sizes. J Clin Psychiatry. 2010;71(6):754–763.</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Non-Stimulant Pharmacotherapy</w:t>
      </w:r>
    </w:p>
    <w:p>
      <w:pPr>
        <w:spacing w:after="80" w:before="80"/>
        <w:jc w:val="both"/>
      </w:pPr>
      <w:r>
        <w:rPr>
          <w:rFonts w:ascii="Arial" w:cs="Arial" w:eastAsia="Arial" w:hAnsi="Arial"/>
          <w:sz w:val="22"/>
          <w:szCs w:val="22"/>
        </w:rPr>
        <w:t xml:space="preserve">11. Michelson D, et al. Atomoxetine in the treatment of children and adolescents with attention-deficit/hyperactivity disorder. N Engl J Med. 2001;344(18):1407–1415.</w:t>
      </w:r>
    </w:p>
    <w:p>
      <w:pPr>
        <w:spacing w:after="80" w:before="80"/>
        <w:jc w:val="both"/>
      </w:pPr>
      <w:r>
        <w:rPr>
          <w:rFonts w:ascii="Arial" w:cs="Arial" w:eastAsia="Arial" w:hAnsi="Arial"/>
          <w:sz w:val="22"/>
          <w:szCs w:val="22"/>
        </w:rPr>
        <w:t xml:space="preserve">12. Sallee FR, et al. Guanfacine extended release in children and adolescents with attention-deficit/hyperactivity disorder. J Am Acad Child Adolesc Psychiatry. 2009;48(2):155–165.</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Special Populations</w:t>
      </w:r>
    </w:p>
    <w:p>
      <w:pPr>
        <w:spacing w:after="80" w:before="80"/>
        <w:jc w:val="both"/>
      </w:pPr>
      <w:r>
        <w:rPr>
          <w:rFonts w:ascii="Arial" w:cs="Arial" w:eastAsia="Arial" w:hAnsi="Arial"/>
          <w:sz w:val="22"/>
          <w:szCs w:val="22"/>
        </w:rPr>
        <w:t xml:space="preserve">13. Quinn PO, Madhoo M. ADHD in women and girls. Prim Care Companion CNS Disord. 2014;16(3).</w:t>
      </w:r>
    </w:p>
    <w:p>
      <w:pPr>
        <w:spacing w:after="80" w:before="80"/>
        <w:jc w:val="both"/>
      </w:pPr>
      <w:r>
        <w:rPr>
          <w:rFonts w:ascii="Arial" w:cs="Arial" w:eastAsia="Arial" w:hAnsi="Arial"/>
          <w:sz w:val="22"/>
          <w:szCs w:val="22"/>
        </w:rPr>
        <w:t xml:space="preserve">14. Kooij JJS, et al. European consensus statement on diagnosis and treatment of adult ADHD. Eur Psychiatry. 2019;56:14–34.</w:t>
      </w:r>
    </w:p>
    <w:p>
      <w:pPr>
        <w:spacing w:after="80" w:before="80"/>
        <w:jc w:val="both"/>
      </w:pPr>
      <w:r>
        <w:rPr>
          <w:rFonts w:ascii="Arial" w:cs="Arial" w:eastAsia="Arial" w:hAnsi="Arial"/>
          <w:sz w:val="22"/>
          <w:szCs w:val="22"/>
        </w:rPr>
        <w:t xml:space="preserve">15. Wilens TE, et al. Misuse and diversion of stimulants prescribed for ADHD. J Am Acad Child Adolesc Psychiatry. 2008;47(1):21–31.</w:t>
      </w:r>
    </w:p>
    <w:p>
      <w:pPr>
        <w:spacing w:after="80" w:before="80"/>
        <w:jc w:val="both"/>
      </w:pPr>
      <w:r>
        <w:rPr>
          <w:rFonts w:ascii="Arial" w:cs="Arial" w:eastAsia="Arial" w:hAnsi="Arial"/>
          <w:sz w:val="22"/>
          <w:szCs w:val="22"/>
        </w:rPr>
        <w:t xml:space="preserve">16. Levin FR, et al. Treatment of ADHD and substance abuse in adults. J Clin Psychiatry. 2015;76(11):1504–1513.</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Monitoring and Safety</w:t>
      </w:r>
    </w:p>
    <w:p>
      <w:pPr>
        <w:spacing w:after="80" w:before="80"/>
        <w:jc w:val="both"/>
      </w:pPr>
      <w:r>
        <w:rPr>
          <w:rFonts w:ascii="Arial" w:cs="Arial" w:eastAsia="Arial" w:hAnsi="Arial"/>
          <w:sz w:val="22"/>
          <w:szCs w:val="22"/>
        </w:rPr>
        <w:t xml:space="preserve">17. Cooper WO, et al. ADHD drugs and serious cardiovascular events in children and young adults. N Engl J Med. 2011;365(20):1896–1904.</w:t>
      </w:r>
    </w:p>
    <w:p>
      <w:pPr>
        <w:spacing w:after="80" w:before="80"/>
        <w:jc w:val="both"/>
      </w:pPr>
      <w:r>
        <w:rPr>
          <w:rFonts w:ascii="Arial" w:cs="Arial" w:eastAsia="Arial" w:hAnsi="Arial"/>
          <w:sz w:val="22"/>
          <w:szCs w:val="22"/>
        </w:rPr>
        <w:t xml:space="preserve">18. Habel LA, et al. ADHD medications and risk of serious cardiovascular events in young and middle-aged adults. JAMA. 2011;306(24):2673–2683.</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Professional Standards</w:t>
      </w:r>
    </w:p>
    <w:p>
      <w:pPr>
        <w:spacing w:after="80" w:before="80"/>
        <w:jc w:val="both"/>
      </w:pPr>
      <w:r>
        <w:rPr>
          <w:rFonts w:ascii="Arial" w:cs="Arial" w:eastAsia="Arial" w:hAnsi="Arial"/>
          <w:sz w:val="22"/>
          <w:szCs w:val="22"/>
        </w:rPr>
        <w:t xml:space="preserve">19. Royal Australian College of General Practitioners (RACGP). Standards for general practices. 5th ed. East Melbourne: RACGP; 2020.</w:t>
      </w:r>
    </w:p>
    <w:p>
      <w:pPr>
        <w:spacing w:after="80" w:before="80"/>
        <w:jc w:val="both"/>
      </w:pPr>
      <w:r>
        <w:rPr>
          <w:rFonts w:ascii="Arial" w:cs="Arial" w:eastAsia="Arial" w:hAnsi="Arial"/>
          <w:sz w:val="22"/>
          <w:szCs w:val="22"/>
        </w:rPr>
        <w:t xml:space="preserve">20. Medical Board of Australia. Good Medical Practice: A Code of Conduct for Doctors in Australia. AHPRA; 2020.</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NSW GP ADHD Training Course  |  AADPA Clinical Practice Guideline 2024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NSW GP ADHD Endorsed Prescribing Training</w:t>
    </w:r>
    <w:r>
      <w:rPr>
        <w:rFonts w:ascii="Arial" w:cs="Arial" w:eastAsia="Arial" w:hAnsi="Arial"/>
        <w:color w:val="888888"/>
        <w:sz w:val="18"/>
        <w:szCs w:val="18"/>
      </w:rPr>
      <w:t xml:space="preserve">  |  Module 6: Pharmacotherapy &amp; NSW Prescribing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2026-05-16T12:53:55.457Z</dcterms:created>
  <dcterms:modified xsi:type="dcterms:W3CDTF">2026-05-16T12:53:55.473Z</dcterms:modified>
</cp:coreProperties>
</file>

<file path=docProps/custom.xml><?xml version="1.0" encoding="utf-8"?>
<Properties xmlns="http://schemas.openxmlformats.org/officeDocument/2006/custom-properties" xmlns:vt="http://schemas.openxmlformats.org/officeDocument/2006/docPropsVTypes"/>
</file>