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jc w:val="center"/>
      </w:pPr>
      <w:r>
        <w:rPr>
          <w:rFonts w:ascii="Arial" w:cs="Arial" w:eastAsia="Arial" w:hAnsi="Arial"/>
          <w:b/>
          <w:bCs/>
          <w:color w:val="888888"/>
          <w:sz w:val="28"/>
          <w:szCs w:val="28"/>
        </w:rPr>
        <w:t xml:space="preserve">NSW GP ADHD ENDORSED PRESCRIBING TRAINING</w:t>
      </w:r>
    </w:p>
    <w:p>
      <w:pPr>
        <w:spacing w:after="80" w:before="80"/>
      </w:pPr>
      <w:r>
        <w:t xml:space="preserve"/>
      </w:r>
    </w:p>
    <w:p>
      <w:pPr>
        <w:jc w:val="center"/>
      </w:pPr>
      <w:r>
        <w:rPr>
          <w:rFonts w:ascii="Arial" w:cs="Arial" w:eastAsia="Arial" w:hAnsi="Arial"/>
          <w:b/>
          <w:bCs/>
          <w:color w:val="1B3A6B"/>
          <w:sz w:val="64"/>
          <w:szCs w:val="64"/>
        </w:rPr>
        <w:t xml:space="preserve">MODULE 7</w:t>
      </w:r>
    </w:p>
    <w:p>
      <w:pPr>
        <w:spacing w:after="80" w:before="80"/>
      </w:pPr>
      <w:r>
        <w:t xml:space="preserve"/>
      </w:r>
    </w:p>
    <w:p>
      <w:pPr>
        <w:jc w:val="center"/>
      </w:pPr>
      <w:r>
        <w:rPr>
          <w:rFonts w:ascii="Arial" w:cs="Arial" w:eastAsia="Arial" w:hAnsi="Arial"/>
          <w:b/>
          <w:bCs/>
          <w:color w:val="0F6E56"/>
          <w:sz w:val="40"/>
          <w:szCs w:val="40"/>
        </w:rPr>
        <w:t xml:space="preserve">Medicolegal Framework:</w:t>
      </w:r>
    </w:p>
    <w:p>
      <w:pPr>
        <w:jc w:val="center"/>
      </w:pPr>
      <w:r>
        <w:rPr>
          <w:rFonts w:ascii="Arial" w:cs="Arial" w:eastAsia="Arial" w:hAnsi="Arial"/>
          <w:b/>
          <w:bCs/>
          <w:color w:val="0F6E56"/>
          <w:sz w:val="36"/>
          <w:szCs w:val="36"/>
        </w:rPr>
        <w:t xml:space="preserve">Documentation Mastery, NSW Governance</w:t>
      </w:r>
    </w:p>
    <w:p>
      <w:pPr>
        <w:jc w:val="center"/>
      </w:pPr>
      <w:r>
        <w:rPr>
          <w:rFonts w:ascii="Arial" w:cs="Arial" w:eastAsia="Arial" w:hAnsi="Arial"/>
          <w:b/>
          <w:bCs/>
          <w:color w:val="0F6E56"/>
          <w:sz w:val="36"/>
          <w:szCs w:val="36"/>
        </w:rPr>
        <w:t xml:space="preserve">&amp; Risk Management</w:t>
      </w:r>
    </w:p>
    <w:p>
      <w:pPr>
        <w:spacing w:after="200" w:before="200"/>
      </w:pPr>
      <w:r>
        <w:t xml:space="preserve"/>
      </w:r>
    </w:p>
    <w:p>
      <w:pPr>
        <w:jc w:val="center"/>
      </w:pPr>
      <w:r>
        <w:rPr>
          <w:rFonts w:ascii="Arial" w:cs="Arial" w:eastAsia="Arial" w:hAnsi="Arial"/>
          <w:color w:val="555555"/>
          <w:sz w:val="22"/>
          <w:szCs w:val="22"/>
        </w:rPr>
        <w:t xml:space="preserve">Aligned with: NSW Health Stimulant Treatment Program  |  Poisons and Therapeutic Goods Act 1966 (NSW)</w:t>
      </w:r>
    </w:p>
    <w:p>
      <w:pPr>
        <w:jc w:val="center"/>
      </w:pPr>
      <w:r>
        <w:rPr>
          <w:rFonts w:ascii="Arial" w:cs="Arial" w:eastAsia="Arial" w:hAnsi="Arial"/>
          <w:color w:val="555555"/>
          <w:sz w:val="22"/>
          <w:szCs w:val="22"/>
        </w:rPr>
        <w:t xml:space="preserve">AADPA Clinical Practice Guideline 2024  |  RACGP  |  ACRRM  |  AHPRA  |  Medical Board of Australia</w:t>
      </w:r>
    </w:p>
    <w:p>
      <w:pPr>
        <w:spacing w:after="300" w:before="300"/>
      </w:pPr>
      <w:r>
        <w:t xml:space="preserve"/>
      </w:r>
    </w:p>
    <w:p>
      <w:pPr>
        <w:jc w:val="center"/>
      </w:pPr>
      <w:r>
        <w:rPr>
          <w:rFonts w:ascii="Arial" w:cs="Arial" w:eastAsia="Arial" w:hAnsi="Arial"/>
          <w:color w:val="666666"/>
          <w:sz w:val="22"/>
          <w:szCs w:val="22"/>
        </w:rPr>
        <w:t xml:space="preserve">Month 6 of 6  |  Domain 6: Medicolegal &amp; Governance  |  Domain 7: Complex Clinical Reasoning</w:t>
      </w:r>
    </w:p>
    <w:p>
      <w:r>
        <w:br w:type="page"/>
      </w:r>
    </w:p>
    <w:p>
      <w:pPr>
        <w:pStyle w:val="Heading1"/>
        <w:spacing w:after="200" w:before="480"/>
      </w:pPr>
      <w:r>
        <w:rPr>
          <w:rFonts w:ascii="Arial" w:cs="Arial" w:eastAsia="Arial" w:hAnsi="Arial"/>
          <w:b/>
          <w:bCs/>
          <w:color w:val="1B3A6B"/>
          <w:sz w:val="36"/>
          <w:szCs w:val="36"/>
        </w:rPr>
        <w:t xml:space="preserve">Module 7 Learning Outcomes</w:t>
      </w:r>
    </w:p>
    <w:p>
      <w:pPr>
        <w:spacing w:after="80" w:before="80"/>
        <w:jc w:val="both"/>
      </w:pPr>
      <w:r>
        <w:rPr>
          <w:rFonts w:ascii="Arial" w:cs="Arial" w:eastAsia="Arial" w:hAnsi="Arial"/>
          <w:sz w:val="22"/>
          <w:szCs w:val="22"/>
        </w:rPr>
        <w:t xml:space="preserve">On completion of this module, the GP will be able to:</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Knowledge</w:t>
      </w:r>
    </w:p>
    <w:p>
      <w:pPr>
        <w:pStyle w:val="ListParagraph"/>
        <w:numPr>
          <w:ilvl w:val="0"/>
          <w:numId w:val="2"/>
        </w:numPr>
        <w:spacing w:after="40" w:before="40"/>
      </w:pPr>
      <w:r>
        <w:rPr>
          <w:rFonts w:ascii="Arial" w:cs="Arial" w:eastAsia="Arial" w:hAnsi="Arial"/>
          <w:sz w:val="22"/>
          <w:szCs w:val="22"/>
        </w:rPr>
        <w:t xml:space="preserve">Describe the NSW legislative and regulatory framework governing Schedule 8 ADHD stimulant prescribing, including the Poisons and Therapeutic Goods Act 1966 (NSW) and the NSW Health Stimulant Treatment Program.</w:t>
      </w:r>
    </w:p>
    <w:p>
      <w:pPr>
        <w:pStyle w:val="ListParagraph"/>
        <w:numPr>
          <w:ilvl w:val="0"/>
          <w:numId w:val="2"/>
        </w:numPr>
        <w:spacing w:after="40" w:before="40"/>
      </w:pPr>
      <w:r>
        <w:rPr>
          <w:rFonts w:ascii="Arial" w:cs="Arial" w:eastAsia="Arial" w:hAnsi="Arial"/>
          <w:sz w:val="22"/>
          <w:szCs w:val="22"/>
        </w:rPr>
        <w:t xml:space="preserve">Identify the documentation standards required for defensible ADHD diagnosis and prescribing in NSW general practice.</w:t>
      </w:r>
    </w:p>
    <w:p>
      <w:pPr>
        <w:pStyle w:val="ListParagraph"/>
        <w:numPr>
          <w:ilvl w:val="0"/>
          <w:numId w:val="2"/>
        </w:numPr>
        <w:spacing w:after="40" w:before="40"/>
      </w:pPr>
      <w:r>
        <w:rPr>
          <w:rFonts w:ascii="Arial" w:cs="Arial" w:eastAsia="Arial" w:hAnsi="Arial"/>
          <w:sz w:val="22"/>
          <w:szCs w:val="22"/>
        </w:rPr>
        <w:t xml:space="preserve">Explain the role and jurisdiction of the Health Professional Councils Authority (HPCA), NSW Civil and Administrative Tribunal (NCAT), the Medical Council of NSW, and AHPRA in relation to GP ADHD prescribing.</w:t>
      </w:r>
    </w:p>
    <w:p>
      <w:pPr>
        <w:pStyle w:val="ListParagraph"/>
        <w:numPr>
          <w:ilvl w:val="0"/>
          <w:numId w:val="2"/>
        </w:numPr>
        <w:spacing w:after="40" w:before="40"/>
      </w:pPr>
      <w:r>
        <w:rPr>
          <w:rFonts w:ascii="Arial" w:cs="Arial" w:eastAsia="Arial" w:hAnsi="Arial"/>
          <w:sz w:val="22"/>
          <w:szCs w:val="22"/>
        </w:rPr>
        <w:t xml:space="preserve">Describe the common pathways through which GP ADHD prescribing generates complaints — including misdiagnosis, over-prescribing, under-prescribing, inadequate documentation, and diversion.</w:t>
      </w:r>
    </w:p>
    <w:p>
      <w:pPr>
        <w:pStyle w:val="ListParagraph"/>
        <w:numPr>
          <w:ilvl w:val="0"/>
          <w:numId w:val="2"/>
        </w:numPr>
        <w:spacing w:after="40" w:before="40"/>
      </w:pPr>
      <w:r>
        <w:rPr>
          <w:rFonts w:ascii="Arial" w:cs="Arial" w:eastAsia="Arial" w:hAnsi="Arial"/>
          <w:sz w:val="22"/>
          <w:szCs w:val="22"/>
        </w:rPr>
        <w:t xml:space="preserve">Explain the principles of informed consent in ADHD pharmacotherapy, including consent in minors and adolescents.</w:t>
      </w:r>
    </w:p>
    <w:p>
      <w:pPr>
        <w:pStyle w:val="ListParagraph"/>
        <w:numPr>
          <w:ilvl w:val="0"/>
          <w:numId w:val="2"/>
        </w:numPr>
        <w:spacing w:after="40" w:before="40"/>
      </w:pPr>
      <w:r>
        <w:rPr>
          <w:rFonts w:ascii="Arial" w:cs="Arial" w:eastAsia="Arial" w:hAnsi="Arial"/>
          <w:sz w:val="22"/>
          <w:szCs w:val="22"/>
        </w:rPr>
        <w:t xml:space="preserve">Identify the mandatory reporting obligations relevant to ADHD practice — including child protection concerns that may arise during ADHD assessment and management.</w:t>
      </w:r>
    </w:p>
    <w:p>
      <w:pPr>
        <w:pStyle w:val="ListParagraph"/>
        <w:numPr>
          <w:ilvl w:val="0"/>
          <w:numId w:val="2"/>
        </w:numPr>
        <w:spacing w:after="40" w:before="40"/>
      </w:pPr>
      <w:r>
        <w:rPr>
          <w:rFonts w:ascii="Arial" w:cs="Arial" w:eastAsia="Arial" w:hAnsi="Arial"/>
          <w:sz w:val="22"/>
          <w:szCs w:val="22"/>
        </w:rPr>
        <w:t xml:space="preserve">Describe the specific medicolegal risks of telehealth ADHD assessment and prescribing.</w:t>
      </w:r>
    </w:p>
    <w:p>
      <w:pPr>
        <w:pStyle w:val="ListParagraph"/>
        <w:numPr>
          <w:ilvl w:val="0"/>
          <w:numId w:val="2"/>
        </w:numPr>
        <w:spacing w:after="40" w:before="40"/>
      </w:pPr>
      <w:r>
        <w:rPr>
          <w:rFonts w:ascii="Arial" w:cs="Arial" w:eastAsia="Arial" w:hAnsi="Arial"/>
          <w:sz w:val="22"/>
          <w:szCs w:val="22"/>
        </w:rPr>
        <w:t xml:space="preserve">Articulate the scope of practice boundaries for GP ADHD endorsed prescribing — including when referral is legally and clinically required.</w:t>
      </w:r>
    </w:p>
    <w:p>
      <w:pPr>
        <w:pStyle w:val="ListParagraph"/>
        <w:numPr>
          <w:ilvl w:val="0"/>
          <w:numId w:val="2"/>
        </w:numPr>
        <w:spacing w:after="40" w:before="40"/>
      </w:pPr>
      <w:r>
        <w:rPr>
          <w:rFonts w:ascii="Arial" w:cs="Arial" w:eastAsia="Arial" w:hAnsi="Arial"/>
          <w:sz w:val="22"/>
          <w:szCs w:val="22"/>
        </w:rPr>
        <w:t xml:space="preserve">Describe the obligations of a GP entering a shared care arrangement for ADHD prescribing.</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Skills</w:t>
      </w:r>
    </w:p>
    <w:p>
      <w:pPr>
        <w:pStyle w:val="ListParagraph"/>
        <w:numPr>
          <w:ilvl w:val="0"/>
          <w:numId w:val="2"/>
        </w:numPr>
        <w:spacing w:after="40" w:before="40"/>
      </w:pPr>
      <w:r>
        <w:rPr>
          <w:rFonts w:ascii="Arial" w:cs="Arial" w:eastAsia="Arial" w:hAnsi="Arial"/>
          <w:sz w:val="22"/>
          <w:szCs w:val="22"/>
        </w:rPr>
        <w:t xml:space="preserve">Write a medicolegal-grade ADHD consultation note that documents diagnosis, consent, prescribing rationale, and risk assessment to a standard that withstands HPCA complaint review.</w:t>
      </w:r>
    </w:p>
    <w:p>
      <w:pPr>
        <w:pStyle w:val="ListParagraph"/>
        <w:numPr>
          <w:ilvl w:val="0"/>
          <w:numId w:val="2"/>
        </w:numPr>
        <w:spacing w:after="40" w:before="40"/>
      </w:pPr>
      <w:r>
        <w:rPr>
          <w:rFonts w:ascii="Arial" w:cs="Arial" w:eastAsia="Arial" w:hAnsi="Arial"/>
          <w:sz w:val="22"/>
          <w:szCs w:val="22"/>
        </w:rPr>
        <w:t xml:space="preserve">Identify poor documentation examples and explain specifically what makes them inadequate and what the corrective standard requires.</w:t>
      </w:r>
    </w:p>
    <w:p>
      <w:pPr>
        <w:pStyle w:val="ListParagraph"/>
        <w:numPr>
          <w:ilvl w:val="0"/>
          <w:numId w:val="2"/>
        </w:numPr>
        <w:spacing w:after="40" w:before="40"/>
      </w:pPr>
      <w:r>
        <w:rPr>
          <w:rFonts w:ascii="Arial" w:cs="Arial" w:eastAsia="Arial" w:hAnsi="Arial"/>
          <w:sz w:val="22"/>
          <w:szCs w:val="22"/>
        </w:rPr>
        <w:t xml:space="preserve">Apply the structured risk documentation framework to ADHD-specific clinical scenarios including diversion concern, prescribing in SUD, driving safety, and safeguarding.</w:t>
      </w:r>
    </w:p>
    <w:p>
      <w:pPr>
        <w:pStyle w:val="ListParagraph"/>
        <w:numPr>
          <w:ilvl w:val="0"/>
          <w:numId w:val="2"/>
        </w:numPr>
        <w:spacing w:after="40" w:before="40"/>
      </w:pPr>
      <w:r>
        <w:rPr>
          <w:rFonts w:ascii="Arial" w:cs="Arial" w:eastAsia="Arial" w:hAnsi="Arial"/>
          <w:sz w:val="22"/>
          <w:szCs w:val="22"/>
        </w:rPr>
        <w:t xml:space="preserve">Construct a defensible clinical response to each of the five most common ADHD medicolegal scenarios in Australian general practice.</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Attitudes</w:t>
      </w:r>
    </w:p>
    <w:p>
      <w:pPr>
        <w:pStyle w:val="ListParagraph"/>
        <w:numPr>
          <w:ilvl w:val="0"/>
          <w:numId w:val="2"/>
        </w:numPr>
        <w:spacing w:after="40" w:before="40"/>
      </w:pPr>
      <w:r>
        <w:rPr>
          <w:rFonts w:ascii="Arial" w:cs="Arial" w:eastAsia="Arial" w:hAnsi="Arial"/>
          <w:sz w:val="22"/>
          <w:szCs w:val="22"/>
        </w:rPr>
        <w:t xml:space="preserve">Internalise the professional standard: documentation is not a clerical afterthought — it is the clinical record of reasoning, consent, and care. It is the GP's primary defence.</w:t>
      </w:r>
    </w:p>
    <w:p>
      <w:pPr>
        <w:pStyle w:val="ListParagraph"/>
        <w:numPr>
          <w:ilvl w:val="0"/>
          <w:numId w:val="2"/>
        </w:numPr>
        <w:spacing w:after="40" w:before="40"/>
      </w:pPr>
      <w:r>
        <w:rPr>
          <w:rFonts w:ascii="Arial" w:cs="Arial" w:eastAsia="Arial" w:hAnsi="Arial"/>
          <w:sz w:val="22"/>
          <w:szCs w:val="22"/>
        </w:rPr>
        <w:t xml:space="preserve">Approach medicolegal risk proactively — as a framework for excellent clinical practice, not as a source of paralysing anxiety.</w:t>
      </w:r>
    </w:p>
    <w:p>
      <w:pPr>
        <w:pStyle w:val="ListParagraph"/>
        <w:numPr>
          <w:ilvl w:val="0"/>
          <w:numId w:val="2"/>
        </w:numPr>
        <w:spacing w:after="40" w:before="40"/>
      </w:pPr>
      <w:r>
        <w:rPr>
          <w:rFonts w:ascii="Arial" w:cs="Arial" w:eastAsia="Arial" w:hAnsi="Arial"/>
          <w:sz w:val="22"/>
          <w:szCs w:val="22"/>
        </w:rPr>
        <w:t xml:space="preserve">Recognise that the highest medicolegal risk in ADHD practice is not over-prescribing — it is under-recognising ADHD and leaving patients untreated.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Red Flag / Medicolegal Alert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THE FOUNDATIONAL MEDICOLEGAL PRINCIPLE OF THIS MODULE:</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'If it is not documented, medically and legally it may be interpreted as not assessed.'</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This principle governs every clinical decision in this module. It is not aspirational — it is the standard applied by the HPCA, the Medical Council of NSW, and the NSW Civil and Administrative Tribunal when reviewing GP ADHD prescribing conduct.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Every consultation, every prescription renewal, every clinical decision in ADHD practice must leave a paper trail that demonstrates: the reasoning, the evidence, the consent, the safety assessment, and the ongoing monitoring.</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r>
        <w:br w:type="page"/>
      </w:r>
    </w:p>
    <w:p>
      <w:pPr>
        <w:pStyle w:val="Heading1"/>
        <w:spacing w:after="200" w:before="480"/>
      </w:pPr>
      <w:r>
        <w:rPr>
          <w:rFonts w:ascii="Arial" w:cs="Arial" w:eastAsia="Arial" w:hAnsi="Arial"/>
          <w:b/>
          <w:bCs/>
          <w:color w:val="1B3A6B"/>
          <w:sz w:val="36"/>
          <w:szCs w:val="36"/>
        </w:rPr>
        <w:t xml:space="preserve">1. The NSW Regulatory Framework for ADHD Stimulant Prescribing</w:t>
      </w:r>
    </w:p>
    <w:p>
      <w:pPr>
        <w:spacing w:after="80" w:before="80"/>
        <w:jc w:val="both"/>
      </w:pPr>
      <w:r>
        <w:rPr>
          <w:rFonts w:ascii="Arial" w:cs="Arial" w:eastAsia="Arial" w:hAnsi="Arial"/>
          <w:sz w:val="22"/>
          <w:szCs w:val="22"/>
        </w:rPr>
        <w:t xml:space="preserve">ADHD stimulant medications are Schedule 8 (S8) Controlled Drugs under NSW law. This classification imposes a specific and substantial legal framework on every GP who prescribes them. Understanding this framework is not optional — it is a prerequisite for lawful practice.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8"/>
              <w:left w:val="single" w:color="2C3E50" w:sz="8"/>
              <w:bottom w:val="single" w:color="2C3E50" w:sz="8"/>
              <w:right w:val="single" w:color="2C3E50" w:sz="8"/>
            </w:tcBorders>
            <w:shd w:fill="ECF0F1" w:val="clear"/>
            <w:tcMar>
              <w:top w:type="dxa" w:w="100"/>
              <w:left w:type="dxa" w:w="200"/>
              <w:bottom w:type="dxa" w:w="40"/>
              <w:right w:type="dxa" w:w="200"/>
            </w:tcMar>
          </w:tcPr>
          <w:p>
            <w:pPr>
              <w:spacing w:after="40" w:before="40"/>
            </w:pPr>
            <w:r>
              <w:rPr>
                <w:rFonts w:ascii="Arial" w:cs="Arial" w:eastAsia="Arial" w:hAnsi="Arial"/>
                <w:b/>
                <w:bCs/>
                <w:color w:val="2C3E50"/>
                <w:sz w:val="22"/>
                <w:szCs w:val="22"/>
              </w:rPr>
              <w:t xml:space="preserve">🏛️  Law &amp; Regulation</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THE NSW LEGAL ARCHITECTURE FOR ADHD STIMULANT PRESCRIBING:</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Primary legislation:</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Poisons and Therapeutic Goods Act 1966 (NSW) — the principal Act governing S8 prescribing</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Poisons and Therapeutic Goods Regulation 2008 (NSW) — the detailed operational requirements</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Key regulatory instruments:</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NSW Health Stimulant Treatment Program (STP) — the specific framework for ADHD stimulant prescribing</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NSW Health Pharmaceutical Services — administers S8 authorities and monitors prescribing</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NSW Ministry of Health — policy and legislative oversight</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Professional standards overlaid:</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Medical Board of Australia — Good Medical Practice</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AHPRA — registration standards and complaint jurisdiction</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RACGP Standards for General Practices</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AADPA Clinical Practice Guideline 2024 — defines the clinical standard expected</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Complaint bodies with jurisdiction over GP ADHD prescribing:</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Health Professional Councils Authority (HPCA) — NSW complaint investigation</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Medical Council of NSW — professional conduct and disciplinary jurisdiction</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NSW Civil and Administrative Tribunal (NCAT) — tribunal hearing for serious conduct matters</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Coroner's Court of NSW — inquest jurisdiction where ADHD-related deaths occur</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Health Care Complaints Commission (HCCC) — independent investigatory body</w:t>
            </w:r>
          </w:p>
        </w:tc>
      </w:tr>
      <w:tr>
        <w:tc>
          <w:tcPr>
            <w:tcBorders>
              <w:top w:val="none" w:color="FFFFFF" w:sz="0"/>
              <w:left w:val="single" w:color="2C3E50" w:sz="8"/>
              <w:bottom w:val="single" w:color="2C3E50" w:sz="8"/>
              <w:right w:val="single" w:color="2C3E50" w:sz="8"/>
            </w:tcBorders>
            <w:shd w:fill="ECF0F1"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1.1 The NSW Authority Prescribing Requirement</w:t>
      </w:r>
    </w:p>
    <w:p>
      <w:pPr>
        <w:spacing w:after="80" w:before="80"/>
        <w:jc w:val="both"/>
      </w:pPr>
      <w:r>
        <w:rPr>
          <w:rFonts w:ascii="Arial" w:cs="Arial" w:eastAsia="Arial" w:hAnsi="Arial"/>
          <w:sz w:val="22"/>
          <w:szCs w:val="22"/>
        </w:rPr>
        <w:t xml:space="preserve">The single most important NSW-specific obligation for a GP prescribing ADHD stimulants is the authority requirement. No GP may lawfully prescribe Schedule 8 stimulants for ADHD in NSW without holding a current authority from NSW Health Pharmaceutical Services — or prescribing under an endorsed prescribing arrangement recognised by NSW Health.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Requirement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Detail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Consequence of Non-Compliance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Authority to prescribe S8 stimulants for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GP must hold a current NSW Health authority permit specifically for ADHD stimulant prescribing.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Prescribing without authority is a criminal offence under the Poisons and Therapeutic Goods Act 1966 (NSW). Subject to prosecution, licence suspension, and deregistration.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NSW ADHD Endorsed Prescribing Training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Completion of this training program is the pathway to obtaining GP prescribing authority. Documentation of training completion required.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Failure to complete endorsed training prevents authority issuance. Prescribing before training completion is unlawful.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Authority number on prescription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Every S8 stimulant prescription must include the GP's authority number.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Prescription without authority number may be invalid. Pharmacist may decline to dispense. Record-keeping failure.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Patient-specific authority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Authority is patient-specific — a new authority must be obtained for each patient for whom S8 stimulants are initiated.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Prescribing for a patient without patient-specific authority is unlawful.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Authority renewal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Authorities have renewal requirements. Check current NSW Health STP guidelines for renewal periods and processes.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Lapsed authority = unlawful prescribing if continued beyond expiry.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Record keeping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S8 prescription records must be maintained for the required period under the Regulations. Record the date, patient, medication, dose, quantity, and repeats.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Inadequate records = breach of the Regulations. May be grounds for complaint and disciplinary action.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Quantity and repeat limits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S8 prescriptions must comply with quantity and repeat limits. These are defined in the NSW Health STP guidelines for specific medications.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Exceeding permitted limits is a breach of the Regulations.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authority number is not a formality — it is a legal requirement on every Schedule 8 prescription. Build a clinical habit: check your authority status is current before any S8 prescribing session. Diarise authority renewal at least 6 weeks before expiry.</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If you are taking over prescribing for a patient previously managed by a paediatrician or psychiatrist: you cannot simply continue the prescription under that specialist's authority. You need your own GP prescribing authority. This is one of the most common compliance failures in ADHD shared care.</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1.2 The Regulatory Bodies — What They Do and When They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Body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Role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When They Become Involved in ADHD GP Practice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NSW Health Pharmaceutical Services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Administers S8 authority permit system; monitors prescribing patterns; investigates prescribing anomalies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When a GP prescribes without authority; when prescribing volume is anomalous; when a pharmacist reports a concern; when a patient complaint triggers investigation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Health Care Complaints Commission (HCCC)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Independent body that receives, assesses, and investigates health complaints in NSW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When a patient, family member, pharmacist, or other healthcare provider lodges a formal complaint about ADHD assessment, diagnosis, or prescribing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Medical Council of NSW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Professional conduct body for medical practitioners in NSW; investigates fitness to practice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When HCCC refers a matter; when a serious conduct concern is identified; may impose conditions, suspend, or deregister</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NSW Civil and Administrative Tribunal (NCAT)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Tribunal that hears contested Medical Council decisions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When a practitioner disputes a Medical Council decision; serious conduct hearings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AHPRA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National registration authority; manages registration standards and national complaints framework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When registration or national conduct concerns arise; coordinates with state bodies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Coroner's Court of NSW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Investigates reportable deaths; examines circumstances of deaths in custody, unexpected deaths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When an ADHD patient dies in circumstances related to stimulant medication (cardiac event, overdose, suicide); when a patient on stimulants dies unexpectedly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Police / DPP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Criminal prosecution for offences under the Poisons Act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 cases of deliberate unlawful prescribing, fraud, or drug diversion facilitation</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2. Documentation Mastery — The GP's Primary Defence</w:t>
      </w:r>
    </w:p>
    <w:p>
      <w:pPr>
        <w:spacing w:after="80" w:before="80"/>
        <w:jc w:val="both"/>
      </w:pPr>
      <w:r>
        <w:rPr>
          <w:rFonts w:ascii="Arial" w:cs="Arial" w:eastAsia="Arial" w:hAnsi="Arial"/>
          <w:sz w:val="22"/>
          <w:szCs w:val="22"/>
        </w:rPr>
        <w:t xml:space="preserve">Medical documentation in ADHD practice serves three simultaneous purposes: it is a clinical tool (recording what you found and what you decided), a communication instrument (informing other providers), and a legal record (demonstrating that you met the professional standard). These three purposes must always be satisfied simultaneously.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Key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DOCUMENTATION STANDARD TEST: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Before finalising any ADHD consultation note, ask yourself:</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'If I were called before the Medical Council of NSW or the HCCC in 12 months to defend this clinical decision — could my note carry the case alone, without my verbal explanation?'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If the answer is no — the documentation is inadequate.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note must demonstrate: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1. The clinical reasoning that led to the diagnosis or prescribing decision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2. The evidence on which that reasoning was based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3. The patient was appropriately informed and consented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4. Safety risks were identified, assessed, and documented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5. The monitoring plan was established and followed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 note that says 'ADHD — continue Vyvanse 50mg' is not a clinical record. It is a billing entry. They are not the same thing.</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2.1 The Seven Documentation Domains in ADHD Practice</w:t>
      </w:r>
    </w:p>
    <w:p>
      <w:pPr>
        <w:spacing w:after="80" w:before="80"/>
        <w:jc w:val="both"/>
      </w:pPr>
      <w:r>
        <w:rPr>
          <w:rFonts w:ascii="Arial" w:cs="Arial" w:eastAsia="Arial" w:hAnsi="Arial"/>
          <w:sz w:val="22"/>
          <w:szCs w:val="22"/>
        </w:rPr>
        <w:t xml:space="preserve">Every significant ADHD consultation should address the following seven documentation domains. Not every domain requires extensive documentation at every review — but each must be actively considered and its status recorded.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Domain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Required Content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Minimum Standard at Each Review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Diagnosis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DSM-5 criteria mapped; developmental history; functional impairment; collateral evidence; differentials addressed; diagnostic confidence level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 initiation: full formulation. At review: 'ADHD diagnosis confirmed; presentation consistent with established pattern.'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 Symptom status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Current symptom severity; response to treatment; functional outcomes in key domains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rates ADHD symptom control [1-10]. Work functioning [improved/unchanged/deteriorated]. [Specific example from patient].'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 Medication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Medication, dose, formulation; rationale for this agent; titration history; response; any dose changes and why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'[Medication] [dose] — initiated [date]. Current dose optimal: symptoms well-controlled, no significant adverse effects.'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 Safety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Cardiovascular monitoring; diversion risk; substance use; driving; mental health; suicidality; pregnancy status (women)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Abbreviated at stable review: 'BP [X/X], HR [X]. No cardiovascular concerns. Diversion screen — no concerns. [Any new safety issues].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 Adverse effects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Current adverse effects; management attempted; outcome; patient's own report of adverse effects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 new adverse effects reported. [Appetite/sleep/mood/other] — [status].'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 Consent and patient information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informed of diagnosis; treatment options; risks/benefits; S8 nature; monitoring requirements; driving implications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 initiation: full consent documented. At review: 'Patient continues to consent to current treatment. Questions answered.'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7. Plan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Next actions; review date; referrals outstanding; authority prescription status; any escalation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'Continue [medication] [dose]. Review in [interval]. Authority current. [Referral status].'</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2.2 Documentation Scale — From Excellent to Dangerous</w:t>
      </w:r>
    </w:p>
    <w:p>
      <w:pPr>
        <w:spacing w:after="80" w:before="80"/>
        <w:jc w:val="both"/>
      </w:pPr>
      <w:r>
        <w:rPr>
          <w:rFonts w:ascii="Arial" w:cs="Arial" w:eastAsia="Arial" w:hAnsi="Arial"/>
          <w:sz w:val="22"/>
          <w:szCs w:val="22"/>
        </w:rPr>
        <w:t xml:space="preserve">The following examples illustrate a spectrum of documentation quality for the same clinical scenario: a 35-year-old patient with established ADHD on lisdexamfetamine 50mg attending for a routine 3-monthly review.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Gold-Standard Documentation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GOLD STANDARD — 3-MONTHLY ADHD MEDICATION REVIEW</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Date: [DATE] | Duration: 20 min | Reason: ADHD medication review</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SYMPTOM STATUS: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Patient reports good symptom control on current dose. 'About 75% better than before medication.' Specific improvements: completing work reports on time for past 6 weeks; no late arrivals to work in past month. RSD episodes reduced in frequency — still present but less intense.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ASRS self-rating today: 12/24 (was 19/24 at initiation). Functional improvement confirmed.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MEDICATION: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Lisdexamfetamine 50mg — dose optimised, no change today.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Patient confirms consistent morning dosing before 8am. Dose timing reviewed — no adjustment needed.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ADVERSE EFFECTS: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Appetite: mild reduction at lunchtime — managing with high-calorie breakfast and evening meal. Weight today: 71kg (was 72kg at initiation — stable, within acceptable range).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Sleep: onset approximately 11pm (improved from 1am at initiation). Morning wake 6:30am. No stimulant rebound.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Mood: stable. No anxiety worsening. No mood elevation. No depressive symptoms.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SAFETY: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BP 122/76 (right arm, seated). HR 74. No cardiovascular symptoms.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Substance use: alcohol occasional (1–2 standard drinks/week) — no concerns.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Driving: no incidents or infringements since last review. Patient confirms medication taken before driving.</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Diversion screen: medication used by patient only; stored securely at home; no sharing.</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Mental health: no suicidal ideation. Mood stable. No psychiatric concerns.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REFERRALS AND ALLIED HEALTH:</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Psychology (Dr [Name]): attended 4 of 6 MHCP sessions. CBT-ADHD progressing well. 2 sessions remaining.</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Exercise: 3 x 30-min morning runs/week — maintained.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AUTHORITY: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NSW S8 authority current — number [XXXX]. Next renewal due: [DATE].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PLAN: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Continue lisdexamfetamine 50mg daily. No dose change.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Script issued: 30-day supply, 2 repeats.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Next review: 3 months [DATE] — standard review.</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Annual comprehensive review due: [DATE] — schedule extended appointment.</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p>
      <w:pPr>
        <w:spacing w:after="80" w:before="80"/>
        <w:jc w:val="both"/>
      </w:pPr>
      <w:r>
        <w:rPr>
          <w:rFonts w:ascii="Arial" w:cs="Arial" w:eastAsia="Arial" w:hAnsi="Arial"/>
          <w:sz w:val="22"/>
          <w:szCs w:val="22"/>
        </w:rPr>
        <w:t xml:space="preserve">Now compare the above with three progressively inadequate examples: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Poor Documentation — Avoid</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POOR DOCUMENTATION LEVEL 1 — Minimal but dangerous:</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ADHD review. Continue Vyvanse 50mg. BP 125/80. Script given.</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PROBLEMS: No symptom status documented. No adverse effect review. No safety assessment. No diversion screen. No mental health assessment. No plan or review date. No authority number. Would not survive HPCA review.</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Poor Documentation — Avoid</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POOR DOCUMENTATION LEVEL 2 — Appears adequate but is not: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ADHD stable. Medication working well. No side effects. Driving fine. Continue Vyvanse 50mg. Review 3/12.</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PROBLEMS: 'Stable' and 'working well' are vague conclusions without evidence. 'No side effects' — were they specifically asked about? Were they named and screened? 'Driving fine' — was a driving assessment conducted or is this the patient's claim? No objective data (BP, HR, weight). Passes a quick glance but fails close scrutiny.</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Poor Documentation — Avoid</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POOR DOCUMENTATION LEVEL 3 — Actively misleading shorthand:</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S8 review — ADHD, Vyvanse, ongoing. ✓</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PROBLEMS: This is a billing marker, not a clinical record. It documents nothing about the patient's clinical status, safety, or the GP's clinical reasoning. In a complaint scenario, this note would be deeply damaging — it suggests the review was not conducted.</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2.3 The Diagnosis Note — What Must Be There</w:t>
      </w:r>
    </w:p>
    <w:p>
      <w:pPr>
        <w:spacing w:after="80" w:before="80"/>
        <w:jc w:val="both"/>
      </w:pPr>
      <w:r>
        <w:rPr>
          <w:rFonts w:ascii="Arial" w:cs="Arial" w:eastAsia="Arial" w:hAnsi="Arial"/>
          <w:sz w:val="22"/>
          <w:szCs w:val="22"/>
        </w:rPr>
        <w:t xml:space="preserve">The initial diagnostic consultation note is the most important document in the entire ADHD clinical record. It is the foundation upon which all subsequent prescribing rests. It must be comprehensive, structured, and able to stand alone.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Element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Must Be Documented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Common Omissions That Create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Presenting concern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Why is the patient presenting? Who initiated assessment? What is the clinical question?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Failing to document who raised ADHD — patient self-referral vs GP-initiated raises different risk profiles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 domains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 least the two inattentive and hyperactive/impulsive symptom clusters addressed with specific patient examples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Relying on rating scale results without documenting any specific examples from interview — violates AADPA 2.1.4</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Developmental history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Childhood evidence: school reports, parental recall, patient's account of childhood difficulties. Onset before age 12 explicitly addressed.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reports childhood difficulties' without specific developmental evidence. No school reports referenced.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Functional impairment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Each impairment domain addressed: work, study, relationships, finances, driving, emotional regulation, sleep, health management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'Functional impairment present' without naming specific domains and providing specific examples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Collateral evidence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Who provided collateral? What did they report? Concordant or discordant?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 collateral documented — or collateral mentioned but not summarised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Physical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BP, HR, height, weight, cardiovascular history, medications, pregnancy status (women), substance use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'Physical examination normal' without specific cardiovascular parameters documented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Rating scales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Which scales used? Scores? 'Adjunct only' caveat?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Scale scores recorded as if they are the diagnosis — violates AADPA CCR 2.1.4</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Differential diagnoses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Each differential considered, named, and addressed with reasoning. Why ADHD is a better explanation than each alternative.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 other diagnoses' without named differentials addressed — this is the most commonly omitted element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Diagnostic formulation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The synthesised clinical statement: 'Based on the above evidence, I diagnose...' with confidence level.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 formulation statement — symptoms documented but no diagnostic synthesis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the patient was told; treatment options discussed; risks/benefits; S8 explained; agreement to monitoring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'Medication explained' without specifying what was explained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Plan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Medication, dose, authority, follow-up, referrals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'Commence Vyvanse 20mg' without any of the contextual elements</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3. Informed Consent in ADHD Practice</w:t>
      </w:r>
    </w:p>
    <w:p>
      <w:pPr>
        <w:spacing w:after="80" w:before="80"/>
        <w:jc w:val="both"/>
      </w:pPr>
      <w:r>
        <w:rPr>
          <w:rFonts w:ascii="Arial" w:cs="Arial" w:eastAsia="Arial" w:hAnsi="Arial"/>
          <w:sz w:val="22"/>
          <w:szCs w:val="22"/>
        </w:rPr>
        <w:t xml:space="preserve">Informed consent in ADHD pharmacotherapy is not a signature on a form — it is a documented clinical process demonstrating that the patient received sufficient information to make an autonomous decision about treatment, understood that information, and freely agreed to proceed. The signature is evidence of the process, not a substitute for it.</w:t>
      </w:r>
    </w:p>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3.1 The Components of Valid Informed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Component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It Requires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 Standard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Information — diagnosis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understands the diagnosis of ADHD; what it means; what it does not mean. The neurobiological explanation provided.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'Diagnosis of ADHD [subtype] explained. Neurobiological basis discussed. Patient's questions answered: [summary].'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Information — treatment options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All relevant treatment options discussed: stimulant medication, non-stimulant medication, non-pharmacological approaches, combined approach, no treatment. Benefits and limitations of each.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'Treatment options discussed: stimulant medication, non-stimulant, psychological approaches, no treatment. Patient chose [option] because [reason].'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Information — S8 nature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understands the medication is a Schedule 8 controlled substance. Storage requirements. Legal obligations not to share or sell.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'Schedule 8 nature explained. Safe storage discussed. Patient confirms medication will be for their use only.'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Information — risks and adverse effects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Specific adverse effects discussed: appetite, sleep, cardiovascular, mood, rebound. Rare serious effects: psychosis, mania. When to seek urgent care.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'Adverse effects discussed: [list]. Rare serious effects including psychosis/mania explained. Patient instructed to contact if [red flags].'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Information — monitoring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Ongoing monitoring requirements: BP, HR, weight, medication review appointments, annual comprehensive review.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'Monitoring plan explained. Patient agrees to: [specific monitoring elements].'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Information — driving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and driving safety discussed. Medication effect on driving discussed. Any current driving concerns addressed.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'Driving discussed: ADHD treatment improves driving safety. No current driving concerns.'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Information — diversion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Medication is not to be shared or sold. Safe storage. What to do if medication is lost or stolen.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'Diversion risk discussed. Patient confirms medication for personal use only. Stimulant Agreement signed.'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Capacity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has capacity to consent: understands information, can retain it, can weigh it, can communicate a decision.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For most adults: capacity is presumed and need only be documented if there is reason to question it. Note if capacity assessed specifically.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Voluntariness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Decision made freely, without coercion. Patient's choice — not driven by employer, insurer, or third-party demand.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Generally implicit. Document if any concern about external pressure.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Agreement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agrees to treatment and to the conditions of treatment (monitoring, stimulant agreement).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consents to [treatment]. Stimulant Agreement signed and copy provided.'</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3.2 Consent in Adolescents</w:t>
      </w:r>
    </w:p>
    <w:p>
      <w:pPr>
        <w:spacing w:after="80" w:before="80"/>
        <w:jc w:val="both"/>
      </w:pPr>
      <w:r>
        <w:rPr>
          <w:rFonts w:ascii="Arial" w:cs="Arial" w:eastAsia="Arial" w:hAnsi="Arial"/>
          <w:sz w:val="22"/>
          <w:szCs w:val="22"/>
        </w:rPr>
        <w:t xml:space="preserve">Consent for ADHD assessment and treatment in adolescents requires careful navigation of the competing rights and interests of the young person, their parents or carers, and the legal framework. The Gillick competence principle applies in Australian law.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Scenario</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Legal and Clinical Standard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Practical Guidance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 under 14 years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Parental/guardian consent required. Child's assent should be sought where developmentally appropriate (AADPA CPP 2.1.8).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Consent from parent/carer. Explain diagnosis and treatment to child in age-appropriate language. Document child's assent if provided.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14–17 years —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'Mature minor' principle: if the adolescent demonstrates sufficient maturity and understanding (Gillick competence), they may consent to their own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 Gillick competence. Document your assessment. If competent: adolescent's own consent is legally sufficient. If not: parental consent required. In practice: involve parents wherever possible and appropriate.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14–17 years — S8 medication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S8 stimulant prescription: parental consent required in addition to adolescent assent as a clinical safety standard, regardless of Gillick competence.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Parental consent + adolescent assent for S8 prescription. Document both. Stimulant Agreement signed by parent/carer.</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requesting confidentiality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may not want parents informed of diagnosis or treatment. Gillick-competent adolescent has a right to confidentiality unless safety is at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Balance confidentiality against safety. 'I will keep our conversations confidential unless I am worried about your safety.' Document the confidentiality discussion and your clinical reasoning.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refusing medication when parent wants it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The Gillick-competent adolescent's refusal of treatment should be respected, even if parents consent. Parent cannot override a competent adolescent's informed refusal.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the adolescent's informed refusal. Explain options. Do not prescribe medication to an adolescent who refuses it, regardless of parental pressure.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18 years — adult consent applies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Standard adult informed consent.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Full adult consent process. Parents are no longer automatically entitled to information about their adult child's healthcare.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Gillick competence assessment is a clinical judgment, not a legal test that requires formal administration. Ask yourself: 'Does this young person understand the nature of the proposed treatment, its benefits and risks, and the consequences of accepting or refusing it — sufficiently to make an informed decision?' Document your assessment.</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In ADHD practice: many adolescents are ambivalent about diagnosis and medication. Respect their ambivalence. The adolescent who receives a diagnosis they feel was imposed on them will not take the medication. Therapeutic alliance with the adolescent — not just the parents — produces better clinical outcomes and is the correct ethical position.</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3.3 Consent Documentation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Gold-Standard Documentation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ADHD PHARMACOTHERAPY — INFORMED CONSENT DOCUMENTATION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Date: [DATE] | Patient: [NAME] | DOB: [DATE]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DIAGNOSIS COMMUNICATED: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Diagnosis of ADHD, [Subtype], [Severity] discussed with patient [and parent/carer: NAME, relationship].</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Patient's understanding confirmed: [patient's words summarising their understanding].</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Questions answered: [summary of patient's questions and responses provided].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TREATMENT OPTIONS DISCUSSED: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Stimulant medication (lisdexamfetamine / methylphenidate) — benefits, adverse effects, S8 nature explained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Non-stimulant medication (atomoxetine / guanfacine) — benefits, adverse effects explained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Non-pharmacological approaches (CBT-ADHD, lifestyle, coaching) — explained as adjunct, not replacement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Combined pharmacological and non-pharmacological — recommended approach explained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No treatment — consequences of untreated ADHD discussed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Patient's decision: [chosen treatment and stated reason].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SPECIFIC INFORMATION PROVIDED FOR [MEDICATION]: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Mechanism — 'helps your brain regulate dopamine and noradrenaline' — explained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Expected benefits — [list]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Adverse effects discussed: appetite suppression, sleep onset effects, cardiovascular (mild BP/HR increase), mood effects, rebound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Rare serious effects: psychotic symptoms, mania — patient instructed to present urgently if these occur</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Schedule 8 nature — controlled substance, not to be shared or sold, safe storage required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Monitoring requirements — BP, HR, weight, review appointments explained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Driving — ADHD treatment improves driving safety; do not drive if adverse effects impair function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STIMULANT AGREEMENT: Signed by patient [and parent/carer]. Copy provided to patient. Copy filed.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NSW S8 AUTHORITY: Number [XXXX]. Prescription issued: [Medication] [Dose], [Quantity], [Repeats].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PATIENT DECISION: Patient [freely] consents to [treatment]. Decision appears voluntary and well-informed.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GP: _____________ | Date: _____________</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4. Risk Assessment Documentation in ADHD Practice</w:t>
      </w:r>
    </w:p>
    <w:p>
      <w:pPr>
        <w:spacing w:after="80" w:before="80"/>
        <w:jc w:val="both"/>
      </w:pPr>
      <w:r>
        <w:rPr>
          <w:rFonts w:ascii="Arial" w:cs="Arial" w:eastAsia="Arial" w:hAnsi="Arial"/>
          <w:sz w:val="22"/>
          <w:szCs w:val="22"/>
        </w:rPr>
        <w:t xml:space="preserve">Risk documentation in ADHD practice encompasses multiple distinct risk domains — each requiring explicit clinical assessment and documentation. The GP who only documents diagnosis and medication, without documenting risk, has documented a prescription, not a clinical encounter.</w:t>
      </w:r>
    </w:p>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4.1 The Risk Documentation Framework — Five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Risk Domain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to Assess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 Standard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Red Flag Requiring Escalation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Cardiovascular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BP and HR at every visit; cardiac history; family history of sudden death &lt;40 years; symptoms (palpitations, chest pain, syncope on exertion)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'BP [X/X] HR [X]. No cardiovascular symptoms. No cardiac history.' OR specify findings and actions.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BP consistently elevated; HR &gt;100; cardiac symptoms; family history sudden death &lt;40 — cardiology referral documented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Diversion and misuse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using medication as prescribed? Stored safely? Not sharing? Evidence of dose escalation requests? Household SUD members?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'Medication used by patient only — confirmed. Stored securely. No sharing. No concerns about diversion.'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Repeated loss of medication; specific request for IR formulation; evidence of selling; household SUD members with access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Suicide and self-harm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Active suicidal ideation? History of self-harm? Current mood state? Any change since last visit?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 suicidal ideation. Mood stable.' OR 'Patient reports [specific concern] — managed as follows: [actions].'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Any suicidal ideation or self-harm — full risk assessment; safety plan; escalation documented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Substance use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Alcohol use (AUDIT-C); cannabis; other substances; self-medication pattern; interaction with stimulants?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'Alcohol: [frequency/amount — AUDIT-C score]. Cannabis: [yes/no, frequency]. No other substances.' OR specify and manage.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Active SUD — document management; consider non-stimulant; liaise with AOD services; detailed SUD + ADHD management plan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Driving safety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Any incidents, infringements, or near-misses? Medication taken before driving? Fatigue or sleep affecting driving? Any guanfacine sedation concerns?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'Driving discussed: no incidents/infringements. Medication taken before driving. No concerns.' OR specify and document advice.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Multiple at-fault incidents; licence suspension; driving while impaired by ADHD symptoms — document fitness-to-drive advice and any mandatory reporting consideration</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4.2 Diversion Risk — The Structured Assessment</w:t>
      </w:r>
    </w:p>
    <w:p>
      <w:pPr>
        <w:spacing w:after="80" w:before="80"/>
        <w:jc w:val="both"/>
      </w:pPr>
      <w:r>
        <w:rPr>
          <w:rFonts w:ascii="Arial" w:cs="Arial" w:eastAsia="Arial" w:hAnsi="Arial"/>
          <w:sz w:val="22"/>
          <w:szCs w:val="22"/>
        </w:rPr>
        <w:t xml:space="preserve">Diversion risk assessment must occur at every ADHD review involving Schedule 8 stimulants. It is not optional, and it must be documented explicitly. A GP who cannot demonstrate that diversion risk was assessed at each prescribing encounter is in a significantly vulnerable position in any complaint or audit.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Consultation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60" w:before="60"/>
              <w:ind w:left="720"/>
            </w:pPr>
            <w:r>
              <w:rPr>
                <w:rFonts w:ascii="Arial" w:cs="Arial" w:eastAsia="Arial" w:hAnsi="Arial"/>
                <w:b/>
                <w:bCs/>
                <w:color w:val="0F6E56"/>
                <w:sz w:val="22"/>
                <w:szCs w:val="22"/>
              </w:rPr>
              <w:t xml:space="preserve">GP: </w:t>
            </w:r>
            <w:r>
              <w:rPr>
                <w:rFonts w:ascii="Arial" w:cs="Arial" w:eastAsia="Arial" w:hAnsi="Arial"/>
                <w:i/>
                <w:iCs/>
                <w:color w:val="444441"/>
                <w:sz w:val="22"/>
                <w:szCs w:val="22"/>
              </w:rPr>
              <w:t xml:space="preserve">'I ask everyone on Schedule 8 medication these questions — it's part of my routine safe prescribing, not anything specific to you. Is [medication] being taken only by you?'</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60" w:before="60"/>
              <w:ind w:left="720"/>
            </w:pPr>
            <w:r>
              <w:rPr>
                <w:rFonts w:ascii="Arial" w:cs="Arial" w:eastAsia="Arial" w:hAnsi="Arial"/>
                <w:b/>
                <w:bCs/>
                <w:color w:val="0F6E56"/>
                <w:sz w:val="22"/>
                <w:szCs w:val="22"/>
              </w:rPr>
              <w:t xml:space="preserve">GP: </w:t>
            </w:r>
            <w:r>
              <w:rPr>
                <w:rFonts w:ascii="Arial" w:cs="Arial" w:eastAsia="Arial" w:hAnsi="Arial"/>
                <w:i/>
                <w:iCs/>
                <w:color w:val="444441"/>
                <w:sz w:val="22"/>
                <w:szCs w:val="22"/>
              </w:rPr>
              <w:t xml:space="preserve">'Is it stored safely at home — away from others who might access it?'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60" w:before="60"/>
              <w:ind w:left="720"/>
            </w:pPr>
            <w:r>
              <w:rPr>
                <w:rFonts w:ascii="Arial" w:cs="Arial" w:eastAsia="Arial" w:hAnsi="Arial"/>
                <w:b/>
                <w:bCs/>
                <w:color w:val="0F6E56"/>
                <w:sz w:val="22"/>
                <w:szCs w:val="22"/>
              </w:rPr>
              <w:t xml:space="preserve">GP: </w:t>
            </w:r>
            <w:r>
              <w:rPr>
                <w:rFonts w:ascii="Arial" w:cs="Arial" w:eastAsia="Arial" w:hAnsi="Arial"/>
                <w:i/>
                <w:iCs/>
                <w:color w:val="444441"/>
                <w:sz w:val="22"/>
                <w:szCs w:val="22"/>
              </w:rPr>
              <w:t xml:space="preserve">'Has any been lost, stolen, or given to anyone else since we last met?'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60" w:before="60"/>
              <w:ind w:left="720"/>
            </w:pPr>
            <w:r>
              <w:rPr>
                <w:rFonts w:ascii="Arial" w:cs="Arial" w:eastAsia="Arial" w:hAnsi="Arial"/>
                <w:b/>
                <w:bCs/>
                <w:color w:val="0F6E56"/>
                <w:sz w:val="22"/>
                <w:szCs w:val="22"/>
              </w:rPr>
              <w:t xml:space="preserve">GP: </w:t>
            </w:r>
            <w:r>
              <w:rPr>
                <w:rFonts w:ascii="Arial" w:cs="Arial" w:eastAsia="Arial" w:hAnsi="Arial"/>
                <w:i/>
                <w:iCs/>
                <w:color w:val="444441"/>
                <w:sz w:val="22"/>
                <w:szCs w:val="22"/>
              </w:rPr>
              <w:t xml:space="preserve">'Have you had any requests from anyone to share or sell it?'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ind w:left="720"/>
            </w:pPr>
            <w:r>
              <w:rPr>
                <w:rFonts w:ascii="Arial" w:cs="Arial" w:eastAsia="Arial" w:hAnsi="Arial"/>
                <w:i/>
                <w:iCs/>
                <w:color w:val="666666"/>
                <w:sz w:val="20"/>
                <w:szCs w:val="20"/>
              </w:rPr>
              <w:t xml:space="preserve">[If any positive response: explore further. Document specific findings. Consider: shorterscript supply; switch to LDX if not already; referral if complex SUD context.]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60" w:before="60"/>
              <w:ind w:left="720"/>
            </w:pPr>
            <w:r>
              <w:rPr>
                <w:rFonts w:ascii="Arial" w:cs="Arial" w:eastAsia="Arial" w:hAnsi="Arial"/>
                <w:b/>
                <w:bCs/>
                <w:color w:val="0F6E56"/>
                <w:sz w:val="22"/>
                <w:szCs w:val="22"/>
              </w:rPr>
              <w:t xml:space="preserve">GP: </w:t>
            </w:r>
            <w:r>
              <w:rPr>
                <w:rFonts w:ascii="Arial" w:cs="Arial" w:eastAsia="Arial" w:hAnsi="Arial"/>
                <w:i/>
                <w:iCs/>
                <w:color w:val="444441"/>
                <w:sz w:val="22"/>
                <w:szCs w:val="22"/>
              </w:rPr>
              <w:t xml:space="preserve">'If medication is ever lost or stolen, please contact me and report it to police before I can consider a replacement prescription. That's the requirement under NSW law.'</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Diversion Risk Level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Signs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Prescribing Response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Low — routine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 concerns on structured screen. Consistent use pattern. Stable dose. Appropriate formulation.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Continue current prescription. Standard supply intervals.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'Diversion screen — no concerns.'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Moderate — watch closely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Occasional reported loss; IR formulation preference without clear clinical reason; household SUD member present; escalating dose requests not supported by clinical rationale.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Switch to LDX if not already. Reduce supply interval. Review more frequently. Consider urine drug screen.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'Moderate diversion concern — [specific reasons]. Switched to LDX. Supply reduced to [interval]. Review in [time]. Patient counselled re: S8 obligations.'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High — immediate action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Repeated medication loss; evidence of selling or sharing; positive urine drug screen for substances not prescribed; pharmacist concern raised; patient admits misuse.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Cease prescribing OR severely restrict. Refer to addiction medicine. Notify NSW Health Pharmaceutical Services if required. Document thoroughly.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'High diversion concern — [specific evidence]. Prescribing ceased/restricted — [clinical reasoning]. NSW Pharmaceutical Services notified. Patient counselled. Referral to [service].'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Confirmed diversion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or third party confirms medication being sold, diverted, or misused.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Cease prescribing immediately. Report to NSW Health Pharmaceutical Services. Document thoroughly. Consider patient safety — withdrawal is not a concern with stimulants but emotional reaction may be.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Full clinical note documenting evidence, decisions, notifications, and safety planning.</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4.3 Child Protection and Mandatory Reporting</w:t>
      </w:r>
    </w:p>
    <w:p>
      <w:pPr>
        <w:spacing w:after="80" w:before="80"/>
        <w:jc w:val="both"/>
      </w:pPr>
      <w:r>
        <w:rPr>
          <w:rFonts w:ascii="Arial" w:cs="Arial" w:eastAsia="Arial" w:hAnsi="Arial"/>
          <w:sz w:val="22"/>
          <w:szCs w:val="22"/>
        </w:rPr>
        <w:t xml:space="preserve">ADHD assessment frequently involves children in complex family circumstances — domestic violence, parental mental illness, parental SUD, neglect, or chaotic home environments. GPs have mandatory reporting obligations under NSW child protection legislation that apply during ADHD clinical encounters.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8"/>
              <w:left w:val="single" w:color="2C3E50" w:sz="8"/>
              <w:bottom w:val="single" w:color="2C3E50" w:sz="8"/>
              <w:right w:val="single" w:color="2C3E50" w:sz="8"/>
            </w:tcBorders>
            <w:shd w:fill="ECF0F1" w:val="clear"/>
            <w:tcMar>
              <w:top w:type="dxa" w:w="100"/>
              <w:left w:type="dxa" w:w="200"/>
              <w:bottom w:type="dxa" w:w="40"/>
              <w:right w:type="dxa" w:w="200"/>
            </w:tcMar>
          </w:tcPr>
          <w:p>
            <w:pPr>
              <w:spacing w:after="40" w:before="40"/>
            </w:pPr>
            <w:r>
              <w:rPr>
                <w:rFonts w:ascii="Arial" w:cs="Arial" w:eastAsia="Arial" w:hAnsi="Arial"/>
                <w:b/>
                <w:bCs/>
                <w:color w:val="2C3E50"/>
                <w:sz w:val="22"/>
                <w:szCs w:val="22"/>
              </w:rPr>
              <w:t xml:space="preserve">🏛️  Law &amp; Regulation</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NSW MANDATORY REPORTING — RELEVANT LEGISLATION:</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Children and Young Persons (Care and Protection) Act 1998 (NSW), Section 27:</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A person who, in the course of their professional work, delivers services to children and young people MUST report if they have reasonable grounds to suspect that a child is at risk of significant harm.</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Schedule 8 stimulants and child protection intersection:</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A child's stimulant medication may be accessed by a parent/carer with SUD — document storage and access risk</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A parent with untreated ADHD or SUD may be unable to safely administer or supervise medication</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 ADHD assessment may reveal domestic violence, neglect, or chaotic environment that constitutes child protection concern</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The reporting threshold is 'reasonable grounds to SUSPECT' — not 'reasonable grounds to be CERTAIN'.</w:t>
            </w:r>
          </w:p>
        </w:tc>
      </w:tr>
      <w:tr>
        <w:tc>
          <w:tcPr>
            <w:tcBorders>
              <w:top w:val="none" w:color="FFFFFF" w:sz="0"/>
              <w:left w:val="single" w:color="2C3E50" w:sz="8"/>
              <w:bottom w:val="none" w:color="FFFFFF" w:sz="0"/>
              <w:right w:val="single" w:color="2C3E50" w:sz="8"/>
            </w:tcBorders>
            <w:shd w:fill="ECF0F1" w:val="clear"/>
            <w:tcMar>
              <w:top w:type="dxa" w:w="80"/>
              <w:left w:type="dxa" w:w="200"/>
              <w:bottom w:type="dxa" w:w="80"/>
              <w:right w:type="dxa" w:w="200"/>
            </w:tcMar>
          </w:tcPr>
          <w:p>
            <w:pPr>
              <w:spacing w:after="40" w:before="40"/>
            </w:pPr>
            <w:r>
              <w:rPr>
                <w:rFonts w:ascii="Arial" w:cs="Arial" w:eastAsia="Arial" w:hAnsi="Arial"/>
                <w:sz w:val="22"/>
                <w:szCs w:val="22"/>
              </w:rPr>
              <w:t xml:space="preserve">If you suspect — you must report. Document your clinical concern, your reasoning, and your reporting action.</w:t>
            </w:r>
          </w:p>
        </w:tc>
      </w:tr>
      <w:tr>
        <w:tc>
          <w:tcPr>
            <w:tcBorders>
              <w:top w:val="none" w:color="FFFFFF" w:sz="0"/>
              <w:left w:val="single" w:color="2C3E50" w:sz="8"/>
              <w:bottom w:val="single" w:color="2C3E50" w:sz="8"/>
              <w:right w:val="single" w:color="2C3E50" w:sz="8"/>
            </w:tcBorders>
            <w:shd w:fill="ECF0F1"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 Protection Concern in ADHD Practice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Response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Parent or carer with severe SUD accessing child's stimulant medication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 storage safety. If child's medication is being diverted by carer: child protection concern — report to child protection helpline (NSW Child Protection Helpline: 132 111).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concern; storage assessment; report made; date; reference number.</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 presenting with signs of neglect alongside ADHD symptoms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does not cause physical neglect. If neglect signs present: mandatory report.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physical findings; neglect concern; mandatory report made.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Parent discloses domestic violence affecting household with ADHD child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DV in household = child welfare risk. Discuss safety planning. Consider mandatory report if child is at risk of significant harm.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disclosure; safety assessment; DV service referral; mandatory report if threshold met.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assessment reveals chronically chaotic and unsafe home environment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 child's basic needs: food, sleep, supervision, schooling. If significant harm risk: mandatory report.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home environment assessment; specific concerns; actions taken.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with ADHD disclosing abuse or self-harm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Confidentiality is limited by safety. If the adolescent is at risk of significant harm: mandatory report regardless of confidentiality.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disclosure; safety assessment; mandatory report; patient informed.</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5. Telehealth ADHD Assessment and Prescribing — Specific Risks</w:t>
      </w:r>
    </w:p>
    <w:p>
      <w:pPr>
        <w:spacing w:after="80" w:before="80"/>
        <w:jc w:val="both"/>
      </w:pPr>
      <w:r>
        <w:rPr>
          <w:rFonts w:ascii="Arial" w:cs="Arial" w:eastAsia="Arial" w:hAnsi="Arial"/>
          <w:sz w:val="22"/>
          <w:szCs w:val="22"/>
        </w:rPr>
        <w:t xml:space="preserve">Telehealth has expanded access to ADHD assessment and management significantly. However, it introduces specific clinical and medicolegal risks that must be explicitly understood and managed. A GP conducting telehealth ADHD assessment or prescribing carries the same legal obligations as in face-to-face practice — but with additional vulnerabilities.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Telehealth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and Medicolegal Concern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Required Mitigation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Physical examination cannot be conducted remotely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Baseline BP and HR cannot be measured. Height and weight cannot be obtained. Cardiovascular assessment is incomplete.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explicitly: 'Physical examination unable to be conducted via telehealth. Patient to attend in person for baseline physical assessment before stimulant initiation.' Stimulants should NOT be initiated without at least one in-person assessment including cardiovascular parameters.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Identity verification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identity cannot be confirmed with the same certainty as face-to-face. Risk of someone other than the patient accessing the consultation.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Confirm patient identity: full name, DOB, Medicare number. Video — not phone only — preferred for any S8 prescribing consultation.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environment cannot be assessed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Cannot observe patient's home environment; cannot assess for third parties present who may influence or overhear; cannot assess patient's physical state.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explicitly: 'Are you in a private space? Is there anyone with you?' Document.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Cannot observe non-verbal behaviour fully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Important clinical information from full body posture, physical restlessness, affect, eye contact, involuntary movements — all limited.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limitation: 'Assessment via telehealth — physical observation limited.' For diagnostic assessment: plan in-person consultation.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diagnosis via telehealth alone is high-risk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Conducting a full ADHD diagnostic assessment via telehealth without any in-person contact is substandard. The physical and non-verbal examination is a component of the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 minimum: one in-person assessment as part of the diagnostic process. Telehealth is appropriate for follow-up and review once diagnosis is established.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S8 prescription issued to incorrect recipient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patient identity is not confirmed and medication is prescribed, S8 medication may reach an unauthorised person.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Identity confirmation every telehealth S8 prescribing consultation. Video preferred. Document confirmation.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in a different jurisdiction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is physically located in a different state or territory. NSW S8 authority does not automatically apply in other jurisdictions.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Confirm patient's physical location at start of telehealth consultation. Document. If patient is interstate: check that jurisdiction's S8 prescribing requirements.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Therapeutic relationship cannot be established remotely for new patients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 new patient requesting ADHD assessment and S8 prescribing via telehealth alone — without any prior relationship — is a higher-risk scenario.</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For new patients: in-person assessment required before any S8 initiation. Document this as clinical policy.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Red Flag / Medicolegal Alert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The 'telehealth diagnosis and immediate stimulant prescription' model that proliferated during and after the COVID-19 pandemic has attracted significant regulatory attention in Australia.</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NSW Health and AHPRA have indicated that: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 ADHD diagnosis based solely on telehealth assessment without physical examination is clinically substandard</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 S8 stimulant prescription to a patient who has never been seen in person is a high-risk practice</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 GPs who initiate stimulant prescribing based solely on telehealth assessment without physical examination findings may face regulatory scrutiny</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Standard: at minimum ONE in-person assessment (including cardiovascular examination) before stimulant initiation. Document this explicitly.</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5.1 Telehealth-Specific Documentation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Gold-Standard Documentation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TELEHEALTH ADHD CONSULTATION — DOCUMENTATION STANDARD: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Date: [DATE] | Mode: Telehealth video consultation | Patient location confirmed: [Suburb/State]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IDENTITY CONFIRMED: Full name [X], DOB [X], Medicare number [X] — confirmed by patient verbally on video.</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ENVIRONMENT: Patient confirmed private space. No third parties present during consultation.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PURPOSE: [Review of established ADHD diagnosis / medication review — NOT new diagnostic assessment]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PHYSICAL ASSESSMENT LIMITATION: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Physical examination not conducted via telehealth. [BP/HR — patient provided home monitor reading: X/X, HR X. Patient instructed to attend practice for in-person physical review within [timeframe].] OR [In-person physical assessment conducted on [DATE] — see note. Values current.]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[Continue standard documentation for all other elements — symptom, medication, safety, plan]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PRESCRIBING NOTE: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S8 prescription issued via telehealth. Patient identity confirmed. Authority number [XXXX]. Clinical rationale for telehealth prescribing: [established patient, diagnosis confirmed in person on [DATE], medication stable, no safety concerns identified today].</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6. Complaint Scenarios — Learning from Medicolegal Failures</w:t>
      </w:r>
    </w:p>
    <w:p>
      <w:pPr>
        <w:spacing w:after="80" w:before="80"/>
        <w:jc w:val="both"/>
      </w:pPr>
      <w:r>
        <w:rPr>
          <w:rFonts w:ascii="Arial" w:cs="Arial" w:eastAsia="Arial" w:hAnsi="Arial"/>
          <w:sz w:val="22"/>
          <w:szCs w:val="22"/>
        </w:rPr>
        <w:t xml:space="preserve">The following scenarios are composite constructions based on patterns of ADHD-related complaints and regulatory actions in Australian general practice. Each scenario identifies the failure, explains its medicolegal consequences, and provides the clinical standard that would have prevented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414" w:sz="8"/>
              <w:left w:val="single" w:color="7B1414" w:sz="8"/>
              <w:bottom w:val="single" w:color="7B1414" w:sz="8"/>
              <w:right w:val="single" w:color="7B1414" w:sz="8"/>
            </w:tcBorders>
            <w:shd w:fill="FDEAEA" w:val="clear"/>
            <w:tcMar>
              <w:top w:type="dxa" w:w="100"/>
              <w:left w:type="dxa" w:w="200"/>
              <w:bottom w:type="dxa" w:w="40"/>
              <w:right w:type="dxa" w:w="200"/>
            </w:tcMar>
          </w:tcPr>
          <w:p>
            <w:pPr>
              <w:spacing w:after="40" w:before="40"/>
            </w:pPr>
            <w:r>
              <w:rPr>
                <w:rFonts w:ascii="Arial" w:cs="Arial" w:eastAsia="Arial" w:hAnsi="Arial"/>
                <w:b/>
                <w:bCs/>
                <w:color w:val="7B1414"/>
                <w:sz w:val="22"/>
                <w:szCs w:val="22"/>
              </w:rPr>
              <w:t xml:space="preserve">⚖️  Medicolegal Scenario</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SCENARIO 1 — THE INADEQUATE DIAGNOSIS</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Presentation: A GP diagnoses ADHD in a 32-year-old after a single 20-minute consultation. The note reads: 'Patient with ADHD symptoms since childhood. ASRS 22/24. Commenced Vyvanse 30mg.' A family member lodges a complaint that the patient subsequently developed a hypomanic episode and was admitted to a private psychiatric facility. The admitting psychiatrist concludes the patient has bipolar disorder, not ADHD.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Medicolegal failures identified: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1. Single-appointment diagnosis without developmental history, collateral, or multi-appointment assessment</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2. Diagnosis based primarily on rating scale score — violates AADPA CCR 2.1.4</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3. No bipolar screen documented before stimulant initiation</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4. No differential diagnosis documented — bipolar not considered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5. No physical assessment documented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6. Stimulant initiated without documented consent including psychiatric risk discussion</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What the correct standard required: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Multi-appointment assessment with developmental history and collateral</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Explicit bipolar screen documented before prescribing — particularly given the age group (30s onset often bipolar)</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Rating scale used as adjunct only with full clinical interview</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Differential diagnosis section in note naming bipolar and addressing why it was not the primary diagnosis</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Full consent documentation including rare but serious risk of mood elevation on stimulants</w:t>
            </w:r>
          </w:p>
        </w:tc>
      </w:tr>
      <w:tr>
        <w:tc>
          <w:tcPr>
            <w:tcBorders>
              <w:top w:val="none" w:color="FFFFFF" w:sz="0"/>
              <w:left w:val="single" w:color="7B1414" w:sz="8"/>
              <w:bottom w:val="single" w:color="7B1414" w:sz="8"/>
              <w:right w:val="single" w:color="7B1414" w:sz="8"/>
            </w:tcBorders>
            <w:shd w:fill="FDEAEA"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414" w:sz="8"/>
              <w:left w:val="single" w:color="7B1414" w:sz="8"/>
              <w:bottom w:val="single" w:color="7B1414" w:sz="8"/>
              <w:right w:val="single" w:color="7B1414" w:sz="8"/>
            </w:tcBorders>
            <w:shd w:fill="FDEAEA" w:val="clear"/>
            <w:tcMar>
              <w:top w:type="dxa" w:w="100"/>
              <w:left w:type="dxa" w:w="200"/>
              <w:bottom w:type="dxa" w:w="40"/>
              <w:right w:type="dxa" w:w="200"/>
            </w:tcMar>
          </w:tcPr>
          <w:p>
            <w:pPr>
              <w:spacing w:after="40" w:before="40"/>
            </w:pPr>
            <w:r>
              <w:rPr>
                <w:rFonts w:ascii="Arial" w:cs="Arial" w:eastAsia="Arial" w:hAnsi="Arial"/>
                <w:b/>
                <w:bCs/>
                <w:color w:val="7B1414"/>
                <w:sz w:val="22"/>
                <w:szCs w:val="22"/>
              </w:rPr>
              <w:t xml:space="preserve">⚖️  Medicolegal Scenario</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SCENARIO 2 — THE DIVERSION FAILURE</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Presentation: A pharmacist contacts NSW Health Pharmaceutical Services noting that a 24-year-old male has been presenting to three different pharmacies to fill dexamfetamine prescriptions from a single GP, using different Medicare cards. Investigation reveals the GP has been prescribing dexamfetamine IR 5mg TDS to this patient for 18 months based on a telehealth-only assessment. Review notes show: 'ADHD review. Script given' at every review. No physical assessment ever documented. No diversion screen documented. No rationale for choosing IR dexamfetamine over long-acting alternatives.</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Medicolegal failures identified: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1. S8 stimulant initiation via telehealth alone without in-person physical assessment</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2. Choice of highest-diversion-risk formulation (IR dexamfetamine) without documented rationale</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3. No diversion risk screen at any review over 18 months</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4. Documentation at every review is clinically inadequate ('script given')</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5. No monitoring of BP, HR, weight documented at any point</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6. Three-pharmacy dispensing was not identified because the GP was not monitoring supply</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What the correct standard required: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In-person assessment including physical examination before stimulant initiation</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Choice of LDX preferred when any uncertainty — document rationale if IR chosen</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Explicit diversion screen at every prescribing review, documented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Adequate review notes at every consultation — the seven documentation domains</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Monitoring of cardiovascular parameters at every review</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Real Drugs (SafeScript in NSW equivalent monitoring) awareness</w:t>
            </w:r>
          </w:p>
        </w:tc>
      </w:tr>
      <w:tr>
        <w:tc>
          <w:tcPr>
            <w:tcBorders>
              <w:top w:val="none" w:color="FFFFFF" w:sz="0"/>
              <w:left w:val="single" w:color="7B1414" w:sz="8"/>
              <w:bottom w:val="single" w:color="7B1414" w:sz="8"/>
              <w:right w:val="single" w:color="7B1414" w:sz="8"/>
            </w:tcBorders>
            <w:shd w:fill="FDEAEA"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414" w:sz="8"/>
              <w:left w:val="single" w:color="7B1414" w:sz="8"/>
              <w:bottom w:val="single" w:color="7B1414" w:sz="8"/>
              <w:right w:val="single" w:color="7B1414" w:sz="8"/>
            </w:tcBorders>
            <w:shd w:fill="FDEAEA" w:val="clear"/>
            <w:tcMar>
              <w:top w:type="dxa" w:w="100"/>
              <w:left w:type="dxa" w:w="200"/>
              <w:bottom w:type="dxa" w:w="40"/>
              <w:right w:type="dxa" w:w="200"/>
            </w:tcMar>
          </w:tcPr>
          <w:p>
            <w:pPr>
              <w:spacing w:after="40" w:before="40"/>
            </w:pPr>
            <w:r>
              <w:rPr>
                <w:rFonts w:ascii="Arial" w:cs="Arial" w:eastAsia="Arial" w:hAnsi="Arial"/>
                <w:b/>
                <w:bCs/>
                <w:color w:val="7B1414"/>
                <w:sz w:val="22"/>
                <w:szCs w:val="22"/>
              </w:rPr>
              <w:t xml:space="preserve">⚖️  Medicolegal Scenario</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SCENARIO 3 — THE SCOPE OF PRACTICE FAILURE</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Presentation: A GP without NSW ADHD endorsed prescribing authority begins managing ADHD prescribing for three patients transferred from a retiring paediatrician. The GP continues the prescriptions under the paediatrician's authority number, having been told by the paediatrician's practice manager that 'the authority transfers with the patients.' This is incorrect. NSW Health audits the prescriptions and identifies that the GP's provider number is on the scripts but the authority number belongs to the retired paediatrician.</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Medicolegal failures identified: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1. Prescribing S8 stimulants without a current personal NSW Health authority — unlawful</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2. Using another practitioner's authority number — fraudulent</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3. Failing to verify the legal requirements before accepting prescribing responsibility</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What the correct standard required: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Obtain personal NSW Health authority before accepting ADHD prescribing</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Complete the NSW ADHD Endorsed Prescribing Training course</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Never use another practitioner's authority number</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If authority not yet obtained: refer prescribing to an endorsed colleague while training is completed</w:t>
            </w:r>
          </w:p>
        </w:tc>
      </w:tr>
      <w:tr>
        <w:tc>
          <w:tcPr>
            <w:tcBorders>
              <w:top w:val="none" w:color="FFFFFF" w:sz="0"/>
              <w:left w:val="single" w:color="7B1414" w:sz="8"/>
              <w:bottom w:val="single" w:color="7B1414" w:sz="8"/>
              <w:right w:val="single" w:color="7B1414" w:sz="8"/>
            </w:tcBorders>
            <w:shd w:fill="FDEAEA"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414" w:sz="8"/>
              <w:left w:val="single" w:color="7B1414" w:sz="8"/>
              <w:bottom w:val="single" w:color="7B1414" w:sz="8"/>
              <w:right w:val="single" w:color="7B1414" w:sz="8"/>
            </w:tcBorders>
            <w:shd w:fill="FDEAEA" w:val="clear"/>
            <w:tcMar>
              <w:top w:type="dxa" w:w="100"/>
              <w:left w:type="dxa" w:w="200"/>
              <w:bottom w:type="dxa" w:w="40"/>
              <w:right w:type="dxa" w:w="200"/>
            </w:tcMar>
          </w:tcPr>
          <w:p>
            <w:pPr>
              <w:spacing w:after="40" w:before="40"/>
            </w:pPr>
            <w:r>
              <w:rPr>
                <w:rFonts w:ascii="Arial" w:cs="Arial" w:eastAsia="Arial" w:hAnsi="Arial"/>
                <w:b/>
                <w:bCs/>
                <w:color w:val="7B1414"/>
                <w:sz w:val="22"/>
                <w:szCs w:val="22"/>
              </w:rPr>
              <w:t xml:space="preserve">⚖️  Medicolegal Scenario</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SCENARIO 4 — THE DRIVING FAILURE</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Presentation: A 42-year-old patient with ADHD managed on lisdexamfetamine 50mg is involved in a serious motor vehicle accident with significant injuries to a third party. Investigation reveals the patient had been managing severe ADHD-related driving impairment for years before medication — and the treating GP had never documented a single driving assessment in 3 years of ADHD management. The patient's solicitor argues the GP had a duty to assess and advise on driving fitness. The GP's records show no reference to driving in any consultation note over the treatment period.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Medicolegal failures identified: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1. No driving assessment ever documented in 3 years of ADHD management</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2. No documentation of advice regarding ADHD and driving impairment</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3. No documentation of medication effect on driving discussed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4. In hindsight: the patient had known driving difficulties that the GP was unaware of because they never asked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What the correct standard required: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Driving assessment documented at every ADHD medication review</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Specific questions: incidents, infringements, near-misses, patient's self-assessment of driving</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Documentation that ADHD treatment effect on driving was discussed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If driving concerns identified: specific advice documented; possible referral for driving assessment</w:t>
            </w:r>
          </w:p>
        </w:tc>
      </w:tr>
      <w:tr>
        <w:tc>
          <w:tcPr>
            <w:tcBorders>
              <w:top w:val="none" w:color="FFFFFF" w:sz="0"/>
              <w:left w:val="single" w:color="7B1414" w:sz="8"/>
              <w:bottom w:val="single" w:color="7B1414" w:sz="8"/>
              <w:right w:val="single" w:color="7B1414" w:sz="8"/>
            </w:tcBorders>
            <w:shd w:fill="FDEAEA"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414" w:sz="8"/>
              <w:left w:val="single" w:color="7B1414" w:sz="8"/>
              <w:bottom w:val="single" w:color="7B1414" w:sz="8"/>
              <w:right w:val="single" w:color="7B1414" w:sz="8"/>
            </w:tcBorders>
            <w:shd w:fill="FDEAEA" w:val="clear"/>
            <w:tcMar>
              <w:top w:type="dxa" w:w="100"/>
              <w:left w:type="dxa" w:w="200"/>
              <w:bottom w:type="dxa" w:w="40"/>
              <w:right w:type="dxa" w:w="200"/>
            </w:tcMar>
          </w:tcPr>
          <w:p>
            <w:pPr>
              <w:spacing w:after="40" w:before="40"/>
            </w:pPr>
            <w:r>
              <w:rPr>
                <w:rFonts w:ascii="Arial" w:cs="Arial" w:eastAsia="Arial" w:hAnsi="Arial"/>
                <w:b/>
                <w:bCs/>
                <w:color w:val="7B1414"/>
                <w:sz w:val="22"/>
                <w:szCs w:val="22"/>
              </w:rPr>
              <w:t xml:space="preserve">⚖️  Medicolegal Scenario</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SCENARIO 5 — THE UNDER-DIAGNOSIS FAILURE</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Presentation: A 38-year-old woman presents with her third episode of major depression in 10 years. On this occasion, a new GP takes a comprehensive history and identifies a clear adult ADHD presentation that had been entirely missed across three treating GPs, two psychiatrists, and a psychologist over 15 years. Review of previous notes confirms that no clinician had ever documented consideration of ADHD. The patient's history of treatment-resistant depression, relationship breakdown, two job losses, and severe anxiety — all potentially attributable in part to untreated ADHD — had been managed entirely as isolated comorbid disorders.</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Medicolegal consideration: Under-diagnosis carries its own risk. A GP who sees a woman repeatedly presenting with anxiety, depression, and emotional dysregulation — without ever documenting ADHD consideration — may be found to have provided inadequate clinical assessment.</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The AADPA standard (CPP 1.1.2) is explicit: every woman presenting with anxiety, depression, or emotional dysregulation should have ADHD considered and either screened or the reasoning for not screening documented.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What the correct standard required: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ADHD screening in every woman presenting with anxiety or depression — or explicit documentation of why screening was not indicated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'Possible ADHD considered — screened: ASRS [score]. Assessment findings: [notes]. Clinical conclusion: [ADHD present/absent/deferred]'</w:t>
            </w:r>
          </w:p>
        </w:tc>
      </w:tr>
      <w:tr>
        <w:tc>
          <w:tcPr>
            <w:tcBorders>
              <w:top w:val="none" w:color="FFFFFF" w:sz="0"/>
              <w:left w:val="single" w:color="7B1414" w:sz="8"/>
              <w:bottom w:val="none" w:color="FFFFFF" w:sz="0"/>
              <w:right w:val="single" w:color="7B1414" w:sz="8"/>
            </w:tcBorders>
            <w:shd w:fill="FDEAEA" w:val="clear"/>
            <w:tcMar>
              <w:top w:type="dxa" w:w="80"/>
              <w:left w:type="dxa" w:w="200"/>
              <w:bottom w:type="dxa" w:w="80"/>
              <w:right w:type="dxa" w:w="200"/>
            </w:tcMar>
          </w:tcPr>
          <w:p>
            <w:pPr>
              <w:spacing w:after="40" w:before="40"/>
            </w:pPr>
            <w:r>
              <w:rPr>
                <w:rFonts w:ascii="Arial" w:cs="Arial" w:eastAsia="Arial" w:hAnsi="Arial"/>
                <w:sz w:val="22"/>
                <w:szCs w:val="22"/>
              </w:rPr>
              <w:t xml:space="preserve">  • This takes approximately 5 minutes with the ASRS-v1.1. The failure to screen over 15 years took a significant toll on this patient's life.</w:t>
            </w:r>
          </w:p>
        </w:tc>
      </w:tr>
      <w:tr>
        <w:tc>
          <w:tcPr>
            <w:tcBorders>
              <w:top w:val="none" w:color="FFFFFF" w:sz="0"/>
              <w:left w:val="single" w:color="7B1414" w:sz="8"/>
              <w:bottom w:val="single" w:color="7B1414" w:sz="8"/>
              <w:right w:val="single" w:color="7B1414" w:sz="8"/>
            </w:tcBorders>
            <w:shd w:fill="FDEAEA"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7. Scope of Practice and Shared Care Obligations</w:t>
      </w:r>
    </w:p>
    <w:p>
      <w:pPr>
        <w:pStyle w:val="Heading2"/>
        <w:pBdr>
          <w:bottom w:val="single" w:color="0F6E56" w:sz="4"/>
        </w:pBdr>
        <w:spacing w:after="160" w:before="360"/>
      </w:pPr>
      <w:r>
        <w:rPr>
          <w:rFonts w:ascii="Arial" w:cs="Arial" w:eastAsia="Arial" w:hAnsi="Arial"/>
          <w:b/>
          <w:bCs/>
          <w:color w:val="0F6E56"/>
          <w:sz w:val="28"/>
          <w:szCs w:val="28"/>
        </w:rPr>
        <w:t xml:space="preserve">7.1 The GP Endorsed Prescriber's Scope of Practice</w:t>
      </w:r>
    </w:p>
    <w:p>
      <w:pPr>
        <w:spacing w:after="80" w:before="80"/>
        <w:jc w:val="both"/>
      </w:pPr>
      <w:r>
        <w:rPr>
          <w:rFonts w:ascii="Arial" w:cs="Arial" w:eastAsia="Arial" w:hAnsi="Arial"/>
          <w:sz w:val="22"/>
          <w:szCs w:val="22"/>
        </w:rPr>
        <w:t xml:space="preserve">NSW ADHD endorsed prescribing training confers authority to prescribe S8 stimulants for ADHD. It does not confer unlimited authority. Every GP endorsed prescriber must understand both what they are authorised to do and the boundaries within which that authority operates.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Within Scope — GP Endorsed Prescriber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Outside Scope — Refer or Co-Manage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 Requirement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Diagnosis and management of ADHD in patients ≥6 years with straightforward presentations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Diagnosis in children under 6 years — specialist assessment required (AADPA CPP 5.2.1)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scope decision and referral rationale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Initiation and titration of approved stimulant medications (MPH, LDX, DEX) and non-stimulants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Complex ASD+ADHD with titration difficulties — low threshold for specialist input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complexity and referral decision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Monitoring and ongoing management of established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Confirmed or suspected bipolar disorder with ADHD — mood stabiliser and specialist oversight required before stimulants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bipolar screen; specialist involvement noted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Shared care continuation of specialist-initiated prescribing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Diagnostic uncertainty after thorough assessment — specialist review required before prescribing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uncertainty; referral for clarification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management in patients with comorbidities managed within GP competence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Eating disorder with severe malnutrition — specialist review before stimulants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comorbidity; specialist liaison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Psychoeducation; referral to psychology, ADHD coach, lifestyle interventions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Active psychosis or acute mania — cease stimulants; specialist input required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acute change; management plan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School and workplace liaison letters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 protection assessment — refer to child protection services; document mandatory report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mandatory reporting action</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7.2 Accepting Shared Care — The Obligations</w:t>
      </w:r>
    </w:p>
    <w:p>
      <w:pPr>
        <w:spacing w:after="80" w:before="80"/>
        <w:jc w:val="both"/>
      </w:pPr>
      <w:r>
        <w:rPr>
          <w:rFonts w:ascii="Arial" w:cs="Arial" w:eastAsia="Arial" w:hAnsi="Arial"/>
          <w:sz w:val="22"/>
          <w:szCs w:val="22"/>
        </w:rPr>
        <w:t xml:space="preserve">When a GP accepts transfer of ADHD prescribing from a specialist, they are not simply continuing a prescription — they are accepting clinical responsibility. This transition must be managed proactively and documented thoroughly.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Shared Care Element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GP Obligation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 Standard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Common Error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Obtaining the clinical record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Review and understand the diagnosis, medication history, and monitoring history from the initiating specialist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'Transfer of care received from [Specialist] on [date]. Diagnosis: [ADHD subtype]. Medication: [agent, dose, duration]. Previous monitoring: [summary].'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Simply continuing prescriptions without reading the specialist's documentation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Verifying your own authority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Confirm you hold a current NSW Health authority to prescribe before issuing any S8 prescription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'NSW S8 authority confirmed current — number [XXXX].'</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Assuming the authority transfers with the patient — it does not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Establishing independent monitoring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not rely on specialist's last review. Conduct your own physical assessment: BP, HR, weight, safety screen.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'First GP review completed [date]. Own physical assessment documented.'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Continuing to prescribe based on a specialist review from 12 months ago</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Identifying when to refer back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GP must recognise deterioration, treatment resistance, new psychiatric symptoms, or diagnostic uncertainty requiring specialist input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each decision to continue vs escalate: 'Presentation stable — continue in GP care' OR 'New [concern] — specialist review requested'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Failing to refer back when the clinical complexity exceeds GP scope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Authority prescription renewal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Understand the authority renewal requirements and process. Do not allow lapse.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Authority renewal dates diarised. Documentation of renewal in records.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Authority lapsing and continuing to prescribe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Annual comprehensive review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AADPA CPP 5.9.1 — annual review is mandatory regardless of who initiated prescribing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Annual review note documenting all required elements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Assuming the specialist is doing the annual review when the patient is now in GP care</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8. When a Complaint Is Made — Understanding the Process</w:t>
      </w:r>
    </w:p>
    <w:p>
      <w:pPr>
        <w:spacing w:after="80" w:before="80"/>
        <w:jc w:val="both"/>
      </w:pPr>
      <w:r>
        <w:rPr>
          <w:rFonts w:ascii="Arial" w:cs="Arial" w:eastAsia="Arial" w:hAnsi="Arial"/>
          <w:sz w:val="22"/>
          <w:szCs w:val="22"/>
        </w:rPr>
        <w:t xml:space="preserve">A complaint about ADHD prescribing practice is a serious event — but it is not necessarily the end of a career. Most complaints are resolved without disciplinary action when the GP can demonstrate that they acted within the professional standard. The key to that demonstration is the medical record.</w:t>
      </w:r>
    </w:p>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8.1 The NSW Complaint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Stage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Body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Process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GP Action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Complaint received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HCCC (Health Care Complaints Commission) or directly to Medical Council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Complaint lodged by patient, family, pharmacist, or other clinician. HCCC assesses whether complaint warrants investigation.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NOT contact the complainant directly. Notify your MDO (medical defence organisation) immediately — before doing anything else.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 Notification to practitioner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HCCC or Medical Council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GP notified of complaint and its nature. May be asked to provide a response or records.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Engage MDO legal support. Gather the complete clinical record for the relevant patient. Do not alter or add to records retrospectively.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 Investigation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HCCC / Medical Council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Records reviewed; GP interviewed; expert clinical opinion may be obtained; other witnesses consulted.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Cooperate fully and honestly. Your MDO will guide your response. The quality of your clinical record is your primary evidence.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 Outcome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Medical Council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investigation finds potential professional misconduct or unsatisfactory professional conduct: may proceed to tribunal. If no misconduct: complaint dismissed, may include performance counselling.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referred to tribunal: engage legal representation. Prepare clinical defence based on contemporaneous records.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 NCAT Hearing (if required)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NSW Civil and Administrative Tribunal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Formal tribunal hearing. Findings may include: conditions on registration; suspension; deregistration.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Full legal representation. Clinical record is primary evidence.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Red Flag / Medicolegal Alert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DO NOT ALTER RECORDS AFTER A COMPLAINT.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Retrospective alteration or addition to medical records after a complaint is made — even with good intentions ('I want to clarify what I actually did') — constitutes falsification of medical records. This is a separate and serious offence that will be independently investigated and may be more damaging than the original complaint.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If your contemporaneous documentation is inadequate, you must defend it as it stands — with the support of your MDO. You cannot repair it retrospectively.</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This is the most powerful argument for writing excellent contemporaneous documentation at every consultation.</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8.2 Your Medical Defence Organisation — The First Call</w:t>
      </w:r>
    </w:p>
    <w:p>
      <w:pPr>
        <w:spacing w:after="80" w:before="80"/>
        <w:jc w:val="both"/>
      </w:pPr>
      <w:r>
        <w:rPr>
          <w:rFonts w:ascii="Arial" w:cs="Arial" w:eastAsia="Arial" w:hAnsi="Arial"/>
          <w:sz w:val="22"/>
          <w:szCs w:val="22"/>
        </w:rPr>
        <w:t xml:space="preserve">Every GP prescribing Schedule 8 stimulants must be a current member of a medical defence organisation (MDO). In NSW, the major MDOs are MIPS (Medical Insurance Protection Society), MDA National, Avant, and MIGA. When a complaint or adverse event occurs:</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Call your MDO BEFORE responding to the complainant, HCCC, or Medical Council</w:t>
      </w:r>
    </w:p>
    <w:p>
      <w:pPr>
        <w:pStyle w:val="ListParagraph"/>
        <w:numPr>
          <w:ilvl w:val="0"/>
          <w:numId w:val="3"/>
        </w:numPr>
        <w:spacing w:after="40" w:before="40"/>
      </w:pPr>
      <w:r>
        <w:rPr>
          <w:rFonts w:ascii="Arial" w:cs="Arial" w:eastAsia="Arial" w:hAnsi="Arial"/>
          <w:sz w:val="22"/>
          <w:szCs w:val="22"/>
        </w:rPr>
        <w:t xml:space="preserve">Your MDO provides: legal advice, notification support, record management guidance, defence preparation</w:t>
      </w:r>
    </w:p>
    <w:p>
      <w:pPr>
        <w:pStyle w:val="ListParagraph"/>
        <w:numPr>
          <w:ilvl w:val="0"/>
          <w:numId w:val="3"/>
        </w:numPr>
        <w:spacing w:after="40" w:before="40"/>
      </w:pPr>
      <w:r>
        <w:rPr>
          <w:rFonts w:ascii="Arial" w:cs="Arial" w:eastAsia="Arial" w:hAnsi="Arial"/>
          <w:sz w:val="22"/>
          <w:szCs w:val="22"/>
        </w:rPr>
        <w:t xml:space="preserve">Do not discuss the complaint with colleagues, family, or the patient without MDO guidance</w:t>
      </w:r>
    </w:p>
    <w:p>
      <w:pPr>
        <w:pStyle w:val="ListParagraph"/>
        <w:numPr>
          <w:ilvl w:val="0"/>
          <w:numId w:val="3"/>
        </w:numPr>
        <w:spacing w:after="40" w:before="40"/>
      </w:pPr>
      <w:r>
        <w:rPr>
          <w:rFonts w:ascii="Arial" w:cs="Arial" w:eastAsia="Arial" w:hAnsi="Arial"/>
          <w:sz w:val="22"/>
          <w:szCs w:val="22"/>
        </w:rPr>
        <w:t xml:space="preserve">Preserve all clinical records exactly as they are — do not add, delete, or amend anything</w:t>
      </w:r>
    </w:p>
    <w:p>
      <w:pPr>
        <w:pStyle w:val="ListParagraph"/>
        <w:numPr>
          <w:ilvl w:val="0"/>
          <w:numId w:val="3"/>
        </w:numPr>
        <w:spacing w:after="40" w:before="40"/>
      </w:pPr>
      <w:r>
        <w:rPr>
          <w:rFonts w:ascii="Arial" w:cs="Arial" w:eastAsia="Arial" w:hAnsi="Arial"/>
          <w:sz w:val="22"/>
          <w:szCs w:val="22"/>
        </w:rPr>
        <w:t xml:space="preserve">Keep records of all subsequent clinical contact with the patient if care continues</w:t>
      </w:r>
    </w:p>
    <w:p>
      <w:pPr>
        <w:pStyle w:val="ListParagraph"/>
        <w:numPr>
          <w:ilvl w:val="0"/>
          <w:numId w:val="3"/>
        </w:numPr>
        <w:spacing w:after="40" w:before="40"/>
      </w:pPr>
      <w:r>
        <w:rPr>
          <w:rFonts w:ascii="Arial" w:cs="Arial" w:eastAsia="Arial" w:hAnsi="Arial"/>
          <w:sz w:val="22"/>
          <w:szCs w:val="22"/>
        </w:rPr>
        <w:t xml:space="preserve">Document your own emotional response if needed — a reflective note about the complaint impact is appropriate for personal processing but should not be in the patient's clinical record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GP who has maintained excellent contemporaneous documentation — comprehensive, evidence-based, showing systematic risk assessment and informed consent — has the most powerful complaint defence available: a record that speaks for itself.</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Many complaints against GPs in ADHD practice are NOT about clinical incompetence — they are about clinical competence that was never documented. The care was provided. The record does not show it. The outcome is the same as if the care were not provided.</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9. Memory Systems: Anki Cards for Module 7</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is the foundational medicolegal principle of ADHD documentation?</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'If it is not documented, medically and legally it may be interpreted as not assessed.' This principle is applied by the HPCA, Medical Council of NSW, and NCAT when reviewing GP ADHD prescribing conduct. Every clinical decision — diagnosis, prescribing, safety assessment, consent — must have a contemporaneous written record that can stand alone without verbal explanation.</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2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GPs prescribing S8 stimulants for ADHD in NSW must hold a current {{c1::NSW Health authority permit}} under the {{c2::Poisons and Therapeutic Goods Act 1966 (NSW)}}. Prescribing without authority is a {{c3::criminal offence}}. The authority is {{c4::patient-specific}} — a new authority must be obtained for each patient. The authority number must appear on {{c5::every S8 prescription}}.</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3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are the seven documentation domains that must be addressed in every significant ADHD consultation?</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(1) Diagnosis — DSM-5 criteria and formulation status. (2) Symptom status — current severity, treatment response, functional outcomes. (3) Medication — agent, dose, rationale, titration status. (4) Safety assessment — cardiovascular, diversion, suicide/self-harm, substance use, driving. (5) Adverse effects — specific screening and patient's own report. (6) Consent and patient information — current consent status and any new information provided. (7) Plan — next actions, review date, authority status, referrals.</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4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Informed consent for S8 stimulant prescribing requires documentation of: {{c1::diagnosis explanation}}; {{c2::treatment options discussed}} (including non-pharmacological and no-treatment); {{c3::Schedule 8 nature}} of the medication; {{c4::adverse effects including rare serious effects (psychosis, mania)}}; {{c5::monitoring requirements}}; {{c6::driving safety implications}}; {{c7::diversion obligations}}. A {{c8::Stimulant Agreement}} signed and filed is additional required documentation.</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5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is the Gillick competence principle in the context of adolescent ADHD consent?</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Gillick competence holds that an adolescent under 18 who demonstrates sufficient maturity and understanding can provide their own consent to medical treatment, without parental consent being required. In ADHD practice: for assessment, a Gillick-competent adolescent's own consent is legally sufficient. For S8 prescribing: parental consent should be obtained in addition to adolescent assent as a clinical safety standard. The Gillick-competent adolescent's informed REFUSAL of treatment must be respected even if parents wish to proceed.</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6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The first action when a complaint is made is to contact your {{c1::Medical Defence Organisation (MDO)}} — BEFORE responding to the {{c2::HCCC}}, {{c3::Medical Council}}, or the {{c4::complainant}}. You must {{c5::NEVER alter records}} after a complaint — retrospective record alteration constitutes {{c6::falsification of medical records}} and is a separate serious offence. The quality of your {{c7::contemporaneous clinical record}} is your primary defence.</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7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are the specific medicolegal risks of telehealth ADHD assessment and prescribing?</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(1) Physical examination cannot be conducted — baseline BP/HR unavailable. (2) Identity verification less certain. (3) Patient environment and non-verbal behaviour cannot be fully assessed. (4) ADHD diagnosis based solely on telehealth is clinically substandard. (5) S8 prescription to patient never seen in person is high-risk. (6) Patient jurisdiction may differ (S8 authorities are state-specific). Standard: at minimum ONE in-person assessment including cardiovascular examination before any stimulant initiation. Document the telehealth limitation explicitly.</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8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NSW mandatory reporting under the Children and Young Persons (Care and Protection) Act 1998 (NSW) Section 27 requires reporting when a person has {{c1::reasonable grounds to suspect}} a child is at risk of {{c2::significant harm}}. The threshold is {{c3::reasonable grounds to suspect}} — NOT {{c4::certainty}}. In ADHD practice: a parent's SUD with access to child's stimulant medication; evidence of neglect alongside ADHD presentation; domestic violence in the household — all potentially meet the reporting threshold. Document: {{c5::concern; assessment; report made; date; reference number}}.</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9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does accepting shared care for ADHD prescribing from a specialist require of the GP?</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(1) Review and understand the specialist's diagnosis and medication history. (2) Verify your own current NSW S8 authority — it does not transfer with the patient. (3) Conduct your own independent physical assessment — do not rely on the specialist's last review. (4) Establish when to refer back (deterioration, treatment resistance, new psychiatric symptoms, diagnostic uncertainty). (5) Manage authority prescription renewal independently. (6) Complete the annual comprehensive review (AADPA CPP 5.9.1) regardless of who initiated prescribing.</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10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AADPA CPP 1.1.2 states that ADHD may be {{c1::under-recognised}} in women, who are {{c2::more likely to receive incorrect diagnoses}} of anxiety or depressive disorder. Under-diagnosis carries its own medicolegal risk: a GP who repeatedly sees a woman with {{c3::anxiety, depression, or emotional dysregulation}} without {{c4::documenting ADHD consideration}} may be found to have provided {{c5::inadequate clinical assessment}}. The documentation standard: 'ADHD {{c6::considered and screened}}: [ASRS score]. Clinical conclusion: [ADHD present/absent/deferred for further assessment].'</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10. Quick Reference — Medicolegal High-Yield Pearls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Principle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Application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 Standard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not documented — not assessed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Every clinical decision needs a contemporaneous written record that stands alone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Apply the HPCA test: could this note defend the decision without your verbal explanation?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Authority is patient-specific and non-transferable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New authority required for each patient. Your authority. Cannot use another prescriber's number.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Authority number on every S8 prescription. Renewal diarised 6 weeks before expiry.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Bipolar screen before every stimulant initiation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about personal/family history of hypomania/mania, mood stabiliser use, decreased sleep need with maintained energy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'Bipolar screen: [positive/negative/uncertain]. Action: [proceed/defer/specialist].'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Diversion screen at every S8 review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Non-accusatorial framing: 'I ask everyone this as routine safe prescribing'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'Diversion screen — no concerns.' OR specific findings and actions documented.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Driving assessed at every review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impairs driving; stimulants improve it; GP has duty to advise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'Driving assessed: no incidents/infringements. Treatment effect discussed.'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Telehealth: in-person first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S8 stimulant initiation requires at minimum one in-person physical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'In-person assessment [date] completed before stimulant initiation. BP/HR/weight documented.'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Consent is a documented process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 a signature alone — a record of what was discussed and understood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Seven consent elements documented: diagnosis, options, S8, adverse effects, monitoring, driving, diversion.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consent — Gillick principle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Competent adolescent's informed refusal must be respected; S8 prescribing needs parental consent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'Gillick competence assessed: [finding]. Adolescent assent: [yes/no]. Parental consent: [yes/no].'</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Mandatory reporting threshold is suspicion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Report if you suspect — not only if you are certain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 protection concern: [nature]. Report made to NSW CPS [date]. Reference: [number].'</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MDO first — always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Before responding to any complaint, notification, or adverse event — call your MDO</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Personal MDO membership current. Number accessible. Call before any response.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Shared care: own authority, own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You cannot shelter under the specialist's authority or rely on their last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'Own NSW S8 authority [number]. Own physical assessment [date]. Transfer of care documented.'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Under-diagnosis is also a medicolegal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Failing to screen for ADHD in women with anxiety/depression/ED is inadequate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considered and screened [date]: ASRS [score]. Clinical conclusion: [decision].'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Annual review is mandatory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AADPA CPP 5.9.1 — annually for all ADHD patients on medication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Annual review covers all nine CPP 5.9.1 elements. Scheduled and documented.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Never alter records retrospectively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Post-complaint record alteration is a separate criminal offence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contemporaneously. If inadequate: defend as is with MDO support. Never amend.</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11. Reference List</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Primary Australian Guidelines</w:t>
      </w:r>
    </w:p>
    <w:p>
      <w:pPr>
        <w:spacing w:after="80" w:before="80"/>
        <w:jc w:val="both"/>
      </w:pPr>
      <w:r>
        <w:rPr>
          <w:rFonts w:ascii="Arial" w:cs="Arial" w:eastAsia="Arial" w:hAnsi="Arial"/>
          <w:sz w:val="22"/>
          <w:szCs w:val="22"/>
        </w:rPr>
        <w:t xml:space="preserve">1. Australian ADHD Professionals Association (AADPA). Australian Evidence-Based Clinical Practice Guideline for ADHD. Sydney: AADPA; June 2024.</w:t>
      </w:r>
    </w:p>
    <w:p>
      <w:pPr>
        <w:spacing w:after="80" w:before="80"/>
        <w:jc w:val="both"/>
      </w:pPr>
      <w:r>
        <w:rPr>
          <w:rFonts w:ascii="Arial" w:cs="Arial" w:eastAsia="Arial" w:hAnsi="Arial"/>
          <w:sz w:val="22"/>
          <w:szCs w:val="22"/>
        </w:rPr>
        <w:t xml:space="preserve">2. Australian ADHD Professionals Association (AADPA). ADHD Prescribing Guide for Australian Healthcare Professionals. Sydney: AADPA; September 2024.</w:t>
      </w:r>
    </w:p>
    <w:p>
      <w:pPr>
        <w:spacing w:after="80" w:before="80"/>
        <w:jc w:val="both"/>
      </w:pPr>
      <w:r>
        <w:rPr>
          <w:rFonts w:ascii="Arial" w:cs="Arial" w:eastAsia="Arial" w:hAnsi="Arial"/>
          <w:sz w:val="22"/>
          <w:szCs w:val="22"/>
        </w:rPr>
        <w:t xml:space="preserve">3. Australian ADHD Professionals Association (AADPA). Summary of Recommendations. Sydney: AADPA; 2022.</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NSW Legislation and Regulatory Framework</w:t>
      </w:r>
    </w:p>
    <w:p>
      <w:pPr>
        <w:spacing w:after="80" w:before="80"/>
        <w:jc w:val="both"/>
      </w:pPr>
      <w:r>
        <w:rPr>
          <w:rFonts w:ascii="Arial" w:cs="Arial" w:eastAsia="Arial" w:hAnsi="Arial"/>
          <w:sz w:val="22"/>
          <w:szCs w:val="22"/>
        </w:rPr>
        <w:t xml:space="preserve">4. Poisons and Therapeutic Goods Act 1966 (NSW). Sydney: NSW Government.</w:t>
      </w:r>
    </w:p>
    <w:p>
      <w:pPr>
        <w:spacing w:after="80" w:before="80"/>
        <w:jc w:val="both"/>
      </w:pPr>
      <w:r>
        <w:rPr>
          <w:rFonts w:ascii="Arial" w:cs="Arial" w:eastAsia="Arial" w:hAnsi="Arial"/>
          <w:sz w:val="22"/>
          <w:szCs w:val="22"/>
        </w:rPr>
        <w:t xml:space="preserve">5. Poisons and Therapeutic Goods Regulation 2008 (NSW). Sydney: NSW Government.</w:t>
      </w:r>
    </w:p>
    <w:p>
      <w:pPr>
        <w:spacing w:after="80" w:before="80"/>
        <w:jc w:val="both"/>
      </w:pPr>
      <w:r>
        <w:rPr>
          <w:rFonts w:ascii="Arial" w:cs="Arial" w:eastAsia="Arial" w:hAnsi="Arial"/>
          <w:sz w:val="22"/>
          <w:szCs w:val="22"/>
        </w:rPr>
        <w:t xml:space="preserve">6. NSW Health. Stimulant Treatment Program: Guidelines for Prescribers. Sydney: NSW Ministry of Health; current version. https://www.health.nsw.gov.au</w:t>
      </w:r>
    </w:p>
    <w:p>
      <w:pPr>
        <w:spacing w:after="80" w:before="80"/>
        <w:jc w:val="both"/>
      </w:pPr>
      <w:r>
        <w:rPr>
          <w:rFonts w:ascii="Arial" w:cs="Arial" w:eastAsia="Arial" w:hAnsi="Arial"/>
          <w:sz w:val="22"/>
          <w:szCs w:val="22"/>
        </w:rPr>
        <w:t xml:space="preserve">7. NSW Health Pharmaceutical Services. Schedule 8 Drug Authority Information. Sydney: NSW Health; current version.</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Regulatory Bodies and Complaint Processes</w:t>
      </w:r>
    </w:p>
    <w:p>
      <w:pPr>
        <w:spacing w:after="80" w:before="80"/>
        <w:jc w:val="both"/>
      </w:pPr>
      <w:r>
        <w:rPr>
          <w:rFonts w:ascii="Arial" w:cs="Arial" w:eastAsia="Arial" w:hAnsi="Arial"/>
          <w:sz w:val="22"/>
          <w:szCs w:val="22"/>
        </w:rPr>
        <w:t xml:space="preserve">8. Health Care Complaints Commission (HCCC). Complaint Process Guide. Sydney: HCCC; 2023. https://www.hccc.nsw.gov.au</w:t>
      </w:r>
    </w:p>
    <w:p>
      <w:pPr>
        <w:spacing w:after="80" w:before="80"/>
        <w:jc w:val="both"/>
      </w:pPr>
      <w:r>
        <w:rPr>
          <w:rFonts w:ascii="Arial" w:cs="Arial" w:eastAsia="Arial" w:hAnsi="Arial"/>
          <w:sz w:val="22"/>
          <w:szCs w:val="22"/>
        </w:rPr>
        <w:t xml:space="preserve">9. Medical Council of NSW. Medical Council of NSW — Conduct and Complaints. Sydney: Medical Council; 2023.</w:t>
      </w:r>
    </w:p>
    <w:p>
      <w:pPr>
        <w:spacing w:after="80" w:before="80"/>
        <w:jc w:val="both"/>
      </w:pPr>
      <w:r>
        <w:rPr>
          <w:rFonts w:ascii="Arial" w:cs="Arial" w:eastAsia="Arial" w:hAnsi="Arial"/>
          <w:sz w:val="22"/>
          <w:szCs w:val="22"/>
        </w:rPr>
        <w:t xml:space="preserve">10. AHPRA. Registration Standards and Codes — Medical Practitioners. Melbourne: AHPRA; 2020. https://www.ahpra.gov.au</w:t>
      </w:r>
    </w:p>
    <w:p>
      <w:pPr>
        <w:spacing w:after="80" w:before="80"/>
        <w:jc w:val="both"/>
      </w:pPr>
      <w:r>
        <w:rPr>
          <w:rFonts w:ascii="Arial" w:cs="Arial" w:eastAsia="Arial" w:hAnsi="Arial"/>
          <w:sz w:val="22"/>
          <w:szCs w:val="22"/>
        </w:rPr>
        <w:t xml:space="preserve">11. NSW Civil and Administrative Tribunal (NCAT). Occupational Division — Health Practitioners. Sydney: NCAT; 2023. https://www.ncat.nsw.gov.au</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Professional Standards and Documentation</w:t>
      </w:r>
    </w:p>
    <w:p>
      <w:pPr>
        <w:spacing w:after="80" w:before="80"/>
        <w:jc w:val="both"/>
      </w:pPr>
      <w:r>
        <w:rPr>
          <w:rFonts w:ascii="Arial" w:cs="Arial" w:eastAsia="Arial" w:hAnsi="Arial"/>
          <w:sz w:val="22"/>
          <w:szCs w:val="22"/>
        </w:rPr>
        <w:t xml:space="preserve">12. Medical Board of Australia. Good Medical Practice: A Code of Conduct for Doctors in Australia. Melbourne: AHPRA/Medical Board; 2020.</w:t>
      </w:r>
    </w:p>
    <w:p>
      <w:pPr>
        <w:spacing w:after="80" w:before="80"/>
        <w:jc w:val="both"/>
      </w:pPr>
      <w:r>
        <w:rPr>
          <w:rFonts w:ascii="Arial" w:cs="Arial" w:eastAsia="Arial" w:hAnsi="Arial"/>
          <w:sz w:val="22"/>
          <w:szCs w:val="22"/>
        </w:rPr>
        <w:t xml:space="preserve">13. Royal Australian College of General Practitioners (RACGP). Standards for General Practices. 5th ed. East Melbourne: RACGP; 2020.</w:t>
      </w:r>
    </w:p>
    <w:p>
      <w:pPr>
        <w:spacing w:after="80" w:before="80"/>
        <w:jc w:val="both"/>
      </w:pPr>
      <w:r>
        <w:rPr>
          <w:rFonts w:ascii="Arial" w:cs="Arial" w:eastAsia="Arial" w:hAnsi="Arial"/>
          <w:sz w:val="22"/>
          <w:szCs w:val="22"/>
        </w:rPr>
        <w:t xml:space="preserve">14. Australian College of Rural and Remote Medicine (ACRRM). Professional Practice Standards. Brisbane: ACRRM; 2022.</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Consent and Capacity</w:t>
      </w:r>
    </w:p>
    <w:p>
      <w:pPr>
        <w:spacing w:after="80" w:before="80"/>
        <w:jc w:val="both"/>
      </w:pPr>
      <w:r>
        <w:rPr>
          <w:rFonts w:ascii="Arial" w:cs="Arial" w:eastAsia="Arial" w:hAnsi="Arial"/>
          <w:sz w:val="22"/>
          <w:szCs w:val="22"/>
        </w:rPr>
        <w:t xml:space="preserve">15. Gillick v West Norfolk and Wisbech Area Health Authority [1986] AC 112 (House of Lords). [The Gillick competence case — foundational to adolescent consent in common law jurisdictions including Australia]</w:t>
      </w:r>
    </w:p>
    <w:p>
      <w:pPr>
        <w:spacing w:after="80" w:before="80"/>
        <w:jc w:val="both"/>
      </w:pPr>
      <w:r>
        <w:rPr>
          <w:rFonts w:ascii="Arial" w:cs="Arial" w:eastAsia="Arial" w:hAnsi="Arial"/>
          <w:sz w:val="22"/>
          <w:szCs w:val="22"/>
        </w:rPr>
        <w:t xml:space="preserve">16. Secretary, Department of Health and Community Services v JWB and SMB (Marion's Case) [1992] HCA 15. [Leading Australian High Court case on medical consent for minors]</w:t>
      </w:r>
    </w:p>
    <w:p>
      <w:pPr>
        <w:spacing w:after="80" w:before="80"/>
        <w:jc w:val="both"/>
      </w:pPr>
      <w:r>
        <w:rPr>
          <w:rFonts w:ascii="Arial" w:cs="Arial" w:eastAsia="Arial" w:hAnsi="Arial"/>
          <w:sz w:val="22"/>
          <w:szCs w:val="22"/>
        </w:rPr>
        <w:t xml:space="preserve">17. NSW Health. Consent to Medical Treatment — Patient Information. Sydney: NSW Health; current version.</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Mandatory Reporting</w:t>
      </w:r>
    </w:p>
    <w:p>
      <w:pPr>
        <w:spacing w:after="80" w:before="80"/>
        <w:jc w:val="both"/>
      </w:pPr>
      <w:r>
        <w:rPr>
          <w:rFonts w:ascii="Arial" w:cs="Arial" w:eastAsia="Arial" w:hAnsi="Arial"/>
          <w:sz w:val="22"/>
          <w:szCs w:val="22"/>
        </w:rPr>
        <w:t xml:space="preserve">18. Children and Young Persons (Care and Protection) Act 1998 (NSW). Sydney: NSW Government.</w:t>
      </w:r>
    </w:p>
    <w:p>
      <w:pPr>
        <w:spacing w:after="80" w:before="80"/>
        <w:jc w:val="both"/>
      </w:pPr>
      <w:r>
        <w:rPr>
          <w:rFonts w:ascii="Arial" w:cs="Arial" w:eastAsia="Arial" w:hAnsi="Arial"/>
          <w:sz w:val="22"/>
          <w:szCs w:val="22"/>
        </w:rPr>
        <w:t xml:space="preserve">19. NSW Family and Community Services. Mandatory Reporter Guide. Sydney: FACS; current version. https://reporter.childstory.nsw.gov.au</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Telehealth</w:t>
      </w:r>
    </w:p>
    <w:p>
      <w:pPr>
        <w:spacing w:after="80" w:before="80"/>
        <w:jc w:val="both"/>
      </w:pPr>
      <w:r>
        <w:rPr>
          <w:rFonts w:ascii="Arial" w:cs="Arial" w:eastAsia="Arial" w:hAnsi="Arial"/>
          <w:sz w:val="22"/>
          <w:szCs w:val="22"/>
        </w:rPr>
        <w:t xml:space="preserve">20. AHPRA/Medical Board of Australia. Telehealth Guidance for Practitioners. Melbourne: AHPRA; 2022. https://www.ahpra.gov.au</w:t>
      </w:r>
    </w:p>
    <w:p>
      <w:pPr>
        <w:spacing w:after="80" w:before="80"/>
        <w:jc w:val="both"/>
      </w:pPr>
      <w:r>
        <w:rPr>
          <w:rFonts w:ascii="Arial" w:cs="Arial" w:eastAsia="Arial" w:hAnsi="Arial"/>
          <w:sz w:val="22"/>
          <w:szCs w:val="22"/>
        </w:rPr>
        <w:t xml:space="preserve">21. Royal Australian College of General Practitioners (RACGP). Telehealth and General Practice Standards. East Melbourne: RACGP; 2022.</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Diversion and Schedule 8 Monitoring</w:t>
      </w:r>
    </w:p>
    <w:p>
      <w:pPr>
        <w:spacing w:after="80" w:before="80"/>
        <w:jc w:val="both"/>
      </w:pPr>
      <w:r>
        <w:rPr>
          <w:rFonts w:ascii="Arial" w:cs="Arial" w:eastAsia="Arial" w:hAnsi="Arial"/>
          <w:sz w:val="22"/>
          <w:szCs w:val="22"/>
        </w:rPr>
        <w:t xml:space="preserve">22. NSW Health. Real Time Prescription Monitoring (SafeScript NSW). Sydney: NSW Ministry of Health; 2023.</w:t>
      </w:r>
    </w:p>
    <w:p>
      <w:pPr>
        <w:spacing w:after="80" w:before="80"/>
        <w:jc w:val="both"/>
      </w:pPr>
      <w:r>
        <w:rPr>
          <w:rFonts w:ascii="Arial" w:cs="Arial" w:eastAsia="Arial" w:hAnsi="Arial"/>
          <w:sz w:val="22"/>
          <w:szCs w:val="22"/>
        </w:rPr>
        <w:t xml:space="preserve">23. Wilens TE, et al. Misuse and diversion of stimulants prescribed for ADHD. J Am Acad Child Adolesc Psychiatry. 2008;47(1):21–31.</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Driving and ADHD</w:t>
      </w:r>
    </w:p>
    <w:p>
      <w:pPr>
        <w:spacing w:after="80" w:before="80"/>
        <w:jc w:val="both"/>
      </w:pPr>
      <w:r>
        <w:rPr>
          <w:rFonts w:ascii="Arial" w:cs="Arial" w:eastAsia="Arial" w:hAnsi="Arial"/>
          <w:sz w:val="22"/>
          <w:szCs w:val="22"/>
        </w:rPr>
        <w:t xml:space="preserve">24. Austroads. Assessing Fitness to Drive: Medical Standards for Licensing and Clinical Management Guidelines. 6th ed. Sydney: Austroads; 2022. https://austroads.com.au/drivers-and-vehicles/assessing-fitness-to-drive</w:t>
      </w:r>
    </w:p>
    <w:p>
      <w:pPr>
        <w:spacing w:after="80" w:before="80"/>
        <w:jc w:val="both"/>
      </w:pPr>
      <w:r>
        <w:rPr>
          <w:rFonts w:ascii="Arial" w:cs="Arial" w:eastAsia="Arial" w:hAnsi="Arial"/>
          <w:sz w:val="22"/>
          <w:szCs w:val="22"/>
        </w:rPr>
        <w:t xml:space="preserve">25. Jerome L, et al. The effect of stimulant therapy, EEG biofeedback, and parenting style on the primary symptoms of ADHD: an open label, randomized, controlled trial. Appl Psychophysiol Biofeedback. 2011;36(2):91–105.</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 NSW GP ADHD Training Course  |  AADPA Clinical Practice Guideline 2024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NSW GP ADHD Endorsed Prescribing Training</w:t>
    </w:r>
    <w:r>
      <w:rPr>
        <w:rFonts w:ascii="Arial" w:cs="Arial" w:eastAsia="Arial" w:hAnsi="Arial"/>
        <w:color w:val="888888"/>
        <w:sz w:val="18"/>
        <w:szCs w:val="18"/>
      </w:rPr>
      <w:t xml:space="preserve">  |  Module 7: Medicolegal Framework &amp; Risk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F6E5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2026-05-17T08:15:51.051Z</dcterms:created>
  <dcterms:modified xsi:type="dcterms:W3CDTF">2026-05-17T08:15:51.066Z</dcterms:modified>
</cp:coreProperties>
</file>

<file path=docProps/custom.xml><?xml version="1.0" encoding="utf-8"?>
<Properties xmlns="http://schemas.openxmlformats.org/officeDocument/2006/custom-properties" xmlns:vt="http://schemas.openxmlformats.org/officeDocument/2006/docPropsVTypes"/>
</file>