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937"/>
          <w:sz w:val="44"/>
          <w:szCs w:val="44"/>
        </w:rPr>
        <w:t xml:space="preserve">VKYC Amber Resolution Layer</w:t>
      </w:r>
    </w:p>
    <w:p>
      <w:pPr>
        <w:spacing w:after="40"/>
      </w:pPr>
      <w:r>
        <w:rPr>
          <w:b/>
          <w:bCs/>
          <w:color w:val="B45309"/>
          <w:sz w:val="30"/>
          <w:szCs w:val="30"/>
        </w:rPr>
        <w:t xml:space="preserve">Design Handoff</w:t>
      </w:r>
    </w:p>
    <w:p>
      <w:pPr>
        <w:spacing w:after="300"/>
      </w:pPr>
      <w:r>
        <w:rPr>
          <w:i/>
          <w:iCs/>
          <w:color w:val="6B7280"/>
          <w:sz w:val="20"/>
          <w:szCs w:val="20"/>
        </w:rPr>
        <w:t xml:space="preserve">Prepared 2026-08-31 — for the account continuing this engagement</w:t>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C7" w:val="clear"/>
            <w:tcMar>
              <w:top w:type="dxa" w:w="160"/>
              <w:left w:type="dxa" w:w="200"/>
              <w:bottom w:type="dxa" w:w="160"/>
              <w:right w:type="dxa" w:w="200"/>
            </w:tcMar>
          </w:tcPr>
          <w:p>
            <w:pPr>
              <w:spacing w:after="100"/>
            </w:pPr>
            <w:r>
              <w:rPr>
                <w:b/>
                <w:bCs/>
                <w:color w:val="92400E"/>
                <w:sz w:val="22"/>
                <w:szCs w:val="22"/>
              </w:rPr>
              <w:t xml:space="preserve">Why this document exists</w:t>
            </w:r>
          </w:p>
          <w:p>
            <w:pPr>
              <w:spacing w:after="60"/>
            </w:pPr>
            <w:r>
              <w:rPr>
                <w:color w:val="78350F"/>
                <w:sz w:val="20"/>
                <w:szCs w:val="20"/>
              </w:rPr>
              <w:t xml:space="preserve">• Work on this engagement is moving to a different Claude account going forward. That account will not have this account’s conversation history or saved memory of the project.</w:t>
            </w:r>
          </w:p>
          <w:p>
            <w:pPr>
              <w:spacing w:after="60"/>
            </w:pPr>
            <w:r>
              <w:rPr>
                <w:color w:val="78350F"/>
                <w:sz w:val="20"/>
                <w:szCs w:val="20"/>
              </w:rPr>
              <w:t xml:space="preserve">• This document is written to stand on its own — read it first, before opening any code or making any change.</w:t>
            </w:r>
          </w:p>
          <w:p>
            <w:pPr>
              <w:spacing w:after="60"/>
            </w:pPr>
            <w:r>
              <w:rPr>
                <w:color w:val="78350F"/>
                <w:sz w:val="20"/>
                <w:szCs w:val="20"/>
              </w:rPr>
              <w:t xml:space="preserve">• If you also have access to this repository’s handoffs/ folder, section 10 tells you where the deeper technical reference lives — but nothing above that section assumes you can reach it.</w:t>
            </w:r>
          </w:p>
        </w:tc>
      </w:tr>
    </w:tbl>
    <w:p>
      <w:pPr>
        <w:spacing w:after="200"/>
      </w:pPr>
    </w:p>
    <w:p>
      <w:pPr>
        <w:pStyle w:val="Heading1"/>
        <w:pBdr>
          <w:bottom w:val="single" w:color="B45309" w:sz="6" w:space="4"/>
        </w:pBdr>
        <w:spacing w:after="200" w:before="400"/>
      </w:pPr>
      <w:r>
        <w:rPr>
          <w:b/>
          <w:bCs/>
          <w:color w:val="1F2937"/>
          <w:sz w:val="30"/>
          <w:szCs w:val="30"/>
        </w:rPr>
        <w:t xml:space="preserve">1. What this is, in 30 seconds</w:t>
      </w:r>
    </w:p>
    <w:p>
      <w:pPr>
        <w:spacing w:after="160" w:line="276"/>
      </w:pPr>
      <w:r>
        <w:rPr>
          <w:sz w:val="21"/>
          <w:szCs w:val="21"/>
        </w:rPr>
        <w:t xml:space="preserve">The user is building the Amber Resolution Layer (internally also called Mule Sentinel) — a prototype agent-side panel inside Cashfree’s existing V-CIP (Video KYC) console. It lives at apps/agent inside the vkyc-dashboard monorepo (Vite + React + TypeScript + Tailwind, npm workspaces, 5 apps + packages/shared). Local working copy on this machine: ~/Desktop/Claude/vkyc-dashboard-git.</w:t>
      </w:r>
    </w:p>
    <w:p>
      <w:pPr>
        <w:spacing w:after="160" w:line="276"/>
      </w:pPr>
      <w:r>
        <w:rPr>
          <w:sz w:val="21"/>
          <w:szCs w:val="21"/>
        </w:rPr>
        <w:t xml:space="preserve">During a video KYC call, if certain fraud/risk rules fire — e.g. a caller’s SIM circle doesn’t match their declared address, a farmer’s declared income is implausible for their landholding, or a "premium" address looks inconsistent with declared income/occupation — the panel walks the agent through a short structured question tree live on the call, classifies the applicant’s spoken answer into one of a few predefined buckets, and arrives at a verdict:</w:t>
      </w:r>
    </w:p>
    <w:p>
      <w:pPr>
        <w:pStyle w:val="ListParagraph"/>
        <w:numPr>
          <w:ilvl w:val="0"/>
          <w:numId w:val="2"/>
        </w:numPr>
        <w:spacing w:after="80" w:line="276"/>
      </w:pPr>
      <w:r>
        <w:rPr>
          <w:sz w:val="21"/>
          <w:szCs w:val="21"/>
        </w:rPr>
        <w:t xml:space="preserve">PROCEED — green, the call continues normally</w:t>
      </w:r>
    </w:p>
    <w:p>
      <w:pPr>
        <w:pStyle w:val="ListParagraph"/>
        <w:numPr>
          <w:ilvl w:val="0"/>
          <w:numId w:val="2"/>
        </w:numPr>
        <w:spacing w:after="80" w:line="276"/>
      </w:pPr>
      <w:r>
        <w:rPr>
          <w:sz w:val="21"/>
          <w:szCs w:val="21"/>
        </w:rPr>
        <w:t xml:space="preserve">STEP_UP — amber, additional friction/verification is logged</w:t>
      </w:r>
    </w:p>
    <w:p>
      <w:pPr>
        <w:pStyle w:val="ListParagraph"/>
        <w:numPr>
          <w:ilvl w:val="0"/>
          <w:numId w:val="2"/>
        </w:numPr>
        <w:spacing w:after="80" w:line="276"/>
      </w:pPr>
      <w:r>
        <w:rPr>
          <w:sz w:val="21"/>
          <w:szCs w:val="21"/>
        </w:rPr>
        <w:t xml:space="preserve">BLOCK — red, a hard stop</w:t>
      </w:r>
    </w:p>
    <w:p>
      <w:pPr>
        <w:pStyle w:val="ListParagraph"/>
        <w:numPr>
          <w:ilvl w:val="0"/>
          <w:numId w:val="2"/>
        </w:numPr>
        <w:spacing w:after="80" w:line="276"/>
      </w:pPr>
      <w:r>
        <w:rPr>
          <w:sz w:val="21"/>
          <w:szCs w:val="21"/>
        </w:rPr>
        <w:t xml:space="preserve">HUMAN_REVIEW — routes the case to a separate reviewer</w:t>
      </w:r>
    </w:p>
    <w:p>
      <w:pPr>
        <w:spacing w:after="160" w:line="276"/>
      </w:pPr>
      <w:r>
        <w:rPr>
          <w:sz w:val="21"/>
          <w:szCs w:val="21"/>
        </w:rPr>
        <w:t xml:space="preserve">This is being built for the Global Fintech Fest (GFF) demo/press event — a live, presentable prototype, not internal tooling.</w:t>
      </w:r>
    </w:p>
    <w:p>
      <w:pPr>
        <w:pStyle w:val="Heading1"/>
        <w:pBdr>
          <w:bottom w:val="single" w:color="B45309" w:sz="6" w:space="4"/>
        </w:pBdr>
        <w:spacing w:after="200" w:before="400"/>
      </w:pPr>
      <w:r>
        <w:rPr>
          <w:b/>
          <w:bCs/>
          <w:color w:val="1F2937"/>
          <w:sz w:val="30"/>
          <w:szCs w:val="30"/>
        </w:rPr>
        <w:t xml:space="preserve">2. Your mandate: visual/UI polish only</w:t>
      </w:r>
    </w:p>
    <w:p>
      <w:pPr>
        <w:spacing w:after="160" w:line="276"/>
      </w:pPr>
      <w:r>
        <w:rPr>
          <w:sz w:val="21"/>
          <w:szCs w:val="21"/>
        </w:rPr>
        <w:t xml:space="preserve">The scope of work on this account is strictly visual and UI design improvement — layout, visual hierarchy, styling, spacing, color, typography, component polish, and copy proofreading at the typo level. Read this before opening any file.</w:t>
      </w:r>
    </w:p>
    <w:p>
      <w:pPr>
        <w:pStyle w:val="Heading3"/>
        <w:spacing w:after="80" w:before="200"/>
      </w:pPr>
      <w:r>
        <w:rPr>
          <w:b/>
          <w:bCs/>
          <w:color w:val="B45309"/>
          <w:sz w:val="21"/>
          <w:szCs w:val="21"/>
        </w:rPr>
        <w:t xml:space="preserve">Explicitly out of scope — do not change:</w:t>
      </w:r>
    </w:p>
    <w:p>
      <w:pPr>
        <w:pStyle w:val="ListParagraph"/>
        <w:numPr>
          <w:ilvl w:val="0"/>
          <w:numId w:val="2"/>
        </w:numPr>
        <w:spacing w:after="80" w:line="276"/>
      </w:pPr>
      <w:r>
        <w:rPr>
          <w:b/>
          <w:bCs/>
          <w:sz w:val="21"/>
          <w:szCs w:val="21"/>
        </w:rPr>
        <w:t xml:space="preserve">Rule tree logic</w:t>
      </w:r>
      <w:r>
        <w:rPr>
          <w:sz w:val="21"/>
          <w:szCs w:val="21"/>
        </w:rPr>
        <w:t xml:space="preserve"> — question routing, tap-to-node transitions, or terminal verdicts (tree.ts)</w:t>
      </w:r>
    </w:p>
    <w:p>
      <w:pPr>
        <w:pStyle w:val="ListParagraph"/>
        <w:numPr>
          <w:ilvl w:val="0"/>
          <w:numId w:val="2"/>
        </w:numPr>
        <w:spacing w:after="80" w:line="276"/>
      </w:pPr>
      <w:r>
        <w:rPr>
          <w:b/>
          <w:bCs/>
          <w:sz w:val="21"/>
          <w:szCs w:val="21"/>
        </w:rPr>
        <w:t xml:space="preserve">Classification logic</w:t>
      </w:r>
      <w:r>
        <w:rPr>
          <w:sz w:val="21"/>
          <w:szCs w:val="21"/>
        </w:rPr>
        <w:t xml:space="preserve"> — prompts, sentinels, or bucket definitions (classify.ts, api/_classify-core.ts)</w:t>
      </w:r>
    </w:p>
    <w:p>
      <w:pPr>
        <w:pStyle w:val="ListParagraph"/>
        <w:numPr>
          <w:ilvl w:val="0"/>
          <w:numId w:val="2"/>
        </w:numPr>
        <w:spacing w:after="80" w:line="276"/>
      </w:pPr>
      <w:r>
        <w:rPr>
          <w:b/>
          <w:bCs/>
          <w:sz w:val="21"/>
          <w:szCs w:val="21"/>
        </w:rPr>
        <w:t xml:space="preserve">Scoring, risk-dimension values, or persona data</w:t>
      </w:r>
      <w:r>
        <w:rPr>
          <w:sz w:val="21"/>
          <w:szCs w:val="21"/>
        </w:rPr>
        <w:t xml:space="preserve"> (scoring.ts, personas.ts)</w:t>
      </w:r>
    </w:p>
    <w:p>
      <w:pPr>
        <w:pStyle w:val="ListParagraph"/>
        <w:numPr>
          <w:ilvl w:val="0"/>
          <w:numId w:val="2"/>
        </w:numPr>
        <w:spacing w:after="80" w:line="276"/>
      </w:pPr>
      <w:r>
        <w:rPr>
          <w:b/>
          <w:bCs/>
          <w:sz w:val="21"/>
          <w:szCs w:val="21"/>
        </w:rPr>
        <w:t xml:space="preserve">Abort/escalation behavior</w:t>
      </w:r>
      <w:r>
        <w:rPr>
          <w:sz w:val="21"/>
          <w:szCs w:val="21"/>
        </w:rPr>
        <w:t xml:space="preserve"> — the retry-safe vs. escalation split, retry counts</w:t>
      </w:r>
    </w:p>
    <w:p>
      <w:pPr>
        <w:pStyle w:val="ListParagraph"/>
        <w:numPr>
          <w:ilvl w:val="0"/>
          <w:numId w:val="2"/>
        </w:numPr>
        <w:spacing w:after="80" w:line="276"/>
      </w:pPr>
      <w:r>
        <w:rPr>
          <w:b/>
          <w:bCs/>
          <w:sz w:val="21"/>
          <w:szCs w:val="21"/>
        </w:rPr>
        <w:t xml:space="preserve">Speech-to-text provider logic</w:t>
      </w:r>
      <w:r>
        <w:rPr>
          <w:sz w:val="21"/>
          <w:szCs w:val="21"/>
        </w:rPr>
        <w:t xml:space="preserve"> — the ElevenLabs/GCP/Web-Speech fallback chain</w:t>
      </w:r>
    </w:p>
    <w:p>
      <w:pPr>
        <w:spacing w:after="160" w:line="276"/>
      </w:pPr>
      <w:r>
        <w:rPr>
          <w:sz w:val="21"/>
          <w:szCs w:val="21"/>
        </w:rPr>
        <w:t xml:space="preserve">If a design change seems to require touching one of these files — for example, a layout fix that would also change what text renders under which condition — stop and ask the user rather than making the call yourself. The working discipline this engagement has followed (section 9) is built around never silently reinterpreting scope, and that applies to you too.</w:t>
      </w:r>
    </w:p>
    <w:p>
      <w:pPr>
        <w:pStyle w:val="Heading1"/>
        <w:pBdr>
          <w:bottom w:val="single" w:color="B45309" w:sz="6" w:space="4"/>
        </w:pBdr>
        <w:spacing w:after="200" w:before="400"/>
      </w:pPr>
      <w:r>
        <w:rPr>
          <w:b/>
          <w:bCs/>
          <w:color w:val="1F2937"/>
          <w:sz w:val="30"/>
          <w:szCs w:val="30"/>
        </w:rPr>
        <w:t xml:space="preserve">3. Product framing rules — respect these in any copy you touch</w:t>
      </w:r>
    </w:p>
    <w:p>
      <w:pPr>
        <w:pStyle w:val="ListParagraph"/>
        <w:numPr>
          <w:ilvl w:val="0"/>
          <w:numId w:val="2"/>
        </w:numPr>
        <w:spacing w:after="80" w:line="276"/>
      </w:pPr>
      <w:r>
        <w:rPr>
          <w:b/>
          <w:bCs/>
          <w:sz w:val="21"/>
          <w:szCs w:val="21"/>
        </w:rPr>
        <w:t xml:space="preserve">Never call this an "EDD" (Enhanced Due Diligence) process</w:t>
      </w:r>
      <w:r>
        <w:rPr>
          <w:sz w:val="21"/>
          <w:szCs w:val="21"/>
        </w:rPr>
        <w:t xml:space="preserve"> in any label, tooltip, or comment — it sits before formal risk categorization, not a substitute for real EDD controls. A compliance officer will flag "EDD" as a room-losing mislabel.</w:t>
      </w:r>
    </w:p>
    <w:p>
      <w:pPr>
        <w:pStyle w:val="ListParagraph"/>
        <w:numPr>
          <w:ilvl w:val="0"/>
          <w:numId w:val="2"/>
        </w:numPr>
        <w:spacing w:after="80" w:line="276"/>
      </w:pPr>
      <w:r>
        <w:rPr>
          <w:b/>
          <w:bCs/>
          <w:sz w:val="21"/>
          <w:szCs w:val="21"/>
        </w:rPr>
        <w:t xml:space="preserve">Auditability is the core value proposition</w:t>
      </w:r>
      <w:r>
        <w:rPr>
          <w:sz w:val="21"/>
          <w:szCs w:val="21"/>
        </w:rPr>
        <w:t xml:space="preserve">, more load-bearing than visual polish alone — every rule fired, question served, bucket suggested, and whether the agent accepted or corrected it is logged. Keep that visible; don’t design it away for cleanliness.</w:t>
      </w:r>
    </w:p>
    <w:p>
      <w:pPr>
        <w:pStyle w:val="ListParagraph"/>
        <w:numPr>
          <w:ilvl w:val="0"/>
          <w:numId w:val="2"/>
        </w:numPr>
        <w:spacing w:after="80" w:line="276"/>
      </w:pPr>
      <w:r>
        <w:rPr>
          <w:b/>
          <w:bCs/>
          <w:sz w:val="21"/>
          <w:szCs w:val="21"/>
        </w:rPr>
        <w:t xml:space="preserve">Rubber-stamp guard</w:t>
      </w:r>
      <w:r>
        <w:rPr>
          <w:sz w:val="21"/>
          <w:szCs w:val="21"/>
        </w:rPr>
        <w:t xml:space="preserve">: green ("PROCEED") requires positive corroboration, not merely absence of contradiction. Don’t let restyled copy imply "we found nothing wrong" — the underlying logic requires a fired signal to be positively resolved.</w:t>
      </w:r>
    </w:p>
    <w:p>
      <w:pPr>
        <w:pStyle w:val="ListParagraph"/>
        <w:numPr>
          <w:ilvl w:val="0"/>
          <w:numId w:val="2"/>
        </w:numPr>
        <w:spacing w:after="80" w:line="276"/>
      </w:pPr>
      <w:r>
        <w:rPr>
          <w:b/>
          <w:bCs/>
          <w:sz w:val="21"/>
          <w:szCs w:val="21"/>
        </w:rPr>
        <w:t xml:space="preserve">The real shipped product is "Option A"</w:t>
      </w:r>
      <w:r>
        <w:rPr>
          <w:sz w:val="21"/>
          <w:szCs w:val="21"/>
        </w:rPr>
        <w:t xml:space="preserve">: the agent taps confirm/correct on a classifier’s suggestion — a human is always in the loop. Never let UI copy imply full automation without a human; that’s only ever a future-vision slide.</w:t>
      </w:r>
    </w:p>
    <w:p>
      <w:pPr>
        <w:pStyle w:val="ListParagraph"/>
        <w:numPr>
          <w:ilvl w:val="0"/>
          <w:numId w:val="2"/>
        </w:numPr>
        <w:spacing w:after="80" w:line="276"/>
      </w:pPr>
      <w:r>
        <w:rPr>
          <w:b/>
          <w:bCs/>
          <w:sz w:val="21"/>
          <w:szCs w:val="21"/>
        </w:rPr>
        <w:t xml:space="preserve">"Mr. Holmes"</w:t>
      </w:r>
      <w:r>
        <w:rPr>
          <w:sz w:val="21"/>
          <w:szCs w:val="21"/>
        </w:rPr>
        <w:t xml:space="preserve"> (the assistant persona’s name in the panel, without "Sherlock") is confirmed low-risk/public-domain — safe to keep or reuse in copy for external stakeholders.</w:t>
      </w:r>
    </w:p>
    <w:p>
      <w:pPr>
        <w:pStyle w:val="Heading1"/>
        <w:pBdr>
          <w:bottom w:val="single" w:color="B45309" w:sz="6" w:space="4"/>
        </w:pBdr>
        <w:spacing w:after="200" w:before="400"/>
      </w:pPr>
      <w:r>
        <w:rPr>
          <w:b/>
          <w:bCs/>
          <w:color w:val="1F2937"/>
          <w:sz w:val="30"/>
          <w:szCs w:val="30"/>
        </w:rPr>
        <w:t xml:space="preserve">4. System at a glance — three rule trees</w:t>
      </w:r>
    </w:p>
    <w:p>
      <w:pPr>
        <w:spacing w:after="160" w:line="276"/>
      </w:pPr>
      <w:r>
        <w:rPr>
          <w:sz w:val="21"/>
          <w:szCs w:val="21"/>
        </w:rPr>
        <w:t xml:space="preserve">Registered in RULE_TREES (apps/agent/src/features/agent/call/amber/tree.ts). No fourth tree exists.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2805"/>
        <w:gridCol w:w="6545"/>
      </w:tblGrid>
      <w:tr>
        <w:trPr>
          <w:tblHeader/>
        </w:trPr>
        <w:tc>
          <w:tcPr>
            <w:tcW w:type="dxa" w:w="2805"/>
            <w:shd w:fill="F3F4F6" w:val="clear"/>
            <w:tcMar>
              <w:top w:type="dxa" w:w="80"/>
              <w:left w:type="dxa" w:w="120"/>
              <w:bottom w:type="dxa" w:w="80"/>
              <w:right w:type="dxa" w:w="120"/>
            </w:tcMar>
          </w:tcPr>
          <w:p>
            <w:r>
              <w:rPr>
                <w:b/>
                <w:bCs/>
                <w:color w:val="1F2937"/>
                <w:sz w:val="19"/>
                <w:szCs w:val="19"/>
              </w:rPr>
              <w:t xml:space="preserve">Tree</w:t>
            </w:r>
          </w:p>
        </w:tc>
        <w:tc>
          <w:tcPr>
            <w:tcW w:type="dxa" w:w="6545"/>
            <w:shd w:fill="F3F4F6" w:val="clear"/>
            <w:tcMar>
              <w:top w:type="dxa" w:w="80"/>
              <w:left w:type="dxa" w:w="120"/>
              <w:bottom w:type="dxa" w:w="80"/>
              <w:right w:type="dxa" w:w="120"/>
            </w:tcMar>
          </w:tcPr>
          <w:p>
            <w:r>
              <w:rPr>
                <w:b/>
                <w:bCs/>
                <w:color w:val="1F2937"/>
                <w:sz w:val="19"/>
                <w:szCs w:val="19"/>
              </w:rPr>
              <w:t xml:space="preserve">What it checks / Personas</w:t>
            </w:r>
          </w:p>
        </w:tc>
      </w:tr>
      <w:tr>
        <w:tc>
          <w:tcPr>
            <w:tcW w:type="dxa" w:w="2805"/>
            <w:tcMar>
              <w:top w:type="dxa" w:w="80"/>
              <w:left w:type="dxa" w:w="120"/>
              <w:bottom w:type="dxa" w:w="80"/>
              <w:right w:type="dxa" w:w="120"/>
            </w:tcMar>
          </w:tcPr>
          <w:p>
            <w:r>
              <w:rPr>
                <w:sz w:val="19"/>
                <w:szCs w:val="19"/>
              </w:rPr>
              <w:t xml:space="preserve">sim_circle_mismatch</w:t>
            </w:r>
          </w:p>
        </w:tc>
        <w:tc>
          <w:tcPr>
            <w:tcW w:type="dxa" w:w="6545"/>
            <w:tcMar>
              <w:top w:type="dxa" w:w="80"/>
              <w:left w:type="dxa" w:w="120"/>
              <w:bottom w:type="dxa" w:w="80"/>
              <w:right w:type="dxa" w:w="120"/>
            </w:tcMar>
          </w:tcPr>
          <w:p>
            <w:r>
              <w:rPr>
                <w:sz w:val="19"/>
                <w:szCs w:val="19"/>
              </w:rPr>
              <w:t xml:space="preserve">SIM circle vs. declared address. Personas: Ramesh Kumar, Suresh Yadav.</w:t>
            </w:r>
          </w:p>
        </w:tc>
      </w:tr>
      <w:tr>
        <w:tc>
          <w:tcPr>
            <w:tcW w:type="dxa" w:w="2805"/>
            <w:tcMar>
              <w:top w:type="dxa" w:w="80"/>
              <w:left w:type="dxa" w:w="120"/>
              <w:bottom w:type="dxa" w:w="80"/>
              <w:right w:type="dxa" w:w="120"/>
            </w:tcMar>
          </w:tcPr>
          <w:p>
            <w:r>
              <w:rPr>
                <w:sz w:val="19"/>
                <w:szCs w:val="19"/>
              </w:rPr>
              <w:t xml:space="preserve">farmer_income_mismatch</w:t>
            </w:r>
          </w:p>
        </w:tc>
        <w:tc>
          <w:tcPr>
            <w:tcW w:type="dxa" w:w="6545"/>
            <w:tcMar>
              <w:top w:type="dxa" w:w="80"/>
              <w:left w:type="dxa" w:w="120"/>
              <w:bottom w:type="dxa" w:w="80"/>
              <w:right w:type="dxa" w:w="120"/>
            </w:tcMar>
          </w:tcPr>
          <w:p>
            <w:r>
              <w:rPr>
                <w:sz w:val="19"/>
                <w:szCs w:val="19"/>
              </w:rPr>
              <w:t xml:space="preserve">Declared income vs. crop/land arithmetic. Personas: Ramesh Yadav, Meena Devi, Bhagwan Singh, Dilip Chaudhary. The most fully built tree — bilingual, live LLM classification — and the most likely to appear in a demo.</w:t>
            </w:r>
          </w:p>
        </w:tc>
      </w:tr>
      <w:tr>
        <w:tc>
          <w:tcPr>
            <w:tcW w:type="dxa" w:w="2805"/>
            <w:tcMar>
              <w:top w:type="dxa" w:w="80"/>
              <w:left w:type="dxa" w:w="120"/>
              <w:bottom w:type="dxa" w:w="80"/>
              <w:right w:type="dxa" w:w="120"/>
            </w:tcMar>
          </w:tcPr>
          <w:p>
            <w:r>
              <w:rPr>
                <w:sz w:val="19"/>
                <w:szCs w:val="19"/>
              </w:rPr>
              <w:t xml:space="preserve">premium_address_risk</w:t>
            </w:r>
          </w:p>
        </w:tc>
        <w:tc>
          <w:tcPr>
            <w:tcW w:type="dxa" w:w="6545"/>
            <w:tcMar>
              <w:top w:type="dxa" w:w="80"/>
              <w:left w:type="dxa" w:w="120"/>
              <w:bottom w:type="dxa" w:w="80"/>
              <w:right w:type="dxa" w:w="120"/>
            </w:tcMar>
          </w:tcPr>
          <w:p>
            <w:r>
              <w:rPr>
                <w:sz w:val="19"/>
                <w:szCs w:val="19"/>
              </w:rPr>
              <w:t xml:space="preserve">Declared address vs. income/occupation. Personas: Lakshmi Bai, Meena Devi (a different persona than the farmer-tree Meena Devi, same display name).</w:t>
            </w:r>
          </w:p>
        </w:tc>
      </w:tr>
    </w:tbl>
    <w:p>
      <w:pPr>
        <w:spacing w:after="120"/>
      </w:pPr>
    </w:p>
    <w:p>
      <w:pPr>
        <w:spacing w:after="160" w:line="276"/>
      </w:pPr>
      <w:r>
        <w:rPr>
          <w:sz w:val="21"/>
          <w:szCs w:val="21"/>
        </w:rPr>
        <w:t xml:space="preserve">Each tree is a short branching question sequence (3–5 questions), rendered one at a time in AmberPanel.tsx, ending at a terminal verdict.</w:t>
      </w:r>
    </w:p>
    <w:p>
      <w:pPr>
        <w:spacing w:after="160" w:line="276"/>
      </w:pPr>
      <w:r>
        <w:rPr>
          <w:sz w:val="21"/>
          <w:szCs w:val="21"/>
        </w:rPr>
        <w:t xml:space="preserve">Classification: the farmer tree classifies applicant answers via two real Claude Haiku API calls (bucket classification, plus a literal-acreage-figure extraction) — genuine, billed, live inference, not a mock. SIM and premium-address trees use keyword/phrase matching instead. This is why the farmer tree’s "Mr. Holmes is reviewing the response…" loading state is a real async wait, not a fake delay — don’t remove or shorten it as if it were decorative.</w:t>
      </w:r>
    </w:p>
    <w:p>
      <w:pPr>
        <w:spacing w:after="160" w:line="276"/>
      </w:pPr>
      <w:r>
        <w:rPr>
          <w:sz w:val="21"/>
          <w:szCs w:val="21"/>
        </w:rPr>
        <w:t xml:space="preserve">Speech-to-text: a 3-tier fallback — ElevenLabs Scribe v2 Realtime (primary) → Google Cloud (dead code today, no key provisioned) → Web Speech API (final fallback) — shared across all three trees. Entirely invisible to the UI; the agent never sees which provider is active underneath the mic button.</w:t>
      </w:r>
    </w:p>
    <w:p>
      <w:pPr>
        <w:pStyle w:val="Heading1"/>
        <w:pBdr>
          <w:bottom w:val="single" w:color="B45309" w:sz="6" w:space="4"/>
        </w:pBdr>
        <w:spacing w:after="200" w:before="400"/>
      </w:pPr>
      <w:r>
        <w:rPr>
          <w:b/>
          <w:bCs/>
          <w:color w:val="1F2937"/>
          <w:sz w:val="30"/>
          <w:szCs w:val="30"/>
        </w:rPr>
        <w:t xml:space="preserve">5. UI surface map — every screen you’ll likely touch</w:t>
      </w:r>
    </w:p>
    <w:p>
      <w:pPr>
        <w:spacing w:after="160" w:line="276"/>
      </w:pPr>
      <w:r>
        <w:rPr>
          <w:sz w:val="21"/>
          <w:szCs w:val="21"/>
        </w:rPr>
        <w:t xml:space="preserve">All paths below are relative to apps/agent/src/.</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3740"/>
        <w:gridCol w:w="5610"/>
      </w:tblGrid>
      <w:tr>
        <w:trPr>
          <w:tblHeader/>
        </w:trPr>
        <w:tc>
          <w:tcPr>
            <w:tcW w:type="dxa" w:w="3740"/>
            <w:shd w:fill="F3F4F6" w:val="clear"/>
            <w:tcMar>
              <w:top w:type="dxa" w:w="80"/>
              <w:left w:type="dxa" w:w="120"/>
              <w:bottom w:type="dxa" w:w="80"/>
              <w:right w:type="dxa" w:w="120"/>
            </w:tcMar>
          </w:tcPr>
          <w:p>
            <w:r>
              <w:rPr>
                <w:b/>
                <w:bCs/>
                <w:color w:val="1F2937"/>
                <w:sz w:val="19"/>
                <w:szCs w:val="19"/>
              </w:rPr>
              <w:t xml:space="preserve">File</w:t>
            </w:r>
          </w:p>
        </w:tc>
        <w:tc>
          <w:tcPr>
            <w:tcW w:type="dxa" w:w="5610"/>
            <w:shd w:fill="F3F4F6" w:val="clear"/>
            <w:tcMar>
              <w:top w:type="dxa" w:w="80"/>
              <w:left w:type="dxa" w:w="120"/>
              <w:bottom w:type="dxa" w:w="80"/>
              <w:right w:type="dxa" w:w="120"/>
            </w:tcMar>
          </w:tcPr>
          <w:p>
            <w:r>
              <w:rPr>
                <w:b/>
                <w:bCs/>
                <w:color w:val="1F2937"/>
                <w:sz w:val="19"/>
                <w:szCs w:val="19"/>
              </w:rPr>
              <w:t xml:space="preserve">What it renders</w:t>
            </w:r>
          </w:p>
        </w:tc>
      </w:tr>
      <w:tr>
        <w:tc>
          <w:tcPr>
            <w:tcW w:type="dxa" w:w="3740"/>
            <w:tcMar>
              <w:top w:type="dxa" w:w="80"/>
              <w:left w:type="dxa" w:w="120"/>
              <w:bottom w:type="dxa" w:w="80"/>
              <w:right w:type="dxa" w:w="120"/>
            </w:tcMar>
          </w:tcPr>
          <w:p>
            <w:r>
              <w:rPr>
                <w:sz w:val="19"/>
                <w:szCs w:val="19"/>
              </w:rPr>
              <w:t xml:space="preserve">features/agent/call/amber/AmberPanel.tsx</w:t>
            </w:r>
          </w:p>
        </w:tc>
        <w:tc>
          <w:tcPr>
            <w:tcW w:type="dxa" w:w="5610"/>
            <w:tcMar>
              <w:top w:type="dxa" w:w="80"/>
              <w:left w:type="dxa" w:w="120"/>
              <w:bottom w:type="dxa" w:w="80"/>
              <w:right w:type="dxa" w:w="120"/>
            </w:tcMar>
          </w:tcPr>
          <w:p>
            <w:r>
              <w:rPr>
                <w:sz w:val="19"/>
                <w:szCs w:val="19"/>
              </w:rPr>
              <w:t xml:space="preserve">The main live-call resolution panel — by far the largest and most important surface. Header/progress bar, question card, speech-capture control, abort/escalation accordion, quick-flags/handover controls, and the final ResolutionCard.</w:t>
            </w:r>
          </w:p>
        </w:tc>
      </w:tr>
      <w:tr>
        <w:tc>
          <w:tcPr>
            <w:tcW w:type="dxa" w:w="3740"/>
            <w:tcMar>
              <w:top w:type="dxa" w:w="80"/>
              <w:left w:type="dxa" w:w="120"/>
              <w:bottom w:type="dxa" w:w="80"/>
              <w:right w:type="dxa" w:w="120"/>
            </w:tcMar>
          </w:tcPr>
          <w:p>
            <w:r>
              <w:rPr>
                <w:sz w:val="19"/>
                <w:szCs w:val="19"/>
              </w:rPr>
              <w:t xml:space="preserve">features/agent/QueuePage.tsx</w:t>
            </w:r>
          </w:p>
        </w:tc>
        <w:tc>
          <w:tcPr>
            <w:tcW w:type="dxa" w:w="5610"/>
            <w:tcMar>
              <w:top w:type="dxa" w:w="80"/>
              <w:left w:type="dxa" w:w="120"/>
              <w:bottom w:type="dxa" w:w="80"/>
              <w:right w:type="dxa" w:w="120"/>
            </w:tcMar>
          </w:tcPr>
          <w:p>
            <w:r>
              <w:rPr>
                <w:sz w:val="19"/>
                <w:szCs w:val="19"/>
              </w:rPr>
              <w:t xml:space="preserve">The agent’s queue table before taking a call — Customer / Band / Score / Risk Profile / Rules columns.</w:t>
            </w:r>
          </w:p>
        </w:tc>
      </w:tr>
      <w:tr>
        <w:tc>
          <w:tcPr>
            <w:tcW w:type="dxa" w:w="3740"/>
            <w:tcMar>
              <w:top w:type="dxa" w:w="80"/>
              <w:left w:type="dxa" w:w="120"/>
              <w:bottom w:type="dxa" w:w="80"/>
              <w:right w:type="dxa" w:w="120"/>
            </w:tcMar>
          </w:tcPr>
          <w:p>
            <w:r>
              <w:rPr>
                <w:sz w:val="19"/>
                <w:szCs w:val="19"/>
              </w:rPr>
              <w:t xml:space="preserve">features/agent/call/steps/CustomerDetailsStep.tsx</w:t>
            </w:r>
          </w:p>
        </w:tc>
        <w:tc>
          <w:tcPr>
            <w:tcW w:type="dxa" w:w="5610"/>
            <w:tcMar>
              <w:top w:type="dxa" w:w="80"/>
              <w:left w:type="dxa" w:w="120"/>
              <w:bottom w:type="dxa" w:w="80"/>
              <w:right w:type="dxa" w:w="120"/>
            </w:tcMar>
          </w:tcPr>
          <w:p>
            <w:r>
              <w:rPr>
                <w:sz w:val="19"/>
                <w:szCs w:val="19"/>
              </w:rPr>
              <w:t xml:space="preserve">Pre-call customer detail screen; shows all 5 risk dimensions via the shared DimensionList component.</w:t>
            </w:r>
          </w:p>
        </w:tc>
      </w:tr>
      <w:tr>
        <w:tc>
          <w:tcPr>
            <w:tcW w:type="dxa" w:w="3740"/>
            <w:tcMar>
              <w:top w:type="dxa" w:w="80"/>
              <w:left w:type="dxa" w:w="120"/>
              <w:bottom w:type="dxa" w:w="80"/>
              <w:right w:type="dxa" w:w="120"/>
            </w:tcMar>
          </w:tcPr>
          <w:p>
            <w:r>
              <w:rPr>
                <w:sz w:val="19"/>
                <w:szCs w:val="19"/>
              </w:rPr>
              <w:t xml:space="preserve">features/agent/components/RiskSnapshotModal.tsx</w:t>
            </w:r>
          </w:p>
        </w:tc>
        <w:tc>
          <w:tcPr>
            <w:tcW w:type="dxa" w:w="5610"/>
            <w:tcMar>
              <w:top w:type="dxa" w:w="80"/>
              <w:left w:type="dxa" w:w="120"/>
              <w:bottom w:type="dxa" w:w="80"/>
              <w:right w:type="dxa" w:w="120"/>
            </w:tcMar>
          </w:tcPr>
          <w:p>
            <w:r>
              <w:rPr>
                <w:sz w:val="19"/>
                <w:szCs w:val="19"/>
              </w:rPr>
              <w:t xml:space="preserve">Modal opened from a queue-row click; also renders DimensionList — restyling that component affects both surfaces at once.</w:t>
            </w:r>
          </w:p>
        </w:tc>
      </w:tr>
      <w:tr>
        <w:tc>
          <w:tcPr>
            <w:tcW w:type="dxa" w:w="3740"/>
            <w:tcMar>
              <w:top w:type="dxa" w:w="80"/>
              <w:left w:type="dxa" w:w="120"/>
              <w:bottom w:type="dxa" w:w="80"/>
              <w:right w:type="dxa" w:w="120"/>
            </w:tcMar>
          </w:tcPr>
          <w:p>
            <w:r>
              <w:rPr>
                <w:sz w:val="19"/>
                <w:szCs w:val="19"/>
              </w:rPr>
              <w:t xml:space="preserve">components/call/PostCallConfirmation.tsx</w:t>
            </w:r>
          </w:p>
        </w:tc>
        <w:tc>
          <w:tcPr>
            <w:tcW w:type="dxa" w:w="5610"/>
            <w:tcMar>
              <w:top w:type="dxa" w:w="80"/>
              <w:left w:type="dxa" w:w="120"/>
              <w:bottom w:type="dxa" w:w="80"/>
              <w:right w:type="dxa" w:w="120"/>
            </w:tcMar>
          </w:tcPr>
          <w:p>
            <w:r>
              <w:rPr>
                <w:sz w:val="19"/>
                <w:szCs w:val="19"/>
              </w:rPr>
              <w:t xml:space="preserve">Post-call Case Summary screen, including CaseSummaryFields.</w:t>
            </w:r>
          </w:p>
        </w:tc>
      </w:tr>
      <w:tr>
        <w:tc>
          <w:tcPr>
            <w:tcW w:type="dxa" w:w="3740"/>
            <w:tcMar>
              <w:top w:type="dxa" w:w="80"/>
              <w:left w:type="dxa" w:w="120"/>
              <w:bottom w:type="dxa" w:w="80"/>
              <w:right w:type="dxa" w:w="120"/>
            </w:tcMar>
          </w:tcPr>
          <w:p>
            <w:r>
              <w:rPr>
                <w:sz w:val="19"/>
                <w:szCs w:val="19"/>
              </w:rPr>
              <w:t xml:space="preserve">components/agent-status/IncomingCallCard.tsx / IncomingCallOverlay.tsx</w:t>
            </w:r>
          </w:p>
        </w:tc>
        <w:tc>
          <w:tcPr>
            <w:tcW w:type="dxa" w:w="5610"/>
            <w:tcMar>
              <w:top w:type="dxa" w:w="80"/>
              <w:left w:type="dxa" w:w="120"/>
              <w:bottom w:type="dxa" w:w="80"/>
              <w:right w:type="dxa" w:w="120"/>
            </w:tcMar>
          </w:tcPr>
          <w:p>
            <w:r>
              <w:rPr>
                <w:sz w:val="19"/>
                <w:szCs w:val="19"/>
              </w:rPr>
              <w:t xml:space="preserve">Incoming-call notification — shows customer avatar and declared language.</w:t>
            </w:r>
          </w:p>
        </w:tc>
      </w:tr>
    </w:tbl>
    <w:p>
      <w:pPr>
        <w:pStyle w:val="Heading1"/>
        <w:pBdr>
          <w:bottom w:val="single" w:color="B45309" w:sz="6" w:space="4"/>
        </w:pBdr>
        <w:spacing w:after="200" w:before="400"/>
      </w:pPr>
      <w:r>
        <w:rPr>
          <w:b/>
          <w:bCs/>
          <w:color w:val="1F2937"/>
          <w:sz w:val="30"/>
          <w:szCs w:val="30"/>
        </w:rPr>
        <w:t xml:space="preserve">6. Full UI copy inventory</w:t>
      </w:r>
    </w:p>
    <w:p>
      <w:pPr>
        <w:spacing w:after="160" w:line="276"/>
      </w:pPr>
      <w:r>
        <w:rPr>
          <w:sz w:val="21"/>
          <w:szCs w:val="21"/>
        </w:rPr>
        <w:t xml:space="preserve">For proofreading and restyling without changing meaning. Grouped by the screen/component each string lives in.</w:t>
      </w:r>
    </w:p>
    <w:p>
      <w:pPr>
        <w:pStyle w:val="Heading3"/>
        <w:spacing w:after="80" w:before="200"/>
      </w:pPr>
      <w:r>
        <w:rPr>
          <w:b/>
          <w:bCs/>
          <w:color w:val="B45309"/>
          <w:sz w:val="21"/>
          <w:szCs w:val="21"/>
        </w:rPr>
        <w:t xml:space="preserve">AmberPanel.tsx — persistent header / progress bar</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5610"/>
        <w:gridCol w:w="3740"/>
      </w:tblGrid>
      <w:tr>
        <w:trPr>
          <w:tblHeader/>
        </w:trPr>
        <w:tc>
          <w:tcPr>
            <w:tcW w:type="dxa" w:w="5610"/>
            <w:shd w:fill="F3F4F6" w:val="clear"/>
            <w:tcMar>
              <w:top w:type="dxa" w:w="80"/>
              <w:left w:type="dxa" w:w="120"/>
              <w:bottom w:type="dxa" w:w="80"/>
              <w:right w:type="dxa" w:w="120"/>
            </w:tcMar>
          </w:tcPr>
          <w:p>
            <w:r>
              <w:rPr>
                <w:b/>
                <w:bCs/>
                <w:color w:val="1F2937"/>
                <w:sz w:val="19"/>
                <w:szCs w:val="19"/>
              </w:rPr>
              <w:t xml:space="preserve">Text</w:t>
            </w:r>
          </w:p>
        </w:tc>
        <w:tc>
          <w:tcPr>
            <w:tcW w:type="dxa" w:w="3740"/>
            <w:shd w:fill="F3F4F6" w:val="clear"/>
            <w:tcMar>
              <w:top w:type="dxa" w:w="80"/>
              <w:left w:type="dxa" w:w="120"/>
              <w:bottom w:type="dxa" w:w="80"/>
              <w:right w:type="dxa" w:w="120"/>
            </w:tcMar>
          </w:tcPr>
          <w:p>
            <w:r>
              <w:rPr>
                <w:b/>
                <w:bCs/>
                <w:color w:val="1F2937"/>
                <w:sz w:val="19"/>
                <w:szCs w:val="19"/>
              </w:rPr>
              <w:t xml:space="preserve">Notes</w:t>
            </w:r>
          </w:p>
        </w:tc>
      </w:tr>
      <w:tr>
        <w:tc>
          <w:tcPr>
            <w:tcW w:type="dxa" w:w="5610"/>
            <w:tcMar>
              <w:top w:type="dxa" w:w="80"/>
              <w:left w:type="dxa" w:w="120"/>
              <w:bottom w:type="dxa" w:w="80"/>
              <w:right w:type="dxa" w:w="120"/>
            </w:tcMar>
          </w:tcPr>
          <w:p>
            <w:r>
              <w:rPr>
                <w:sz w:val="19"/>
                <w:szCs w:val="19"/>
              </w:rPr>
              <w:t xml:space="preserve">"All KYC steps completed. Resolving {N} flagged signal(s)."</w:t>
            </w:r>
          </w:p>
        </w:tc>
        <w:tc>
          <w:tcPr>
            <w:tcW w:type="dxa" w:w="3740"/>
            <w:tcMar>
              <w:top w:type="dxa" w:w="80"/>
              <w:left w:type="dxa" w:w="120"/>
              <w:bottom w:type="dxa" w:w="80"/>
              <w:right w:type="dxa" w:w="120"/>
            </w:tcMar>
          </w:tcPr>
          <w:p>
            <w:r>
              <w:rPr>
                <w:sz w:val="19"/>
                <w:szCs w:val="19"/>
              </w:rPr>
              <w:t xml:space="preserve"/>
            </w:r>
          </w:p>
        </w:tc>
      </w:tr>
      <w:tr>
        <w:tc>
          <w:tcPr>
            <w:tcW w:type="dxa" w:w="5610"/>
            <w:tcMar>
              <w:top w:type="dxa" w:w="80"/>
              <w:left w:type="dxa" w:w="120"/>
              <w:bottom w:type="dxa" w:w="80"/>
              <w:right w:type="dxa" w:w="120"/>
            </w:tcMar>
          </w:tcPr>
          <w:p>
            <w:r>
              <w:rPr>
                <w:sz w:val="19"/>
                <w:szCs w:val="19"/>
              </w:rPr>
              <w:t xml:space="preserve">"AMBER CASE" (tag)</w:t>
            </w:r>
          </w:p>
        </w:tc>
        <w:tc>
          <w:tcPr>
            <w:tcW w:type="dxa" w:w="3740"/>
            <w:tcMar>
              <w:top w:type="dxa" w:w="80"/>
              <w:left w:type="dxa" w:w="120"/>
              <w:bottom w:type="dxa" w:w="80"/>
              <w:right w:type="dxa" w:w="120"/>
            </w:tcMar>
          </w:tcPr>
          <w:p>
            <w:r>
              <w:rPr>
                <w:sz w:val="19"/>
                <w:szCs w:val="19"/>
              </w:rPr>
              <w:t xml:space="preserve"/>
            </w:r>
          </w:p>
        </w:tc>
      </w:tr>
      <w:tr>
        <w:tc>
          <w:tcPr>
            <w:tcW w:type="dxa" w:w="5610"/>
            <w:tcMar>
              <w:top w:type="dxa" w:w="80"/>
              <w:left w:type="dxa" w:w="120"/>
              <w:bottom w:type="dxa" w:w="80"/>
              <w:right w:type="dxa" w:w="120"/>
            </w:tcMar>
          </w:tcPr>
          <w:p>
            <w:r>
              <w:rPr>
                <w:sz w:val="19"/>
                <w:szCs w:val="19"/>
              </w:rPr>
              <w:t xml:space="preserve">"Question {N} of 3–5"</w:t>
            </w:r>
          </w:p>
        </w:tc>
        <w:tc>
          <w:tcPr>
            <w:tcW w:type="dxa" w:w="3740"/>
            <w:tcMar>
              <w:top w:type="dxa" w:w="80"/>
              <w:left w:type="dxa" w:w="120"/>
              <w:bottom w:type="dxa" w:w="80"/>
              <w:right w:type="dxa" w:w="120"/>
            </w:tcMar>
          </w:tcPr>
          <w:p>
            <w:r>
              <w:rPr>
                <w:sz w:val="19"/>
                <w:szCs w:val="19"/>
              </w:rPr>
              <w:t xml:space="preserve"/>
            </w:r>
          </w:p>
        </w:tc>
      </w:tr>
      <w:tr>
        <w:tc>
          <w:tcPr>
            <w:tcW w:type="dxa" w:w="5610"/>
            <w:tcMar>
              <w:top w:type="dxa" w:w="80"/>
              <w:left w:type="dxa" w:w="120"/>
              <w:bottom w:type="dxa" w:w="80"/>
              <w:right w:type="dxa" w:w="120"/>
            </w:tcMar>
          </w:tcPr>
          <w:p>
            <w:r>
              <w:rPr>
                <w:sz w:val="19"/>
                <w:szCs w:val="19"/>
              </w:rPr>
              <w:t xml:space="preserve">"Fired rules:"</w:t>
            </w:r>
          </w:p>
        </w:tc>
        <w:tc>
          <w:tcPr>
            <w:tcW w:type="dxa" w:w="3740"/>
            <w:tcMar>
              <w:top w:type="dxa" w:w="80"/>
              <w:left w:type="dxa" w:w="120"/>
              <w:bottom w:type="dxa" w:w="80"/>
              <w:right w:type="dxa" w:w="120"/>
            </w:tcMar>
          </w:tcPr>
          <w:p>
            <w:r>
              <w:rPr>
                <w:sz w:val="19"/>
                <w:szCs w:val="19"/>
              </w:rPr>
              <w:t xml:space="preserve"/>
            </w:r>
          </w:p>
        </w:tc>
      </w:tr>
      <w:tr>
        <w:tc>
          <w:tcPr>
            <w:tcW w:type="dxa" w:w="5610"/>
            <w:tcMar>
              <w:top w:type="dxa" w:w="80"/>
              <w:left w:type="dxa" w:w="120"/>
              <w:bottom w:type="dxa" w:w="80"/>
              <w:right w:type="dxa" w:w="120"/>
            </w:tcMar>
          </w:tcPr>
          <w:p>
            <w:r>
              <w:rPr>
                <w:sz w:val="19"/>
                <w:szCs w:val="19"/>
              </w:rPr>
              <w:t xml:space="preserve">"Handed over {N} time(s) — {detail}"</w:t>
            </w:r>
          </w:p>
        </w:tc>
        <w:tc>
          <w:tcPr>
            <w:tcW w:type="dxa" w:w="3740"/>
            <w:tcMar>
              <w:top w:type="dxa" w:w="80"/>
              <w:left w:type="dxa" w:w="120"/>
              <w:bottom w:type="dxa" w:w="80"/>
              <w:right w:type="dxa" w:w="120"/>
            </w:tcMar>
          </w:tcPr>
          <w:p>
            <w:r>
              <w:rPr>
                <w:sz w:val="19"/>
                <w:szCs w:val="19"/>
              </w:rPr>
              <w:t xml:space="preserve"/>
            </w:r>
          </w:p>
        </w:tc>
      </w:tr>
    </w:tbl>
    <w:p>
      <w:pPr>
        <w:pStyle w:val="Heading3"/>
        <w:spacing w:after="80" w:before="200"/>
      </w:pPr>
      <w:r>
        <w:rPr>
          <w:b/>
          <w:bCs/>
          <w:color w:val="B45309"/>
          <w:sz w:val="21"/>
          <w:szCs w:val="21"/>
        </w:rPr>
        <w:t xml:space="preserve">AmberPanel.tsx — question card</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5143"/>
        <w:gridCol w:w="4208"/>
      </w:tblGrid>
      <w:tr>
        <w:trPr>
          <w:tblHeader/>
        </w:trPr>
        <w:tc>
          <w:tcPr>
            <w:tcW w:type="dxa" w:w="5143"/>
            <w:shd w:fill="F3F4F6" w:val="clear"/>
            <w:tcMar>
              <w:top w:type="dxa" w:w="80"/>
              <w:left w:type="dxa" w:w="120"/>
              <w:bottom w:type="dxa" w:w="80"/>
              <w:right w:type="dxa" w:w="120"/>
            </w:tcMar>
          </w:tcPr>
          <w:p>
            <w:r>
              <w:rPr>
                <w:b/>
                <w:bCs/>
                <w:color w:val="1F2937"/>
                <w:sz w:val="19"/>
                <w:szCs w:val="19"/>
              </w:rPr>
              <w:t xml:space="preserve">Text</w:t>
            </w:r>
          </w:p>
        </w:tc>
        <w:tc>
          <w:tcPr>
            <w:tcW w:type="dxa" w:w="4208"/>
            <w:shd w:fill="F3F4F6" w:val="clear"/>
            <w:tcMar>
              <w:top w:type="dxa" w:w="80"/>
              <w:left w:type="dxa" w:w="120"/>
              <w:bottom w:type="dxa" w:w="80"/>
              <w:right w:type="dxa" w:w="120"/>
            </w:tcMar>
          </w:tcPr>
          <w:p>
            <w:r>
              <w:rPr>
                <w:b/>
                <w:bCs/>
                <w:color w:val="1F2937"/>
                <w:sz w:val="19"/>
                <w:szCs w:val="19"/>
              </w:rPr>
              <w:t xml:space="preserve">Notes</w:t>
            </w:r>
          </w:p>
        </w:tc>
      </w:tr>
      <w:tr>
        <w:tc>
          <w:tcPr>
            <w:tcW w:type="dxa" w:w="5143"/>
            <w:tcMar>
              <w:top w:type="dxa" w:w="80"/>
              <w:left w:type="dxa" w:w="120"/>
              <w:bottom w:type="dxa" w:w="80"/>
              <w:right w:type="dxa" w:w="120"/>
            </w:tcMar>
          </w:tcPr>
          <w:p>
            <w:r>
              <w:rPr>
                <w:sz w:val="19"/>
                <w:szCs w:val="19"/>
              </w:rPr>
              <w:t xml:space="preserve">node.question (+ node.questionHi below it, farmer tree only)</w:t>
            </w:r>
          </w:p>
        </w:tc>
        <w:tc>
          <w:tcPr>
            <w:tcW w:type="dxa" w:w="4208"/>
            <w:tcMar>
              <w:top w:type="dxa" w:w="80"/>
              <w:left w:type="dxa" w:w="120"/>
              <w:bottom w:type="dxa" w:w="80"/>
              <w:right w:type="dxa" w:w="120"/>
            </w:tcMar>
          </w:tcPr>
          <w:p>
            <w:r>
              <w:rPr>
                <w:sz w:val="19"/>
                <w:szCs w:val="19"/>
              </w:rPr>
              <w:t xml:space="preserve">Farmer-tree questions render two lines/two languages, always both visible — see section 7</w:t>
            </w:r>
          </w:p>
        </w:tc>
      </w:tr>
      <w:tr>
        <w:tc>
          <w:tcPr>
            <w:tcW w:type="dxa" w:w="5143"/>
            <w:tcMar>
              <w:top w:type="dxa" w:w="80"/>
              <w:left w:type="dxa" w:w="120"/>
              <w:bottom w:type="dxa" w:w="80"/>
              <w:right w:type="dxa" w:w="120"/>
            </w:tcMar>
          </w:tcPr>
          <w:p>
            <w:r>
              <w:rPr>
                <w:sz w:val="19"/>
                <w:szCs w:val="19"/>
              </w:rPr>
              <w:t xml:space="preserve">"Applicant said:"</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"Mr. Holmes is reviewing the response…"</w:t>
            </w:r>
          </w:p>
        </w:tc>
        <w:tc>
          <w:tcPr>
            <w:tcW w:type="dxa" w:w="4208"/>
            <w:tcMar>
              <w:top w:type="dxa" w:w="80"/>
              <w:left w:type="dxa" w:w="120"/>
              <w:bottom w:type="dxa" w:w="80"/>
              <w:right w:type="dxa" w:w="120"/>
            </w:tcMar>
          </w:tcPr>
          <w:p>
            <w:r>
              <w:rPr>
                <w:sz w:val="19"/>
                <w:szCs w:val="19"/>
              </w:rPr>
              <w:t xml:space="preserve">Real async wait during a live Haiku call — do not treat as purely decorative</w:t>
            </w:r>
          </w:p>
        </w:tc>
      </w:tr>
      <w:tr>
        <w:tc>
          <w:tcPr>
            <w:tcW w:type="dxa" w:w="5143"/>
            <w:tcMar>
              <w:top w:type="dxa" w:w="80"/>
              <w:left w:type="dxa" w:w="120"/>
              <w:bottom w:type="dxa" w:w="80"/>
              <w:right w:type="dxa" w:w="120"/>
            </w:tcMar>
          </w:tcPr>
          <w:p>
            <w:r>
              <w:rPr>
                <w:sz w:val="19"/>
                <w:szCs w:val="19"/>
              </w:rPr>
              <w:t xml:space="preserve">"Matching the applicant’s answer to a response bucket"</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"Listening for one of these responses"</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"Mr. Holmes couldn’t narrow this down — select manually"</w:t>
            </w:r>
          </w:p>
        </w:tc>
        <w:tc>
          <w:tcPr>
            <w:tcW w:type="dxa" w:w="4208"/>
            <w:tcMar>
              <w:top w:type="dxa" w:w="80"/>
              <w:left w:type="dxa" w:w="120"/>
              <w:bottom w:type="dxa" w:w="80"/>
              <w:right w:type="dxa" w:w="120"/>
            </w:tcMar>
          </w:tcPr>
          <w:p>
            <w:r>
              <w:rPr>
                <w:sz w:val="19"/>
                <w:szCs w:val="19"/>
              </w:rPr>
              <w:t xml:space="preserve">Shown when classification is null or low-confidence</w:t>
            </w:r>
          </w:p>
        </w:tc>
      </w:tr>
      <w:tr>
        <w:tc>
          <w:tcPr>
            <w:tcW w:type="dxa" w:w="5143"/>
            <w:tcMar>
              <w:top w:type="dxa" w:w="80"/>
              <w:left w:type="dxa" w:w="120"/>
              <w:bottom w:type="dxa" w:w="80"/>
              <w:right w:type="dxa" w:w="120"/>
            </w:tcMar>
          </w:tcPr>
          <w:p>
            <w:r>
              <w:rPr>
                <w:sz w:val="19"/>
                <w:szCs w:val="19"/>
              </w:rPr>
              <w:t xml:space="preserve">"Retake — listen again" (button)</w:t>
            </w:r>
          </w:p>
        </w:tc>
        <w:tc>
          <w:tcPr>
            <w:tcW w:type="dxa" w:w="4208"/>
            <w:tcMar>
              <w:top w:type="dxa" w:w="80"/>
              <w:left w:type="dxa" w:w="120"/>
              <w:bottom w:type="dxa" w:w="80"/>
              <w:right w:type="dxa" w:w="120"/>
            </w:tcMar>
          </w:tcPr>
          <w:p>
            <w:r>
              <w:rPr>
                <w:sz w:val="19"/>
                <w:szCs w:val="19"/>
              </w:rPr>
              <w:t xml:space="preserve">Uncapped since round 23 — always clickable, any number of times</w:t>
            </w:r>
          </w:p>
        </w:tc>
      </w:tr>
      <w:tr>
        <w:tc>
          <w:tcPr>
            <w:tcW w:type="dxa" w:w="5143"/>
            <w:tcMar>
              <w:top w:type="dxa" w:w="80"/>
              <w:left w:type="dxa" w:w="120"/>
              <w:bottom w:type="dxa" w:w="80"/>
              <w:right w:type="dxa" w:w="120"/>
            </w:tcMar>
          </w:tcPr>
          <w:p>
            <w:r>
              <w:rPr>
                <w:sz w:val="19"/>
                <w:szCs w:val="19"/>
              </w:rPr>
              <w:t xml:space="preserve">"Mr. Holmes suggests"</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"Confirm" (button)</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"Not what they said? Retake" (button)</w:t>
            </w:r>
          </w:p>
        </w:tc>
        <w:tc>
          <w:tcPr>
            <w:tcW w:type="dxa" w:w="4208"/>
            <w:tcMar>
              <w:top w:type="dxa" w:w="80"/>
              <w:left w:type="dxa" w:w="120"/>
              <w:bottom w:type="dxa" w:w="80"/>
              <w:right w:type="dxa" w:w="120"/>
            </w:tcMar>
          </w:tcPr>
          <w:p>
            <w:r>
              <w:rPr>
                <w:sz w:val="19"/>
                <w:szCs w:val="19"/>
              </w:rPr>
              <w:t xml:space="preserve">Uncapped, same as above</w:t>
            </w:r>
          </w:p>
        </w:tc>
      </w:tr>
      <w:tr>
        <w:tc>
          <w:tcPr>
            <w:tcW w:type="dxa" w:w="5143"/>
            <w:tcMar>
              <w:top w:type="dxa" w:w="80"/>
              <w:left w:type="dxa" w:w="120"/>
              <w:bottom w:type="dxa" w:w="80"/>
              <w:right w:type="dxa" w:w="120"/>
            </w:tcMar>
          </w:tcPr>
          <w:p>
            <w:r>
              <w:rPr>
                <w:sz w:val="19"/>
                <w:szCs w:val="19"/>
              </w:rPr>
              <w:t xml:space="preserve">"Routing to separate review. Optionally add a note for the reviewer before submitting."</w:t>
            </w:r>
          </w:p>
        </w:tc>
        <w:tc>
          <w:tcPr>
            <w:tcW w:type="dxa" w:w="4208"/>
            <w:tcMar>
              <w:top w:type="dxa" w:w="80"/>
              <w:left w:type="dxa" w:w="120"/>
              <w:bottom w:type="dxa" w:w="80"/>
              <w:right w:type="dxa" w:w="120"/>
            </w:tcMar>
          </w:tcPr>
          <w:p>
            <w:r>
              <w:rPr>
                <w:sz w:val="19"/>
                <w:szCs w:val="19"/>
              </w:rPr>
              <w:t xml:space="preserve">The universal "unclear" bucket note box, farmer tree</w:t>
            </w:r>
          </w:p>
        </w:tc>
      </w:tr>
      <w:tr>
        <w:tc>
          <w:tcPr>
            <w:tcW w:type="dxa" w:w="5143"/>
            <w:tcMar>
              <w:top w:type="dxa" w:w="80"/>
              <w:left w:type="dxa" w:w="120"/>
              <w:bottom w:type="dxa" w:w="80"/>
              <w:right w:type="dxa" w:w="120"/>
            </w:tcMar>
          </w:tcPr>
          <w:p>
            <w:r>
              <w:rPr>
                <w:sz w:val="19"/>
                <w:szCs w:val="19"/>
              </w:rPr>
              <w:t xml:space="preserve">"Free-text note (low friction...)" (placeholder)</w:t>
            </w:r>
          </w:p>
        </w:tc>
        <w:tc>
          <w:tcPr>
            <w:tcW w:type="dxa" w:w="4208"/>
            <w:tcMar>
              <w:top w:type="dxa" w:w="80"/>
              <w:left w:type="dxa" w:w="120"/>
              <w:bottom w:type="dxa" w:w="80"/>
              <w:right w:type="dxa" w:w="120"/>
            </w:tcMar>
          </w:tcPr>
          <w:p>
            <w:r>
              <w:rPr>
                <w:sz w:val="19"/>
                <w:szCs w:val="19"/>
              </w:rPr>
              <w:t xml:space="preserve">Shared by the unclear-bucket note box and the older SIM/premium-only "Other" panel</w:t>
            </w:r>
          </w:p>
        </w:tc>
      </w:tr>
      <w:tr>
        <w:tc>
          <w:tcPr>
            <w:tcW w:type="dxa" w:w="5143"/>
            <w:tcMar>
              <w:top w:type="dxa" w:w="80"/>
              <w:left w:type="dxa" w:w="120"/>
              <w:bottom w:type="dxa" w:w="80"/>
              <w:right w:type="dxa" w:w="120"/>
            </w:tcMar>
          </w:tcPr>
          <w:p>
            <w:r>
              <w:rPr>
                <w:sz w:val="19"/>
                <w:szCs w:val="19"/>
              </w:rPr>
              <w:t xml:space="preserve">"Confirm and Route to Separate Review" (button)</w:t>
            </w:r>
          </w:p>
        </w:tc>
        <w:tc>
          <w:tcPr>
            <w:tcW w:type="dxa" w:w="4208"/>
            <w:tcMar>
              <w:top w:type="dxa" w:w="80"/>
              <w:left w:type="dxa" w:w="120"/>
              <w:bottom w:type="dxa" w:w="80"/>
              <w:right w:type="dxa" w:w="120"/>
            </w:tcMar>
          </w:tcPr>
          <w:p>
            <w:r>
              <w:rPr>
                <w:sz w:val="19"/>
                <w:szCs w:val="19"/>
              </w:rPr>
              <w:t xml:space="preserve">The unclear-bucket note box’s submit button</w:t>
            </w:r>
          </w:p>
        </w:tc>
      </w:tr>
      <w:tr>
        <w:tc>
          <w:tcPr>
            <w:tcW w:type="dxa" w:w="5143"/>
            <w:tcMar>
              <w:top w:type="dxa" w:w="80"/>
              <w:left w:type="dxa" w:w="120"/>
              <w:bottom w:type="dxa" w:w="80"/>
              <w:right w:type="dxa" w:w="120"/>
            </w:tcMar>
          </w:tcPr>
          <w:p>
            <w:r>
              <w:rPr>
                <w:sz w:val="19"/>
                <w:szCs w:val="19"/>
              </w:rPr>
              <w:t xml:space="preserve">"Other / does not fit any bucket" (button)</w:t>
            </w:r>
          </w:p>
        </w:tc>
        <w:tc>
          <w:tcPr>
            <w:tcW w:type="dxa" w:w="4208"/>
            <w:tcMar>
              <w:top w:type="dxa" w:w="80"/>
              <w:left w:type="dxa" w:w="120"/>
              <w:bottom w:type="dxa" w:w="80"/>
              <w:right w:type="dxa" w:w="120"/>
            </w:tcMar>
          </w:tcPr>
          <w:p>
            <w:r>
              <w:rPr>
                <w:sz w:val="19"/>
                <w:szCs w:val="19"/>
              </w:rPr>
              <w:t xml:space="preserve">SIM/premium-address trees only — farmer nodes have their own inline "unclear" tap instead</w:t>
            </w:r>
          </w:p>
        </w:tc>
      </w:tr>
      <w:tr>
        <w:tc>
          <w:tcPr>
            <w:tcW w:type="dxa" w:w="5143"/>
            <w:tcMar>
              <w:top w:type="dxa" w:w="80"/>
              <w:left w:type="dxa" w:w="120"/>
              <w:bottom w:type="dxa" w:w="80"/>
              <w:right w:type="dxa" w:w="120"/>
            </w:tcMar>
          </w:tcPr>
          <w:p>
            <w:r>
              <w:rPr>
                <w:sz w:val="19"/>
                <w:szCs w:val="19"/>
              </w:rPr>
              <w:t xml:space="preserve">"Route to separate review" (button)</w:t>
            </w:r>
          </w:p>
        </w:tc>
        <w:tc>
          <w:tcPr>
            <w:tcW w:type="dxa" w:w="4208"/>
            <w:tcMar>
              <w:top w:type="dxa" w:w="80"/>
              <w:left w:type="dxa" w:w="120"/>
              <w:bottom w:type="dxa" w:w="80"/>
              <w:right w:type="dxa" w:w="120"/>
            </w:tcMar>
          </w:tcPr>
          <w:p>
            <w:r>
              <w:rPr>
                <w:sz w:val="19"/>
                <w:szCs w:val="19"/>
              </w:rPr>
              <w:t xml:space="preserve">The older, still-present SIM/premium-only "Other" panel — distinct button from the one above</w:t>
            </w:r>
          </w:p>
        </w:tc>
      </w:tr>
      <w:tr>
        <w:tc>
          <w:tcPr>
            <w:tcW w:type="dxa" w:w="5143"/>
            <w:tcMar>
              <w:top w:type="dxa" w:w="80"/>
              <w:left w:type="dxa" w:w="120"/>
              <w:bottom w:type="dxa" w:w="80"/>
              <w:right w:type="dxa" w:w="120"/>
            </w:tcMar>
          </w:tcPr>
          <w:p>
            <w:r>
              <w:rPr>
                <w:sz w:val="19"/>
                <w:szCs w:val="19"/>
              </w:rPr>
              <w:t xml:space="preserve">"Transcript so far" (eyebrow)</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"(corrected)" (suffix)</w:t>
            </w:r>
          </w:p>
        </w:tc>
        <w:tc>
          <w:tcPr>
            <w:tcW w:type="dxa" w:w="4208"/>
            <w:tcMar>
              <w:top w:type="dxa" w:w="80"/>
              <w:left w:type="dxa" w:w="120"/>
              <w:bottom w:type="dxa" w:w="80"/>
              <w:right w:type="dxa" w:w="120"/>
            </w:tcMar>
          </w:tcPr>
          <w:p>
            <w:r>
              <w:rPr>
                <w:sz w:val="19"/>
                <w:szCs w:val="19"/>
              </w:rPr>
              <w:t xml:space="preserve"/>
            </w:r>
          </w:p>
        </w:tc>
      </w:tr>
    </w:tbl>
    <w:p>
      <w:pPr>
        <w:pStyle w:val="Heading3"/>
        <w:spacing w:after="80" w:before="200"/>
      </w:pPr>
      <w:r>
        <w:rPr>
          <w:b/>
          <w:bCs/>
          <w:color w:val="B45309"/>
          <w:sz w:val="21"/>
          <w:szCs w:val="21"/>
        </w:rPr>
        <w:t xml:space="preserve">AmberPanel.tsx — abort / escalation accordion</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4208"/>
        <w:gridCol w:w="5143"/>
      </w:tblGrid>
      <w:tr>
        <w:trPr>
          <w:tblHeader/>
        </w:trPr>
        <w:tc>
          <w:tcPr>
            <w:tcW w:type="dxa" w:w="4208"/>
            <w:shd w:fill="F3F4F6" w:val="clear"/>
            <w:tcMar>
              <w:top w:type="dxa" w:w="80"/>
              <w:left w:type="dxa" w:w="120"/>
              <w:bottom w:type="dxa" w:w="80"/>
              <w:right w:type="dxa" w:w="120"/>
            </w:tcMar>
          </w:tcPr>
          <w:p>
            <w:r>
              <w:rPr>
                <w:b/>
                <w:bCs/>
                <w:color w:val="1F2937"/>
                <w:sz w:val="19"/>
                <w:szCs w:val="19"/>
              </w:rPr>
              <w:t xml:space="preserve">Text</w:t>
            </w:r>
          </w:p>
        </w:tc>
        <w:tc>
          <w:tcPr>
            <w:tcW w:type="dxa" w:w="5143"/>
            <w:shd w:fill="F3F4F6" w:val="clear"/>
            <w:tcMar>
              <w:top w:type="dxa" w:w="80"/>
              <w:left w:type="dxa" w:w="120"/>
              <w:bottom w:type="dxa" w:w="80"/>
              <w:right w:type="dxa" w:w="120"/>
            </w:tcMar>
          </w:tcPr>
          <w:p>
            <w:r>
              <w:rPr>
                <w:b/>
                <w:bCs/>
                <w:color w:val="1F2937"/>
                <w:sz w:val="19"/>
                <w:szCs w:val="19"/>
              </w:rPr>
              <w:t xml:space="preserve">Notes</w:t>
            </w:r>
          </w:p>
        </w:tc>
      </w:tr>
      <w:tr>
        <w:tc>
          <w:tcPr>
            <w:tcW w:type="dxa" w:w="4208"/>
            <w:tcMar>
              <w:top w:type="dxa" w:w="80"/>
              <w:left w:type="dxa" w:w="120"/>
              <w:bottom w:type="dxa" w:w="80"/>
              <w:right w:type="dxa" w:w="120"/>
            </w:tcMar>
          </w:tcPr>
          <w:p>
            <w:r>
              <w:rPr>
                <w:sz w:val="19"/>
                <w:szCs w:val="19"/>
              </w:rPr>
              <w:t xml:space="preserve">"Unable to resolve / Abort call" (toggle)</w:t>
            </w:r>
          </w:p>
        </w:tc>
        <w:tc>
          <w:tcPr>
            <w:tcW w:type="dxa" w:w="5143"/>
            <w:tcMar>
              <w:top w:type="dxa" w:w="80"/>
              <w:left w:type="dxa" w:w="120"/>
              <w:bottom w:type="dxa" w:w="80"/>
              <w:right w:type="dxa" w:w="120"/>
            </w:tcMar>
          </w:tcPr>
          <w:p>
            <w:r>
              <w:rPr>
                <w:sz w:val="19"/>
                <w:szCs w:val="19"/>
              </w:rPr>
              <w:t xml:space="preserve"/>
            </w:r>
          </w:p>
        </w:tc>
      </w:tr>
      <w:tr>
        <w:tc>
          <w:tcPr>
            <w:tcW w:type="dxa" w:w="4208"/>
            <w:tcMar>
              <w:top w:type="dxa" w:w="80"/>
              <w:left w:type="dxa" w:w="120"/>
              <w:bottom w:type="dxa" w:w="80"/>
              <w:right w:type="dxa" w:w="120"/>
            </w:tcMar>
          </w:tcPr>
          <w:p>
            <w:r>
              <w:rPr>
                <w:sz w:val="19"/>
                <w:szCs w:val="19"/>
              </w:rPr>
              <w:t xml:space="preserve">"Retry-safe — stays on this question"</w:t>
            </w:r>
          </w:p>
        </w:tc>
        <w:tc>
          <w:tcPr>
            <w:tcW w:type="dxa" w:w="5143"/>
            <w:tcMar>
              <w:top w:type="dxa" w:w="80"/>
              <w:left w:type="dxa" w:w="120"/>
              <w:bottom w:type="dxa" w:w="80"/>
              <w:right w:type="dxa" w:w="120"/>
            </w:tcMar>
          </w:tcPr>
          <w:p>
            <w:r>
              <w:rPr>
                <w:sz w:val="19"/>
                <w:szCs w:val="19"/>
              </w:rPr>
              <w:t xml:space="preserve"/>
            </w:r>
          </w:p>
        </w:tc>
      </w:tr>
      <w:tr>
        <w:tc>
          <w:tcPr>
            <w:tcW w:type="dxa" w:w="4208"/>
            <w:tcMar>
              <w:top w:type="dxa" w:w="80"/>
              <w:left w:type="dxa" w:w="120"/>
              <w:bottom w:type="dxa" w:w="80"/>
              <w:right w:type="dxa" w:w="120"/>
            </w:tcMar>
          </w:tcPr>
          <w:p>
            <w:r>
              <w:rPr>
                <w:sz w:val="19"/>
                <w:szCs w:val="19"/>
              </w:rPr>
              <w:t xml:space="preserve">"Escalation — routes to Review"</w:t>
            </w:r>
          </w:p>
        </w:tc>
        <w:tc>
          <w:tcPr>
            <w:tcW w:type="dxa" w:w="5143"/>
            <w:tcMar>
              <w:top w:type="dxa" w:w="80"/>
              <w:left w:type="dxa" w:w="120"/>
              <w:bottom w:type="dxa" w:w="80"/>
              <w:right w:type="dxa" w:w="120"/>
            </w:tcMar>
          </w:tcPr>
          <w:p>
            <w:r>
              <w:rPr>
                <w:sz w:val="19"/>
                <w:szCs w:val="19"/>
              </w:rPr>
              <w:t xml:space="preserve"/>
            </w:r>
          </w:p>
        </w:tc>
      </w:tr>
      <w:tr>
        <w:tc>
          <w:tcPr>
            <w:tcW w:type="dxa" w:w="4208"/>
            <w:tcMar>
              <w:top w:type="dxa" w:w="80"/>
              <w:left w:type="dxa" w:w="120"/>
              <w:bottom w:type="dxa" w:w="80"/>
              <w:right w:type="dxa" w:w="120"/>
            </w:tcMar>
          </w:tcPr>
          <w:p>
            <w:r>
              <w:rPr>
                <w:sz w:val="19"/>
                <w:szCs w:val="19"/>
              </w:rPr>
              <w:t xml:space="preserve">"Applicant asks to repeat"</w:t>
            </w:r>
          </w:p>
        </w:tc>
        <w:tc>
          <w:tcPr>
            <w:tcW w:type="dxa" w:w="5143"/>
            <w:tcMar>
              <w:top w:type="dxa" w:w="80"/>
              <w:left w:type="dxa" w:w="120"/>
              <w:bottom w:type="dxa" w:w="80"/>
              <w:right w:type="dxa" w:w="120"/>
            </w:tcMar>
          </w:tcPr>
          <w:p>
            <w:r>
              <w:rPr>
                <w:sz w:val="19"/>
                <w:szCs w:val="19"/>
              </w:rPr>
              <w:t xml:space="preserve">Retry-safe, unlimited</w:t>
            </w:r>
          </w:p>
        </w:tc>
      </w:tr>
      <w:tr>
        <w:tc>
          <w:tcPr>
            <w:tcW w:type="dxa" w:w="4208"/>
            <w:tcMar>
              <w:top w:type="dxa" w:w="80"/>
              <w:left w:type="dxa" w:w="120"/>
              <w:bottom w:type="dxa" w:w="80"/>
              <w:right w:type="dxa" w:w="120"/>
            </w:tcMar>
          </w:tcPr>
          <w:p>
            <w:r>
              <w:rPr>
                <w:sz w:val="19"/>
                <w:szCs w:val="19"/>
              </w:rPr>
              <w:t xml:space="preserve">"Applicant rambles / unclear"</w:t>
            </w:r>
          </w:p>
        </w:tc>
        <w:tc>
          <w:tcPr>
            <w:tcW w:type="dxa" w:w="5143"/>
            <w:tcMar>
              <w:top w:type="dxa" w:w="80"/>
              <w:left w:type="dxa" w:w="120"/>
              <w:bottom w:type="dxa" w:w="80"/>
              <w:right w:type="dxa" w:w="120"/>
            </w:tcMar>
          </w:tcPr>
          <w:p>
            <w:r>
              <w:rPr>
                <w:sz w:val="19"/>
                <w:szCs w:val="19"/>
              </w:rPr>
              <w:t xml:space="preserve">Retry-safe once, then auto-escalates</w:t>
            </w:r>
          </w:p>
        </w:tc>
      </w:tr>
      <w:tr>
        <w:tc>
          <w:tcPr>
            <w:tcW w:type="dxa" w:w="4208"/>
            <w:tcMar>
              <w:top w:type="dxa" w:w="80"/>
              <w:left w:type="dxa" w:w="120"/>
              <w:bottom w:type="dxa" w:w="80"/>
              <w:right w:type="dxa" w:w="120"/>
            </w:tcMar>
          </w:tcPr>
          <w:p>
            <w:r>
              <w:rPr>
                <w:sz w:val="19"/>
                <w:szCs w:val="19"/>
              </w:rPr>
              <w:t xml:space="preserve">"Applicant distressed or hostile"</w:t>
            </w:r>
          </w:p>
        </w:tc>
        <w:tc>
          <w:tcPr>
            <w:tcW w:type="dxa" w:w="5143"/>
            <w:tcMar>
              <w:top w:type="dxa" w:w="80"/>
              <w:left w:type="dxa" w:w="120"/>
              <w:bottom w:type="dxa" w:w="80"/>
              <w:right w:type="dxa" w:w="120"/>
            </w:tcMar>
          </w:tcPr>
          <w:p>
            <w:r>
              <w:rPr>
                <w:sz w:val="19"/>
                <w:szCs w:val="19"/>
              </w:rPr>
              <w:t xml:space="preserve">Escalation</w:t>
            </w:r>
          </w:p>
        </w:tc>
      </w:tr>
      <w:tr>
        <w:tc>
          <w:tcPr>
            <w:tcW w:type="dxa" w:w="4208"/>
            <w:tcMar>
              <w:top w:type="dxa" w:w="80"/>
              <w:left w:type="dxa" w:w="120"/>
              <w:bottom w:type="dxa" w:w="80"/>
              <w:right w:type="dxa" w:w="120"/>
            </w:tcMar>
          </w:tcPr>
          <w:p>
            <w:r>
              <w:rPr>
                <w:sz w:val="19"/>
                <w:szCs w:val="19"/>
              </w:rPr>
              <w:t xml:space="preserve">"Language the agent can’t handle"</w:t>
            </w:r>
          </w:p>
        </w:tc>
        <w:tc>
          <w:tcPr>
            <w:tcW w:type="dxa" w:w="5143"/>
            <w:tcMar>
              <w:top w:type="dxa" w:w="80"/>
              <w:left w:type="dxa" w:w="120"/>
              <w:bottom w:type="dxa" w:w="80"/>
              <w:right w:type="dxa" w:w="120"/>
            </w:tcMar>
          </w:tcPr>
          <w:p>
            <w:r>
              <w:rPr>
                <w:sz w:val="19"/>
                <w:szCs w:val="19"/>
              </w:rPr>
              <w:t xml:space="preserve">Escalation</w:t>
            </w:r>
          </w:p>
        </w:tc>
      </w:tr>
      <w:tr>
        <w:tc>
          <w:tcPr>
            <w:tcW w:type="dxa" w:w="4208"/>
            <w:tcMar>
              <w:top w:type="dxa" w:w="80"/>
              <w:left w:type="dxa" w:w="120"/>
              <w:bottom w:type="dxa" w:w="80"/>
              <w:right w:type="dxa" w:w="120"/>
            </w:tcMar>
          </w:tcPr>
          <w:p>
            <w:r>
              <w:rPr>
                <w:sz w:val="19"/>
                <w:szCs w:val="19"/>
              </w:rPr>
              <w:t xml:space="preserve">"Connection unrecoverable"</w:t>
            </w:r>
          </w:p>
        </w:tc>
        <w:tc>
          <w:tcPr>
            <w:tcW w:type="dxa" w:w="5143"/>
            <w:tcMar>
              <w:top w:type="dxa" w:w="80"/>
              <w:left w:type="dxa" w:w="120"/>
              <w:bottom w:type="dxa" w:w="80"/>
              <w:right w:type="dxa" w:w="120"/>
            </w:tcMar>
          </w:tcPr>
          <w:p>
            <w:r>
              <w:rPr>
                <w:sz w:val="19"/>
                <w:szCs w:val="19"/>
              </w:rPr>
              <w:t xml:space="preserve">Escalation</w:t>
            </w:r>
          </w:p>
        </w:tc>
      </w:tr>
      <w:tr>
        <w:tc>
          <w:tcPr>
            <w:tcW w:type="dxa" w:w="4208"/>
            <w:tcMar>
              <w:top w:type="dxa" w:w="80"/>
              <w:left w:type="dxa" w:w="120"/>
              <w:bottom w:type="dxa" w:w="80"/>
              <w:right w:type="dxa" w:w="120"/>
            </w:tcMar>
          </w:tcPr>
          <w:p>
            <w:r>
              <w:rPr>
                <w:sz w:val="19"/>
                <w:szCs w:val="19"/>
              </w:rPr>
              <w:t xml:space="preserve">"Speech-to-text / model repeatedly failing"</w:t>
            </w:r>
          </w:p>
        </w:tc>
        <w:tc>
          <w:tcPr>
            <w:tcW w:type="dxa" w:w="5143"/>
            <w:tcMar>
              <w:top w:type="dxa" w:w="80"/>
              <w:left w:type="dxa" w:w="120"/>
              <w:bottom w:type="dxa" w:w="80"/>
              <w:right w:type="dxa" w:w="120"/>
            </w:tcMar>
          </w:tcPr>
          <w:p>
            <w:r>
              <w:rPr>
                <w:sz w:val="19"/>
                <w:szCs w:val="19"/>
              </w:rPr>
              <w:t xml:space="preserve">Escalation</w:t>
            </w:r>
          </w:p>
        </w:tc>
      </w:tr>
      <w:tr>
        <w:tc>
          <w:tcPr>
            <w:tcW w:type="dxa" w:w="4208"/>
            <w:tcMar>
              <w:top w:type="dxa" w:w="80"/>
              <w:left w:type="dxa" w:w="120"/>
              <w:bottom w:type="dxa" w:w="80"/>
              <w:right w:type="dxa" w:w="120"/>
            </w:tcMar>
          </w:tcPr>
          <w:p>
            <w:r>
              <w:rPr>
                <w:sz w:val="19"/>
                <w:szCs w:val="19"/>
              </w:rPr>
              <w:t xml:space="preserve">"Routing to Review — no penalty to applicant"</w:t>
            </w:r>
          </w:p>
        </w:tc>
        <w:tc>
          <w:tcPr>
            <w:tcW w:type="dxa" w:w="5143"/>
            <w:tcMar>
              <w:top w:type="dxa" w:w="80"/>
              <w:left w:type="dxa" w:w="120"/>
              <w:bottom w:type="dxa" w:w="80"/>
              <w:right w:type="dxa" w:w="120"/>
            </w:tcMar>
          </w:tcPr>
          <w:p>
            <w:r>
              <w:rPr>
                <w:sz w:val="19"/>
                <w:szCs w:val="19"/>
              </w:rPr>
              <w:t xml:space="preserve"/>
            </w:r>
          </w:p>
        </w:tc>
      </w:tr>
      <w:tr>
        <w:tc>
          <w:tcPr>
            <w:tcW w:type="dxa" w:w="4208"/>
            <w:tcMar>
              <w:top w:type="dxa" w:w="80"/>
              <w:left w:type="dxa" w:w="120"/>
              <w:bottom w:type="dxa" w:w="80"/>
              <w:right w:type="dxa" w:w="120"/>
            </w:tcMar>
          </w:tcPr>
          <w:p>
            <w:r>
              <w:rPr>
                <w:sz w:val="19"/>
                <w:szCs w:val="19"/>
              </w:rPr>
              <w:t xml:space="preserve">"Routing to a language-matched agent or Review"</w:t>
            </w:r>
          </w:p>
        </w:tc>
        <w:tc>
          <w:tcPr>
            <w:tcW w:type="dxa" w:w="5143"/>
            <w:tcMar>
              <w:top w:type="dxa" w:w="80"/>
              <w:left w:type="dxa" w:w="120"/>
              <w:bottom w:type="dxa" w:w="80"/>
              <w:right w:type="dxa" w:w="120"/>
            </w:tcMar>
          </w:tcPr>
          <w:p>
            <w:r>
              <w:rPr>
                <w:sz w:val="19"/>
                <w:szCs w:val="19"/>
              </w:rPr>
              <w:t xml:space="preserve"/>
            </w:r>
          </w:p>
        </w:tc>
      </w:tr>
      <w:tr>
        <w:tc>
          <w:tcPr>
            <w:tcW w:type="dxa" w:w="4208"/>
            <w:tcMar>
              <w:top w:type="dxa" w:w="80"/>
              <w:left w:type="dxa" w:w="120"/>
              <w:bottom w:type="dxa" w:w="80"/>
              <w:right w:type="dxa" w:w="120"/>
            </w:tcMar>
          </w:tcPr>
          <w:p>
            <w:r>
              <w:rPr>
                <w:sz w:val="19"/>
                <w:szCs w:val="19"/>
              </w:rPr>
              <w:t xml:space="preserve">"Routing to Review with partial evidence attached"</w:t>
            </w:r>
          </w:p>
        </w:tc>
        <w:tc>
          <w:tcPr>
            <w:tcW w:type="dxa" w:w="5143"/>
            <w:tcMar>
              <w:top w:type="dxa" w:w="80"/>
              <w:left w:type="dxa" w:w="120"/>
              <w:bottom w:type="dxa" w:w="80"/>
              <w:right w:type="dxa" w:w="120"/>
            </w:tcMar>
          </w:tcPr>
          <w:p>
            <w:r>
              <w:rPr>
                <w:sz w:val="19"/>
                <w:szCs w:val="19"/>
              </w:rPr>
              <w:t xml:space="preserve"/>
            </w:r>
          </w:p>
        </w:tc>
      </w:tr>
      <w:tr>
        <w:tc>
          <w:tcPr>
            <w:tcW w:type="dxa" w:w="4208"/>
            <w:tcMar>
              <w:top w:type="dxa" w:w="80"/>
              <w:left w:type="dxa" w:w="120"/>
              <w:bottom w:type="dxa" w:w="80"/>
              <w:right w:type="dxa" w:w="120"/>
            </w:tcMar>
          </w:tcPr>
          <w:p>
            <w:r>
              <w:rPr>
                <w:sz w:val="19"/>
                <w:szCs w:val="19"/>
              </w:rPr>
              <w:t xml:space="preserve">"Cancel" / "Confirm" (buttons)</w:t>
            </w:r>
          </w:p>
        </w:tc>
        <w:tc>
          <w:tcPr>
            <w:tcW w:type="dxa" w:w="5143"/>
            <w:tcMar>
              <w:top w:type="dxa" w:w="80"/>
              <w:left w:type="dxa" w:w="120"/>
              <w:bottom w:type="dxa" w:w="80"/>
              <w:right w:type="dxa" w:w="120"/>
            </w:tcMar>
          </w:tcPr>
          <w:p>
            <w:r>
              <w:rPr>
                <w:sz w:val="19"/>
                <w:szCs w:val="19"/>
              </w:rPr>
              <w:t xml:space="preserve"/>
            </w:r>
          </w:p>
        </w:tc>
      </w:tr>
    </w:tbl>
    <w:p>
      <w:pPr>
        <w:pStyle w:val="Heading3"/>
        <w:spacing w:after="80" w:before="200"/>
      </w:pPr>
      <w:r>
        <w:rPr>
          <w:b/>
          <w:bCs/>
          <w:color w:val="B45309"/>
          <w:sz w:val="21"/>
          <w:szCs w:val="21"/>
        </w:rPr>
        <w:t xml:space="preserve">AmberPanel.tsx — persistent controls (quick flags / handover)</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4208"/>
        <w:gridCol w:w="5143"/>
      </w:tblGrid>
      <w:tr>
        <w:trPr>
          <w:tblHeader/>
        </w:trPr>
        <w:tc>
          <w:tcPr>
            <w:tcW w:type="dxa" w:w="4208"/>
            <w:shd w:fill="F3F4F6" w:val="clear"/>
            <w:tcMar>
              <w:top w:type="dxa" w:w="80"/>
              <w:left w:type="dxa" w:w="120"/>
              <w:bottom w:type="dxa" w:w="80"/>
              <w:right w:type="dxa" w:w="120"/>
            </w:tcMar>
          </w:tcPr>
          <w:p>
            <w:r>
              <w:rPr>
                <w:b/>
                <w:bCs/>
                <w:color w:val="1F2937"/>
                <w:sz w:val="19"/>
                <w:szCs w:val="19"/>
              </w:rPr>
              <w:t xml:space="preserve">Text</w:t>
            </w:r>
          </w:p>
        </w:tc>
        <w:tc>
          <w:tcPr>
            <w:tcW w:type="dxa" w:w="5143"/>
            <w:shd w:fill="F3F4F6" w:val="clear"/>
            <w:tcMar>
              <w:top w:type="dxa" w:w="80"/>
              <w:left w:type="dxa" w:w="120"/>
              <w:bottom w:type="dxa" w:w="80"/>
              <w:right w:type="dxa" w:w="120"/>
            </w:tcMar>
          </w:tcPr>
          <w:p>
            <w:r>
              <w:rPr>
                <w:b/>
                <w:bCs/>
                <w:color w:val="1F2937"/>
                <w:sz w:val="19"/>
                <w:szCs w:val="19"/>
              </w:rPr>
              <w:t xml:space="preserve">Notes</w:t>
            </w:r>
          </w:p>
        </w:tc>
      </w:tr>
      <w:tr>
        <w:tc>
          <w:tcPr>
            <w:tcW w:type="dxa" w:w="4208"/>
            <w:tcMar>
              <w:top w:type="dxa" w:w="80"/>
              <w:left w:type="dxa" w:w="120"/>
              <w:bottom w:type="dxa" w:w="80"/>
              <w:right w:type="dxa" w:w="120"/>
            </w:tcMar>
          </w:tcPr>
          <w:p>
            <w:r>
              <w:rPr>
                <w:sz w:val="19"/>
                <w:szCs w:val="19"/>
              </w:rPr>
              <w:t xml:space="preserve">"Quick flags"</w:t>
            </w:r>
          </w:p>
        </w:tc>
        <w:tc>
          <w:tcPr>
            <w:tcW w:type="dxa" w:w="5143"/>
            <w:tcMar>
              <w:top w:type="dxa" w:w="80"/>
              <w:left w:type="dxa" w:w="120"/>
              <w:bottom w:type="dxa" w:w="80"/>
              <w:right w:type="dxa" w:w="120"/>
            </w:tcMar>
          </w:tcPr>
          <w:p>
            <w:r>
              <w:rPr>
                <w:sz w:val="19"/>
                <w:szCs w:val="19"/>
              </w:rPr>
              <w:t xml:space="preserve"/>
            </w:r>
          </w:p>
        </w:tc>
      </w:tr>
      <w:tr>
        <w:tc>
          <w:tcPr>
            <w:tcW w:type="dxa" w:w="4208"/>
            <w:tcMar>
              <w:top w:type="dxa" w:w="80"/>
              <w:left w:type="dxa" w:w="120"/>
              <w:bottom w:type="dxa" w:w="80"/>
              <w:right w:type="dxa" w:w="120"/>
            </w:tcMar>
          </w:tcPr>
          <w:p>
            <w:r>
              <w:rPr>
                <w:sz w:val="19"/>
                <w:szCs w:val="19"/>
              </w:rPr>
              <w:t xml:space="preserve">"Coached" (button)</w:t>
            </w:r>
          </w:p>
        </w:tc>
        <w:tc>
          <w:tcPr>
            <w:tcW w:type="dxa" w:w="5143"/>
            <w:tcMar>
              <w:top w:type="dxa" w:w="80"/>
              <w:left w:type="dxa" w:w="120"/>
              <w:bottom w:type="dxa" w:w="80"/>
              <w:right w:type="dxa" w:w="120"/>
            </w:tcMar>
          </w:tcPr>
          <w:p>
            <w:r>
              <w:rPr>
                <w:sz w:val="19"/>
                <w:szCs w:val="19"/>
              </w:rPr>
              <w:t xml:space="preserve"/>
            </w:r>
          </w:p>
        </w:tc>
      </w:tr>
      <w:tr>
        <w:tc>
          <w:tcPr>
            <w:tcW w:type="dxa" w:w="4208"/>
            <w:tcMar>
              <w:top w:type="dxa" w:w="80"/>
              <w:left w:type="dxa" w:w="120"/>
              <w:bottom w:type="dxa" w:w="80"/>
              <w:right w:type="dxa" w:w="120"/>
            </w:tcMar>
          </w:tcPr>
          <w:p>
            <w:r>
              <w:rPr>
                <w:sz w:val="19"/>
                <w:szCs w:val="19"/>
              </w:rPr>
              <w:t xml:space="preserve">"Data error" (button)</w:t>
            </w:r>
          </w:p>
        </w:tc>
        <w:tc>
          <w:tcPr>
            <w:tcW w:type="dxa" w:w="5143"/>
            <w:tcMar>
              <w:top w:type="dxa" w:w="80"/>
              <w:left w:type="dxa" w:w="120"/>
              <w:bottom w:type="dxa" w:w="80"/>
              <w:right w:type="dxa" w:w="120"/>
            </w:tcMar>
          </w:tcPr>
          <w:p>
            <w:r>
              <w:rPr>
                <w:sz w:val="19"/>
                <w:szCs w:val="19"/>
              </w:rPr>
              <w:t xml:space="preserve"/>
            </w:r>
          </w:p>
        </w:tc>
      </w:tr>
      <w:tr>
        <w:tc>
          <w:tcPr>
            <w:tcW w:type="dxa" w:w="4208"/>
            <w:tcMar>
              <w:top w:type="dxa" w:w="80"/>
              <w:left w:type="dxa" w:w="120"/>
              <w:bottom w:type="dxa" w:w="80"/>
              <w:right w:type="dxa" w:w="120"/>
            </w:tcMar>
          </w:tcPr>
          <w:p>
            <w:r>
              <w:rPr>
                <w:sz w:val="19"/>
                <w:szCs w:val="19"/>
              </w:rPr>
              <w:t xml:space="preserve">"“Why asking?” script" (button)</w:t>
            </w:r>
          </w:p>
        </w:tc>
        <w:tc>
          <w:tcPr>
            <w:tcW w:type="dxa" w:w="5143"/>
            <w:tcMar>
              <w:top w:type="dxa" w:w="80"/>
              <w:left w:type="dxa" w:w="120"/>
              <w:bottom w:type="dxa" w:w="80"/>
              <w:right w:type="dxa" w:w="120"/>
            </w:tcMar>
          </w:tcPr>
          <w:p>
            <w:r>
              <w:rPr>
                <w:sz w:val="19"/>
                <w:szCs w:val="19"/>
              </w:rPr>
              <w:t xml:space="preserve"/>
            </w:r>
          </w:p>
        </w:tc>
      </w:tr>
      <w:tr>
        <w:tc>
          <w:tcPr>
            <w:tcW w:type="dxa" w:w="4208"/>
            <w:tcMar>
              <w:top w:type="dxa" w:w="80"/>
              <w:left w:type="dxa" w:w="120"/>
              <w:bottom w:type="dxa" w:w="80"/>
              <w:right w:type="dxa" w:w="120"/>
            </w:tcMar>
          </w:tcPr>
          <w:p>
            <w:r>
              <w:rPr>
                <w:sz w:val="19"/>
                <w:szCs w:val="19"/>
              </w:rPr>
              <w:t xml:space="preserve">"Handover" (button)</w:t>
            </w:r>
          </w:p>
        </w:tc>
        <w:tc>
          <w:tcPr>
            <w:tcW w:type="dxa" w:w="5143"/>
            <w:tcMar>
              <w:top w:type="dxa" w:w="80"/>
              <w:left w:type="dxa" w:w="120"/>
              <w:bottom w:type="dxa" w:w="80"/>
              <w:right w:type="dxa" w:w="120"/>
            </w:tcMar>
          </w:tcPr>
          <w:p>
            <w:r>
              <w:rPr>
                <w:sz w:val="19"/>
                <w:szCs w:val="19"/>
              </w:rPr>
              <w:t xml:space="preserve"/>
            </w:r>
          </w:p>
        </w:tc>
      </w:tr>
      <w:tr>
        <w:tc>
          <w:tcPr>
            <w:tcW w:type="dxa" w:w="4208"/>
            <w:tcMar>
              <w:top w:type="dxa" w:w="80"/>
              <w:left w:type="dxa" w:w="120"/>
              <w:bottom w:type="dxa" w:w="80"/>
              <w:right w:type="dxa" w:w="120"/>
            </w:tcMar>
          </w:tcPr>
          <w:p>
            <w:r>
              <w:rPr>
                <w:sz w:val="19"/>
                <w:szCs w:val="19"/>
              </w:rPr>
              <w:t xml:space="preserve">"These are standard verification questions…" / "If pressed on how we know something…" / "Language mismatch or shift change…"</w:t>
            </w:r>
          </w:p>
        </w:tc>
        <w:tc>
          <w:tcPr>
            <w:tcW w:type="dxa" w:w="5143"/>
            <w:tcMar>
              <w:top w:type="dxa" w:w="80"/>
              <w:left w:type="dxa" w:w="120"/>
              <w:bottom w:type="dxa" w:w="80"/>
              <w:right w:type="dxa" w:w="120"/>
            </w:tcMar>
          </w:tcPr>
          <w:p>
            <w:r>
              <w:rPr>
                <w:sz w:val="19"/>
                <w:szCs w:val="19"/>
              </w:rPr>
              <w:t xml:space="preserve">The three script bodies</w:t>
            </w:r>
          </w:p>
        </w:tc>
      </w:tr>
      <w:tr>
        <w:tc>
          <w:tcPr>
            <w:tcW w:type="dxa" w:w="4208"/>
            <w:tcMar>
              <w:top w:type="dxa" w:w="80"/>
              <w:left w:type="dxa" w:w="120"/>
              <w:bottom w:type="dxa" w:w="80"/>
              <w:right w:type="dxa" w:w="120"/>
            </w:tcMar>
          </w:tcPr>
          <w:p>
            <w:r>
              <w:rPr>
                <w:sz w:val="19"/>
                <w:szCs w:val="19"/>
              </w:rPr>
              <w:t xml:space="preserve">"Receiving agent’s name" (placeholder)</w:t>
            </w:r>
          </w:p>
        </w:tc>
        <w:tc>
          <w:tcPr>
            <w:tcW w:type="dxa" w:w="5143"/>
            <w:tcMar>
              <w:top w:type="dxa" w:w="80"/>
              <w:left w:type="dxa" w:w="120"/>
              <w:bottom w:type="dxa" w:w="80"/>
              <w:right w:type="dxa" w:w="120"/>
            </w:tcMar>
          </w:tcPr>
          <w:p>
            <w:r>
              <w:rPr>
                <w:sz w:val="19"/>
                <w:szCs w:val="19"/>
              </w:rPr>
              <w:t xml:space="preserve"/>
            </w:r>
          </w:p>
        </w:tc>
      </w:tr>
      <w:tr>
        <w:tc>
          <w:tcPr>
            <w:tcW w:type="dxa" w:w="4208"/>
            <w:tcMar>
              <w:top w:type="dxa" w:w="80"/>
              <w:left w:type="dxa" w:w="120"/>
              <w:bottom w:type="dxa" w:w="80"/>
              <w:right w:type="dxa" w:w="120"/>
            </w:tcMar>
          </w:tcPr>
          <w:p>
            <w:r>
              <w:rPr>
                <w:sz w:val="19"/>
                <w:szCs w:val="19"/>
              </w:rPr>
              <w:t xml:space="preserve">"Reason (optional)" (placeholder)</w:t>
            </w:r>
          </w:p>
        </w:tc>
        <w:tc>
          <w:tcPr>
            <w:tcW w:type="dxa" w:w="5143"/>
            <w:tcMar>
              <w:top w:type="dxa" w:w="80"/>
              <w:left w:type="dxa" w:w="120"/>
              <w:bottom w:type="dxa" w:w="80"/>
              <w:right w:type="dxa" w:w="120"/>
            </w:tcMar>
          </w:tcPr>
          <w:p>
            <w:r>
              <w:rPr>
                <w:sz w:val="19"/>
                <w:szCs w:val="19"/>
              </w:rPr>
              <w:t xml:space="preserve"/>
            </w:r>
          </w:p>
        </w:tc>
      </w:tr>
      <w:tr>
        <w:tc>
          <w:tcPr>
            <w:tcW w:type="dxa" w:w="4208"/>
            <w:tcMar>
              <w:top w:type="dxa" w:w="80"/>
              <w:left w:type="dxa" w:w="120"/>
              <w:bottom w:type="dxa" w:w="80"/>
              <w:right w:type="dxa" w:w="120"/>
            </w:tcMar>
          </w:tcPr>
          <w:p>
            <w:r>
              <w:rPr>
                <w:sz w:val="19"/>
                <w:szCs w:val="19"/>
              </w:rPr>
              <w:t xml:space="preserve">"Cancel" / "Confirm handover" (buttons)</w:t>
            </w:r>
          </w:p>
        </w:tc>
        <w:tc>
          <w:tcPr>
            <w:tcW w:type="dxa" w:w="5143"/>
            <w:tcMar>
              <w:top w:type="dxa" w:w="80"/>
              <w:left w:type="dxa" w:w="120"/>
              <w:bottom w:type="dxa" w:w="80"/>
              <w:right w:type="dxa" w:w="120"/>
            </w:tcMar>
          </w:tcPr>
          <w:p>
            <w:r>
              <w:rPr>
                <w:sz w:val="19"/>
                <w:szCs w:val="19"/>
              </w:rPr>
              <w:t xml:space="preserve"/>
            </w:r>
          </w:p>
        </w:tc>
      </w:tr>
    </w:tbl>
    <w:p>
      <w:pPr>
        <w:pStyle w:val="Heading3"/>
        <w:spacing w:after="80" w:before="200"/>
      </w:pPr>
      <w:r>
        <w:rPr>
          <w:b/>
          <w:bCs/>
          <w:color w:val="B45309"/>
          <w:sz w:val="21"/>
          <w:szCs w:val="21"/>
        </w:rPr>
        <w:t xml:space="preserve">AmberPanel.tsx — SpeechCapture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5143"/>
        <w:gridCol w:w="4208"/>
      </w:tblGrid>
      <w:tr>
        <w:trPr>
          <w:tblHeader/>
        </w:trPr>
        <w:tc>
          <w:tcPr>
            <w:tcW w:type="dxa" w:w="5143"/>
            <w:shd w:fill="F3F4F6" w:val="clear"/>
            <w:tcMar>
              <w:top w:type="dxa" w:w="80"/>
              <w:left w:type="dxa" w:w="120"/>
              <w:bottom w:type="dxa" w:w="80"/>
              <w:right w:type="dxa" w:w="120"/>
            </w:tcMar>
          </w:tcPr>
          <w:p>
            <w:r>
              <w:rPr>
                <w:b/>
                <w:bCs/>
                <w:color w:val="1F2937"/>
                <w:sz w:val="19"/>
                <w:szCs w:val="19"/>
              </w:rPr>
              <w:t xml:space="preserve">Text</w:t>
            </w:r>
          </w:p>
        </w:tc>
        <w:tc>
          <w:tcPr>
            <w:tcW w:type="dxa" w:w="4208"/>
            <w:shd w:fill="F3F4F6" w:val="clear"/>
            <w:tcMar>
              <w:top w:type="dxa" w:w="80"/>
              <w:left w:type="dxa" w:w="120"/>
              <w:bottom w:type="dxa" w:w="80"/>
              <w:right w:type="dxa" w:w="120"/>
            </w:tcMar>
          </w:tcPr>
          <w:p>
            <w:r>
              <w:rPr>
                <w:b/>
                <w:bCs/>
                <w:color w:val="1F2937"/>
                <w:sz w:val="19"/>
                <w:szCs w:val="19"/>
              </w:rPr>
              <w:t xml:space="preserve">Notes</w:t>
            </w:r>
          </w:p>
        </w:tc>
      </w:tr>
      <w:tr>
        <w:tc>
          <w:tcPr>
            <w:tcW w:type="dxa" w:w="5143"/>
            <w:tcMar>
              <w:top w:type="dxa" w:w="80"/>
              <w:left w:type="dxa" w:w="120"/>
              <w:bottom w:type="dxa" w:w="80"/>
              <w:right w:type="dxa" w:w="120"/>
            </w:tcMar>
          </w:tcPr>
          <w:p>
            <w:r>
              <w:rPr>
                <w:sz w:val="19"/>
                <w:szCs w:val="19"/>
              </w:rPr>
              <w:t xml:space="preserve">"Speech-to-text needs Chrome — not supported in this browser…"</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"Listen for applicant answer" / "Stop listening"</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"Language the mic will listen in…" (tooltip)</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"Stage-reliability fallback…" (tooltip)</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"Manually choose bucket ▾"</w:t>
            </w:r>
          </w:p>
        </w:tc>
        <w:tc>
          <w:tcPr>
            <w:tcW w:type="dxa" w:w="4208"/>
            <w:tcMar>
              <w:top w:type="dxa" w:w="80"/>
              <w:left w:type="dxa" w:w="120"/>
              <w:bottom w:type="dxa" w:w="80"/>
              <w:right w:type="dxa" w:w="120"/>
            </w:tcMar>
          </w:tcPr>
          <w:p>
            <w:r>
              <w:rPr>
                <w:sz w:val="19"/>
                <w:szCs w:val="19"/>
              </w:rPr>
              <w:t xml:space="preserve">Simulate-mode dropdown; bilingual options collapse to "English — हिंदी" as one string here</w:t>
            </w:r>
          </w:p>
        </w:tc>
      </w:tr>
      <w:tr>
        <w:tc>
          <w:tcPr>
            <w:tcW w:type="dxa" w:w="5143"/>
            <w:tcMar>
              <w:top w:type="dxa" w:w="80"/>
              <w:left w:type="dxa" w:w="120"/>
              <w:bottom w:type="dxa" w:w="80"/>
              <w:right w:type="dxa" w:w="120"/>
            </w:tcMar>
          </w:tcPr>
          <w:p>
            <w:r>
              <w:rPr>
                <w:sz w:val="19"/>
                <w:szCs w:val="19"/>
              </w:rPr>
              <w:t xml:space="preserve">"Listening…"</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"Microphone access denied"</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"Speech recognition error — try again"</w:t>
            </w:r>
          </w:p>
        </w:tc>
        <w:tc>
          <w:tcPr>
            <w:tcW w:type="dxa" w:w="4208"/>
            <w:tcMar>
              <w:top w:type="dxa" w:w="80"/>
              <w:left w:type="dxa" w:w="120"/>
              <w:bottom w:type="dxa" w:w="80"/>
              <w:right w:type="dxa" w:w="120"/>
            </w:tcMar>
          </w:tcPr>
          <w:p>
            <w:r>
              <w:rPr>
                <w:sz w:val="19"/>
                <w:szCs w:val="19"/>
              </w:rPr>
              <w:t xml:space="preserve"/>
            </w:r>
          </w:p>
        </w:tc>
      </w:tr>
    </w:tbl>
    <w:p>
      <w:pPr>
        <w:pStyle w:val="Heading3"/>
        <w:spacing w:after="80" w:before="200"/>
      </w:pPr>
      <w:r>
        <w:rPr>
          <w:b/>
          <w:bCs/>
          <w:color w:val="B45309"/>
          <w:sz w:val="21"/>
          <w:szCs w:val="21"/>
        </w:rPr>
        <w:t xml:space="preserve">AmberPanel.tsx — ResolutionCard</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5143"/>
        <w:gridCol w:w="4208"/>
      </w:tblGrid>
      <w:tr>
        <w:trPr>
          <w:tblHeader/>
        </w:trPr>
        <w:tc>
          <w:tcPr>
            <w:tcW w:type="dxa" w:w="5143"/>
            <w:shd w:fill="F3F4F6" w:val="clear"/>
            <w:tcMar>
              <w:top w:type="dxa" w:w="80"/>
              <w:left w:type="dxa" w:w="120"/>
              <w:bottom w:type="dxa" w:w="80"/>
              <w:right w:type="dxa" w:w="120"/>
            </w:tcMar>
          </w:tcPr>
          <w:p>
            <w:r>
              <w:rPr>
                <w:b/>
                <w:bCs/>
                <w:color w:val="1F2937"/>
                <w:sz w:val="19"/>
                <w:szCs w:val="19"/>
              </w:rPr>
              <w:t xml:space="preserve">Text</w:t>
            </w:r>
          </w:p>
        </w:tc>
        <w:tc>
          <w:tcPr>
            <w:tcW w:type="dxa" w:w="4208"/>
            <w:shd w:fill="F3F4F6" w:val="clear"/>
            <w:tcMar>
              <w:top w:type="dxa" w:w="80"/>
              <w:left w:type="dxa" w:w="120"/>
              <w:bottom w:type="dxa" w:w="80"/>
              <w:right w:type="dxa" w:w="120"/>
            </w:tcMar>
          </w:tcPr>
          <w:p>
            <w:r>
              <w:rPr>
                <w:b/>
                <w:bCs/>
                <w:color w:val="1F2937"/>
                <w:sz w:val="19"/>
                <w:szCs w:val="19"/>
              </w:rPr>
              <w:t xml:space="preserve">Notes</w:t>
            </w:r>
          </w:p>
        </w:tc>
      </w:tr>
      <w:tr>
        <w:tc>
          <w:tcPr>
            <w:tcW w:type="dxa" w:w="5143"/>
            <w:tcMar>
              <w:top w:type="dxa" w:w="80"/>
              <w:left w:type="dxa" w:w="120"/>
              <w:bottom w:type="dxa" w:w="80"/>
              <w:right w:type="dxa" w:w="120"/>
            </w:tcMar>
          </w:tcPr>
          <w:p>
            <w:r>
              <w:rPr>
                <w:sz w:val="19"/>
                <w:szCs w:val="19"/>
              </w:rPr>
              <w:t xml:space="preserve">"Resolved" (eyebrow)</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Band text: "SEPARATE REVIEW REQUIRED" / BAND_LABEL[band]</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"Composite score: {score}"</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"Reasons" (eyebrow)</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"This case exits the call unresolved…"</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"Hidden signal (revealed now)"</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"End Session" (button)</w:t>
            </w:r>
          </w:p>
        </w:tc>
        <w:tc>
          <w:tcPr>
            <w:tcW w:type="dxa" w:w="4208"/>
            <w:tcMar>
              <w:top w:type="dxa" w:w="80"/>
              <w:left w:type="dxa" w:w="120"/>
              <w:bottom w:type="dxa" w:w="80"/>
              <w:right w:type="dxa" w:w="120"/>
            </w:tcMar>
          </w:tcPr>
          <w:p>
            <w:r>
              <w:rPr>
                <w:sz w:val="19"/>
                <w:szCs w:val="19"/>
              </w:rPr>
              <w:t xml:space="preserve">Round 29 removed the "Customer still connected" confirm dialog — this is now one click straight to Case Summary, for every band</w:t>
            </w:r>
          </w:p>
        </w:tc>
      </w:tr>
    </w:tbl>
    <w:p>
      <w:pPr>
        <w:pStyle w:val="Heading3"/>
        <w:spacing w:after="80" w:before="200"/>
      </w:pPr>
      <w:r>
        <w:rPr>
          <w:b/>
          <w:bCs/>
          <w:color w:val="B45309"/>
          <w:sz w:val="21"/>
          <w:szCs w:val="21"/>
        </w:rPr>
        <w:t xml:space="preserve">PostCallConfirmation.tsx</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5143"/>
        <w:gridCol w:w="4208"/>
      </w:tblGrid>
      <w:tr>
        <w:trPr>
          <w:tblHeader/>
        </w:trPr>
        <w:tc>
          <w:tcPr>
            <w:tcW w:type="dxa" w:w="5143"/>
            <w:shd w:fill="F3F4F6" w:val="clear"/>
            <w:tcMar>
              <w:top w:type="dxa" w:w="80"/>
              <w:left w:type="dxa" w:w="120"/>
              <w:bottom w:type="dxa" w:w="80"/>
              <w:right w:type="dxa" w:w="120"/>
            </w:tcMar>
          </w:tcPr>
          <w:p>
            <w:r>
              <w:rPr>
                <w:b/>
                <w:bCs/>
                <w:color w:val="1F2937"/>
                <w:sz w:val="19"/>
                <w:szCs w:val="19"/>
              </w:rPr>
              <w:t xml:space="preserve">Text</w:t>
            </w:r>
          </w:p>
        </w:tc>
        <w:tc>
          <w:tcPr>
            <w:tcW w:type="dxa" w:w="4208"/>
            <w:shd w:fill="F3F4F6" w:val="clear"/>
            <w:tcMar>
              <w:top w:type="dxa" w:w="80"/>
              <w:left w:type="dxa" w:w="120"/>
              <w:bottom w:type="dxa" w:w="80"/>
              <w:right w:type="dxa" w:w="120"/>
            </w:tcMar>
          </w:tcPr>
          <w:p>
            <w:r>
              <w:rPr>
                <w:b/>
                <w:bCs/>
                <w:color w:val="1F2937"/>
                <w:sz w:val="19"/>
                <w:szCs w:val="19"/>
              </w:rPr>
              <w:t xml:space="preserve">Notes</w:t>
            </w:r>
          </w:p>
        </w:tc>
      </w:tr>
      <w:tr>
        <w:tc>
          <w:tcPr>
            <w:tcW w:type="dxa" w:w="5143"/>
            <w:tcMar>
              <w:top w:type="dxa" w:w="80"/>
              <w:left w:type="dxa" w:w="120"/>
              <w:bottom w:type="dxa" w:w="80"/>
              <w:right w:type="dxa" w:w="120"/>
            </w:tcMar>
          </w:tcPr>
          <w:p>
            <w:r>
              <w:rPr>
                <w:sz w:val="19"/>
                <w:szCs w:val="19"/>
              </w:rPr>
              <w:t xml:space="preserve">"Agent note (at point of termination)"</w:t>
            </w:r>
          </w:p>
        </w:tc>
        <w:tc>
          <w:tcPr>
            <w:tcW w:type="dxa" w:w="4208"/>
            <w:tcMar>
              <w:top w:type="dxa" w:w="80"/>
              <w:left w:type="dxa" w:w="120"/>
              <w:bottom w:type="dxa" w:w="80"/>
              <w:right w:type="dxa" w:w="120"/>
            </w:tcMar>
          </w:tcPr>
          <w:p>
            <w:r>
              <w:rPr>
                <w:sz w:val="19"/>
                <w:szCs w:val="19"/>
              </w:rPr>
              <w:t xml:space="preserve">Only rendered for the farmer-tree "unclear" bucket verdict; falls back to "No note provided" if the agent left it blank</w:t>
            </w:r>
          </w:p>
        </w:tc>
      </w:tr>
    </w:tbl>
    <w:p>
      <w:pPr>
        <w:pStyle w:val="Heading3"/>
        <w:spacing w:after="80" w:before="200"/>
      </w:pPr>
      <w:r>
        <w:rPr>
          <w:b/>
          <w:bCs/>
          <w:color w:val="B45309"/>
          <w:sz w:val="21"/>
          <w:szCs w:val="21"/>
        </w:rPr>
        <w:t xml:space="preserve">QueuePage.tsx</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5143"/>
        <w:gridCol w:w="4208"/>
      </w:tblGrid>
      <w:tr>
        <w:trPr>
          <w:tblHeader/>
        </w:trPr>
        <w:tc>
          <w:tcPr>
            <w:tcW w:type="dxa" w:w="5143"/>
            <w:shd w:fill="F3F4F6" w:val="clear"/>
            <w:tcMar>
              <w:top w:type="dxa" w:w="80"/>
              <w:left w:type="dxa" w:w="120"/>
              <w:bottom w:type="dxa" w:w="80"/>
              <w:right w:type="dxa" w:w="120"/>
            </w:tcMar>
          </w:tcPr>
          <w:p>
            <w:r>
              <w:rPr>
                <w:b/>
                <w:bCs/>
                <w:color w:val="1F2937"/>
                <w:sz w:val="19"/>
                <w:szCs w:val="19"/>
              </w:rPr>
              <w:t xml:space="preserve">Text</w:t>
            </w:r>
          </w:p>
        </w:tc>
        <w:tc>
          <w:tcPr>
            <w:tcW w:type="dxa" w:w="4208"/>
            <w:shd w:fill="F3F4F6" w:val="clear"/>
            <w:tcMar>
              <w:top w:type="dxa" w:w="80"/>
              <w:left w:type="dxa" w:w="120"/>
              <w:bottom w:type="dxa" w:w="80"/>
              <w:right w:type="dxa" w:w="120"/>
            </w:tcMar>
          </w:tcPr>
          <w:p>
            <w:r>
              <w:rPr>
                <w:b/>
                <w:bCs/>
                <w:color w:val="1F2937"/>
                <w:sz w:val="19"/>
                <w:szCs w:val="19"/>
              </w:rPr>
              <w:t xml:space="preserve">Notes</w:t>
            </w:r>
          </w:p>
        </w:tc>
      </w:tr>
      <w:tr>
        <w:tc>
          <w:tcPr>
            <w:tcW w:type="dxa" w:w="5143"/>
            <w:tcMar>
              <w:top w:type="dxa" w:w="80"/>
              <w:left w:type="dxa" w:w="120"/>
              <w:bottom w:type="dxa" w:w="80"/>
              <w:right w:type="dxa" w:w="120"/>
            </w:tcMar>
          </w:tcPr>
          <w:p>
            <w:r>
              <w:rPr>
                <w:sz w:val="19"/>
                <w:szCs w:val="19"/>
              </w:rPr>
              <w:t xml:space="preserve">"Today’s Queue:"</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Table headers: "Customer", "Band", "Score", "Risk Profile", "Rules"</w:t>
            </w:r>
          </w:p>
        </w:tc>
        <w:tc>
          <w:tcPr>
            <w:tcW w:type="dxa" w:w="4208"/>
            <w:tcMar>
              <w:top w:type="dxa" w:w="80"/>
              <w:left w:type="dxa" w:w="120"/>
              <w:bottom w:type="dxa" w:w="80"/>
              <w:right w:type="dxa" w:w="120"/>
            </w:tcMar>
          </w:tcPr>
          <w:p>
            <w:r>
              <w:rPr>
                <w:sz w:val="19"/>
                <w:szCs w:val="19"/>
              </w:rPr>
              <w:t xml:space="preserve">"Rules" column was widened for band chips in round 22; the tree-label line under it was removed</w:t>
            </w:r>
          </w:p>
        </w:tc>
      </w:tr>
      <w:tr>
        <w:tc>
          <w:tcPr>
            <w:tcW w:type="dxa" w:w="5143"/>
            <w:tcMar>
              <w:top w:type="dxa" w:w="80"/>
              <w:left w:type="dxa" w:w="120"/>
              <w:bottom w:type="dxa" w:w="80"/>
              <w:right w:type="dxa" w:w="120"/>
            </w:tcMar>
          </w:tcPr>
          <w:p>
            <w:r>
              <w:rPr>
                <w:sz w:val="19"/>
                <w:szCs w:val="19"/>
              </w:rPr>
              <w:t xml:space="preserve">Band chip words: "Green" / "Amber" / "Red"</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"{N} rule(s) fired" / "No rules fired"</w:t>
            </w:r>
          </w:p>
        </w:tc>
        <w:tc>
          <w:tcPr>
            <w:tcW w:type="dxa" w:w="4208"/>
            <w:tcMar>
              <w:top w:type="dxa" w:w="80"/>
              <w:left w:type="dxa" w:w="120"/>
              <w:bottom w:type="dxa" w:w="80"/>
              <w:right w:type="dxa" w:w="120"/>
            </w:tcMar>
          </w:tcPr>
          <w:p>
            <w:r>
              <w:rPr>
                <w:sz w:val="19"/>
                <w:szCs w:val="19"/>
              </w:rPr>
              <w:t xml:space="preserve"/>
            </w:r>
          </w:p>
        </w:tc>
      </w:tr>
      <w:tr>
        <w:tc>
          <w:tcPr>
            <w:tcW w:type="dxa" w:w="5143"/>
            <w:tcMar>
              <w:top w:type="dxa" w:w="80"/>
              <w:left w:type="dxa" w:w="120"/>
              <w:bottom w:type="dxa" w:w="80"/>
              <w:right w:type="dxa" w:w="120"/>
            </w:tcMar>
          </w:tcPr>
          <w:p>
            <w:r>
              <w:rPr>
                <w:sz w:val="19"/>
                <w:szCs w:val="19"/>
              </w:rPr>
              <w:t xml:space="preserve">"You’re offline" / "Waiting for next customer…" / "breathe in" / "breathe out"</w:t>
            </w:r>
          </w:p>
        </w:tc>
        <w:tc>
          <w:tcPr>
            <w:tcW w:type="dxa" w:w="4208"/>
            <w:tcMar>
              <w:top w:type="dxa" w:w="80"/>
              <w:left w:type="dxa" w:w="120"/>
              <w:bottom w:type="dxa" w:w="80"/>
              <w:right w:type="dxa" w:w="120"/>
            </w:tcMar>
          </w:tcPr>
          <w:p>
            <w:r>
              <w:rPr>
                <w:sz w:val="19"/>
                <w:szCs w:val="19"/>
              </w:rPr>
              <w:t xml:space="preserve"/>
            </w:r>
          </w:p>
        </w:tc>
      </w:tr>
    </w:tbl>
    <w:p>
      <w:pPr>
        <w:pStyle w:val="Heading1"/>
        <w:pBdr>
          <w:bottom w:val="single" w:color="B45309" w:sz="6" w:space="4"/>
        </w:pBdr>
        <w:spacing w:after="200" w:before="400"/>
      </w:pPr>
      <w:r>
        <w:rPr>
          <w:b/>
          <w:bCs/>
          <w:color w:val="1F2937"/>
          <w:sz w:val="30"/>
          <w:szCs w:val="30"/>
        </w:rPr>
        <w:t xml:space="preserve">7. Bilingual (Hindi) rendering — a layout-relevant mechanism</w:t>
      </w:r>
    </w:p>
    <w:p>
      <w:pPr>
        <w:spacing w:after="160" w:line="276"/>
      </w:pPr>
      <w:r>
        <w:rPr>
          <w:sz w:val="21"/>
          <w:szCs w:val="21"/>
        </w:rPr>
        <w:t xml:space="preserve">Since round 26, every farmer-tree question and every tap label renders English with Hindi below it, always both visible — not a toggle, not dependent on any language setting. Design work on the farmer tree should assume every text block is effectively two stacked strings, not one — leave vertical room for it; don’t design a single-line layout that Hindi text would overflow or get clipped in.</w:t>
      </w:r>
    </w:p>
    <w:p>
      <w:pPr>
        <w:spacing w:after="160" w:line="276"/>
      </w:pPr>
      <w:r>
        <w:rPr>
          <w:sz w:val="21"/>
          <w:szCs w:val="21"/>
        </w:rPr>
        <w:t xml:space="preserve">Implemented via two small components in AmberPanel.tsx: QuestionText and TapLabel, both falling back to English-only when no Hindi field exists — which is always the case for the SIM and premium-address trees. Those two trees are English-only by design; don’t add Hindi copy to them without checking with the user first, since that would be a content change, not a styling one.</w:t>
      </w:r>
    </w:p>
    <w:p>
      <w:pPr>
        <w:spacing w:after="160" w:line="276"/>
      </w:pPr>
      <w:r>
        <w:rPr>
          <w:sz w:val="21"/>
          <w:szCs w:val="21"/>
        </w:rPr>
        <w:t xml:space="preserve">The one place bilingual text can’t render as two lines is the "Manually choose bucket" simulate dropdown — a native &lt;option&gt; element can’t hold rich text, so its options collapse to a single concatenated string, "English — हिंदी".</w:t>
      </w:r>
    </w:p>
    <w:p>
      <w:pPr>
        <w:pStyle w:val="Heading1"/>
        <w:pBdr>
          <w:bottom w:val="single" w:color="B45309" w:sz="6" w:space="4"/>
        </w:pBdr>
        <w:spacing w:after="200" w:before="400"/>
      </w:pPr>
      <w:r>
        <w:rPr>
          <w:b/>
          <w:bCs/>
          <w:color w:val="1F2937"/>
          <w:sz w:val="30"/>
          <w:szCs w:val="30"/>
        </w:rPr>
        <w:t xml:space="preserve">8. Known visual quirks worth knowing about</w:t>
      </w:r>
    </w:p>
    <w:p>
      <w:pPr>
        <w:pStyle w:val="ListParagraph"/>
        <w:numPr>
          <w:ilvl w:val="0"/>
          <w:numId w:val="2"/>
        </w:numPr>
        <w:spacing w:after="80" w:line="276"/>
      </w:pPr>
      <w:r>
        <w:rPr>
          <w:b/>
          <w:bCs/>
          <w:sz w:val="21"/>
          <w:szCs w:val="21"/>
        </w:rPr>
        <w:t xml:space="preserve">Avatar / declared-language re-randomizes per persona click.</w:t>
      </w:r>
      <w:r>
        <w:rPr>
          <w:sz w:val="21"/>
          <w:szCs w:val="21"/>
        </w:rPr>
        <w:t xml:space="preserve"> If the same queue persona is selected more than once in a session, the shown avatar face and the "Language:" label can both change between clicks — a random draw from a 500-customer pool re-runs on every selection, unrelated to the persona’s own identity. This is a known, previously-flagged data/state bug, not a styling issue — the fix would mean stabilizing a persona-id → base-customer mapping in application logic. That’s out of scope for you (section 2); if it’s visually distracting during design work, flag it to the user rather than fixing the underlying logic yourself.</w:t>
      </w:r>
    </w:p>
    <w:p>
      <w:pPr>
        <w:pStyle w:val="ListParagraph"/>
        <w:numPr>
          <w:ilvl w:val="0"/>
          <w:numId w:val="2"/>
        </w:numPr>
        <w:spacing w:after="80" w:line="276"/>
      </w:pPr>
      <w:r>
        <w:rPr>
          <w:b/>
          <w:bCs/>
          <w:sz w:val="21"/>
          <w:szCs w:val="21"/>
        </w:rPr>
        <w:t xml:space="preserve">No icon set per risk dimension or per band anywhere today.</w:t>
      </w:r>
      <w:r>
        <w:rPr>
          <w:sz w:val="21"/>
          <w:szCs w:val="21"/>
        </w:rPr>
        <w:t xml:space="preserve"> Only colored chips/dots and text. Introducing iconography is a legitimate design addition, not a logic change — just confirm the visual language with the user first, since it would touch every screen that shows a band or a dimension.</w:t>
      </w:r>
    </w:p>
    <w:p>
      <w:pPr>
        <w:pStyle w:val="ListParagraph"/>
        <w:numPr>
          <w:ilvl w:val="0"/>
          <w:numId w:val="2"/>
        </w:numPr>
        <w:spacing w:after="80" w:line="276"/>
      </w:pPr>
      <w:r>
        <w:rPr>
          <w:b/>
          <w:bCs/>
          <w:sz w:val="21"/>
          <w:szCs w:val="21"/>
        </w:rPr>
        <w:t xml:space="preserve">DimensionList is intentionally shared</w:t>
      </w:r>
      <w:r>
        <w:rPr>
          <w:sz w:val="21"/>
          <w:szCs w:val="21"/>
        </w:rPr>
        <w:t xml:space="preserve"> between CustomerDetailsStep.tsx and RiskSnapshotModal.tsx — restyling it updates both surfaces together. That’s usually what you want; call it out explicitly if you ever need the two to diverge.</w:t>
      </w:r>
    </w:p>
    <w:p>
      <w:pPr>
        <w:pStyle w:val="Heading1"/>
        <w:pBdr>
          <w:bottom w:val="single" w:color="B45309" w:sz="6" w:space="4"/>
        </w:pBdr>
        <w:spacing w:after="200" w:before="400"/>
      </w:pPr>
      <w:r>
        <w:rPr>
          <w:b/>
          <w:bCs/>
          <w:color w:val="1F2937"/>
          <w:sz w:val="30"/>
          <w:szCs w:val="30"/>
        </w:rPr>
        <w:t xml:space="preserve">9. Working discipline for this engagement — please follow it</w:t>
      </w:r>
    </w:p>
    <w:p>
      <w:pPr>
        <w:pStyle w:val="ListParagraph"/>
        <w:numPr>
          <w:ilvl w:val="0"/>
          <w:numId w:val="2"/>
        </w:numPr>
        <w:spacing w:after="80" w:line="276"/>
      </w:pPr>
      <w:r>
        <w:rPr>
          <w:b/>
          <w:bCs/>
          <w:sz w:val="21"/>
          <w:szCs w:val="21"/>
        </w:rPr>
        <w:t xml:space="preserve">Repo access:</w:t>
      </w:r>
      <w:r>
        <w:rPr>
          <w:sz w:val="21"/>
          <w:szCs w:val="21"/>
        </w:rPr>
        <w:t xml:space="preserve"> private, no push capability. Commits land on main locally only. Use scoped git identity for every commit — user.name="Jayant Kaushik", user.email="jayant.kaushik@cashfree.com" — passed via -c flags, never by editing global git config.</w:t>
      </w:r>
    </w:p>
    <w:p>
      <w:pPr>
        <w:pStyle w:val="ListParagraph"/>
        <w:numPr>
          <w:ilvl w:val="0"/>
          <w:numId w:val="2"/>
        </w:numPr>
        <w:spacing w:after="80" w:line="276"/>
      </w:pPr>
      <w:r>
        <w:rPr>
          <w:b/>
          <w:bCs/>
          <w:sz w:val="21"/>
          <w:szCs w:val="21"/>
        </w:rPr>
        <w:t xml:space="preserve">What gets committed:</w:t>
      </w:r>
      <w:r>
        <w:rPr>
          <w:sz w:val="21"/>
          <w:szCs w:val="21"/>
        </w:rPr>
        <w:t xml:space="preserve"> only handoffs/*.md write-ups get committed. Application code — including your design changes — is never committed by you; it stays as uncommitted working-tree changes for the user to review and commit themselves. Never push (no remote write access exists). Never amend an existing commit. Never commit partway-done work.</w:t>
      </w:r>
    </w:p>
    <w:p>
      <w:pPr>
        <w:pStyle w:val="ListParagraph"/>
        <w:numPr>
          <w:ilvl w:val="0"/>
          <w:numId w:val="2"/>
        </w:numPr>
        <w:spacing w:after="80" w:line="276"/>
      </w:pPr>
      <w:r>
        <w:rPr>
          <w:b/>
          <w:bCs/>
          <w:sz w:val="21"/>
          <w:szCs w:val="21"/>
        </w:rPr>
        <w:t xml:space="preserve">API keys/secrets:</w:t>
      </w:r>
      <w:r>
        <w:rPr>
          <w:sz w:val="21"/>
          <w:szCs w:val="21"/>
        </w:rPr>
        <w:t xml:space="preserve"> ANTHROPIC_API_KEY and ELEVENLABS_API_KEY live in apps/agent/.env (gitignored). Never type, enter, or write a real key into any file yourself, even if the user pastes one directly in chat — give them the manual step instead (cp .env.example .env, edit by hand). Treat any key pasted at a bare shell prompt or shown in logs as burned, and say so plainly.</w:t>
      </w:r>
    </w:p>
    <w:p>
      <w:pPr>
        <w:pStyle w:val="ListParagraph"/>
        <w:numPr>
          <w:ilvl w:val="0"/>
          <w:numId w:val="2"/>
        </w:numPr>
        <w:spacing w:after="80" w:line="276"/>
      </w:pPr>
      <w:r>
        <w:rPr>
          <w:b/>
          <w:bCs/>
          <w:sz w:val="21"/>
          <w:szCs w:val="21"/>
        </w:rPr>
        <w:t xml:space="preserve">Dev server:</w:t>
      </w:r>
      <w:r>
        <w:rPr>
          <w:sz w:val="21"/>
          <w:szCs w:val="21"/>
        </w:rPr>
        <w:t xml:space="preserve"> must run in the user’s own terminal/browser to be useful to them — starting it only inside your own sandboxed preview pane proves nothing to them. Launch it as a background process they can see when they need to view it themselves.</w:t>
      </w:r>
    </w:p>
    <w:p>
      <w:pPr>
        <w:pStyle w:val="ListParagraph"/>
        <w:numPr>
          <w:ilvl w:val="0"/>
          <w:numId w:val="2"/>
        </w:numPr>
        <w:spacing w:after="80" w:line="276"/>
      </w:pPr>
      <w:r>
        <w:rPr>
          <w:b/>
          <w:bCs/>
          <w:sz w:val="21"/>
          <w:szCs w:val="21"/>
        </w:rPr>
        <w:t xml:space="preserve">Verify visual changes for real:</w:t>
      </w:r>
      <w:r>
        <w:rPr>
          <w:sz w:val="21"/>
          <w:szCs w:val="21"/>
        </w:rPr>
        <w:t xml:space="preserve"> actually render the changed screen — dev server plus a real browser, screenshot or live view — before calling something done. Don’t just read the JSX and assume it looks right. Check both an English-only tree and the bilingual farmer tree, since text volume differs meaningfully between them.</w:t>
      </w:r>
    </w:p>
    <w:p>
      <w:pPr>
        <w:pStyle w:val="ListParagraph"/>
        <w:numPr>
          <w:ilvl w:val="0"/>
          <w:numId w:val="2"/>
        </w:numPr>
        <w:spacing w:after="80" w:line="276"/>
      </w:pPr>
      <w:r>
        <w:rPr>
          <w:b/>
          <w:bCs/>
          <w:sz w:val="21"/>
          <w:szCs w:val="21"/>
        </w:rPr>
        <w:t xml:space="preserve">If handed a handoff_*.md spec:</w:t>
      </w:r>
      <w:r>
        <w:rPr>
          <w:sz w:val="21"/>
          <w:szCs w:val="21"/>
        </w:rPr>
        <w:t xml:space="preserve"> read it against the actual current code first — specs are sometimes written from a slightly stale mental model of a fast-moving codebase. If a spec’s premise doesn’t match reality, implement the real underlying intent and say so plainly in your resolution doc, rather than silently complying with a wrong premise or silently refusing. Write handoff_&lt;name&gt;_resolution.md stating what you built, how you verified it, and any premise mismatches or open questions. Commit only that file.</w:t>
      </w:r>
    </w:p>
    <w:p>
      <w:pPr>
        <w:pStyle w:val="Heading1"/>
        <w:pBdr>
          <w:bottom w:val="single" w:color="B45309" w:sz="6" w:space="4"/>
        </w:pBdr>
        <w:spacing w:after="200" w:before="400"/>
      </w:pPr>
      <w:r>
        <w:rPr>
          <w:b/>
          <w:bCs/>
          <w:color w:val="1F2937"/>
          <w:sz w:val="30"/>
          <w:szCs w:val="30"/>
        </w:rPr>
        <w:t xml:space="preserve">10. Where the deeper technical reference lives</w:t>
      </w:r>
    </w:p>
    <w:p>
      <w:pPr>
        <w:spacing w:after="160" w:line="276"/>
      </w:pPr>
      <w:r>
        <w:rPr>
          <w:sz w:val="21"/>
          <w:szCs w:val="21"/>
        </w:rPr>
        <w:t xml:space="preserve">If this account has access to the same local repository, handoffs/full_system_audit.md is a comprehensive, code-verified reference covering every rule tree, the full classification architecture, human-review triggers, the abort/escalation flow, risk dimensions, personas, i18n, and the speech-to-text provider architecture — all with exact file:line citations, current through round 29 (refreshed 2026-08-30). The handoffs/handoff_*_resolution.md files are the per-round decision log.</w:t>
      </w:r>
    </w:p>
    <w:p>
      <w:pPr>
        <w:spacing w:after="160" w:line="276"/>
      </w:pPr>
      <w:r>
        <w:rPr>
          <w:sz w:val="21"/>
          <w:szCs w:val="21"/>
        </w:rPr>
        <w:t xml:space="preserve">Treat this document as the fast-start summary tuned for design work specifically; that folder is the ground truth for anything not covered above, and the place to check before assuming any fact here is still current.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2026-08-31T07:38:36.457Z</dcterms:created>
  <dcterms:modified xsi:type="dcterms:W3CDTF">2026-08-31T07:38:36.457Z</dcterms:modified>
</cp:coreProperties>
</file>

<file path=docProps/custom.xml><?xml version="1.0" encoding="utf-8"?>
<Properties xmlns="http://schemas.openxmlformats.org/officeDocument/2006/custom-properties" xmlns:vt="http://schemas.openxmlformats.org/officeDocument/2006/docPropsVTypes"/>
</file>