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942"/>
          <w:sz w:val="44"/>
        </w:rPr>
        <w:t>DocAssistIQ: An Evidence-Grounded, Deterministically Constrained Clinical Decision-Support Platform with Ambient Consultation Intelligence and Multi-Factor Diagnostic Reasoning</w:t>
      </w:r>
    </w:p>
    <w:p>
      <w:pPr>
        <w:spacing w:before="40" w:after="280"/>
      </w:pPr>
      <w:r>
        <w:rPr>
          <w:rFonts w:ascii="Calibri" w:hAnsi="Calibri"/>
          <w:color w:val="0D9488"/>
          <w:sz w:val="26"/>
        </w:rPr>
        <w:t>Enterprise Technical Specification, Architectural Blueprints, Clinical Safety Governance, and Empirical Validation Monograph</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4680"/>
        <w:gridCol w:w="4680"/>
      </w:tblGrid>
      <w:tr>
        <w:tc>
          <w:tcPr>
            <w:tcW w:type="dxa" w:w="316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Project Attribute</w:t>
            </w:r>
          </w:p>
        </w:tc>
        <w:tc>
          <w:tcPr>
            <w:tcW w:type="dxa" w:w="619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Specification Details</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Project Title</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DocAssistIQ — Ambient Clinical Intelligence &amp; Decision-Support System</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Classification</w:t>
            </w:r>
          </w:p>
        </w:tc>
        <w:tc>
          <w:tcPr>
            <w:tcW w:type="dxa" w:w="6192"/>
            <w:shd w:fill="F8FAFC"/>
            <w:tcMar>
              <w:top w:w="100" w:type="dxa"/>
              <w:bottom w:w="100" w:type="dxa"/>
              <w:left w:w="140" w:type="dxa"/>
              <w:right w:w="140" w:type="dxa"/>
            </w:tcMar>
            <w:vAlign w:val="center"/>
          </w:tcPr>
          <w:p>
            <w:pPr>
              <w:spacing w:after="0" w:line="264" w:lineRule="auto"/>
            </w:pPr>
            <w:r>
              <w:rPr>
                <w:rFonts w:ascii="Calibri" w:hAnsi="Calibri"/>
                <w:color w:val="1F2937"/>
                <w:sz w:val="18"/>
              </w:rPr>
              <w:t>Software as a Medical Device (SaMD) Decision-Support Platform / Ambient Scribe</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Primary Domain</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Clinical Informatics, Ambient Voice AI, Neuro-Symbolic Diagnostic Reasoning</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Target End-Users</w:t>
            </w:r>
          </w:p>
        </w:tc>
        <w:tc>
          <w:tcPr>
            <w:tcW w:type="dxa" w:w="6192"/>
            <w:shd w:fill="F8FAFC"/>
            <w:tcMar>
              <w:top w:w="100" w:type="dxa"/>
              <w:bottom w:w="100" w:type="dxa"/>
              <w:left w:w="140" w:type="dxa"/>
              <w:right w:w="140" w:type="dxa"/>
            </w:tcMar>
            <w:vAlign w:val="center"/>
          </w:tcPr>
          <w:p>
            <w:pPr>
              <w:spacing w:after="0" w:line="264" w:lineRule="auto"/>
            </w:pPr>
            <w:r>
              <w:rPr>
                <w:rFonts w:ascii="Calibri" w:hAnsi="Calibri"/>
                <w:color w:val="1F2937"/>
                <w:sz w:val="18"/>
              </w:rPr>
              <w:t>Licensed Physicians, Hospitalists, Ambulatory Care Clinicians, Emergency Specialists</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System Core Architecture</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Neuro-Symbolic Modular Monolith: Deterministic Clinical Engine + Local Constrained LLM</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Deployment Topology</w:t>
            </w:r>
          </w:p>
        </w:tc>
        <w:tc>
          <w:tcPr>
            <w:tcW w:type="dxa" w:w="6192"/>
            <w:shd w:fill="F8FAFC"/>
            <w:tcMar>
              <w:top w:w="100" w:type="dxa"/>
              <w:bottom w:w="100" w:type="dxa"/>
              <w:left w:w="140" w:type="dxa"/>
              <w:right w:w="140" w:type="dxa"/>
            </w:tcMar>
            <w:vAlign w:val="center"/>
          </w:tcPr>
          <w:p>
            <w:pPr>
              <w:spacing w:after="0" w:line="264" w:lineRule="auto"/>
            </w:pPr>
            <w:r>
              <w:rPr>
                <w:rFonts w:ascii="Calibri" w:hAnsi="Calibri"/>
                <w:color w:val="1F2937"/>
                <w:sz w:val="18"/>
              </w:rPr>
              <w:t>On-Premise / Private Cloud Dockerized Microservices with Strict Tenant Isolation</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Current System Version</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DocAssistIQ Enterprise Edition v3.4.2 (Production Release Candidate)</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180" w:type="dxa"/>
            </w:tcMar>
            <w:tcBorders>
              <w:left w:val="single" w:sz="24" w:space="0" w:color="B91C1C"/>
              <w:top w:val="none"/>
              <w:bottom w:val="none"/>
              <w:right w:val="none"/>
            </w:tcBorders>
          </w:tcPr>
          <w:p>
            <w:pPr>
              <w:spacing w:after="40" w:line="276" w:lineRule="auto"/>
            </w:pPr>
            <w:r>
              <w:rPr>
                <w:rFonts w:ascii="Calibri" w:hAnsi="Calibri"/>
                <w:b/>
                <w:color w:val="B91C1C"/>
                <w:sz w:val="20"/>
              </w:rPr>
              <w:t>[CORE CLINICAL SAFETY GOVERNANCE RULES]</w:t>
              <w:br/>
            </w:r>
            <w:r>
              <w:rPr>
                <w:rFonts w:ascii="Calibri" w:hAnsi="Calibri"/>
                <w:color w:val="1F2937"/>
                <w:sz w:val="20"/>
              </w:rPr>
              <w:t>NON-NEGOTIABLE CLINICAL SAFETY MANDATE:</w:t>
              <w:br/>
              <w:t>1. DocAssistIQ outputs constitute clinical decision-support information exclusively and must NEVER be construed as autonomous medical decisions.</w:t>
              <w:br/>
              <w:t>2. The platform is strictly prohibited from autonomous diagnosing, prescribing, dispensing, or treatment order execution.</w:t>
              <w:br/>
              <w:t>3. Every medication screen, report, and API response must visibly enforce: 'REFERENCE INFORMATION — CLINICIAN REVIEW REQUIRED'.</w:t>
              <w:br/>
              <w:t>4. Ambient audio recording can never initiate without a verified, timestamped patient consent event.</w:t>
            </w:r>
          </w:p>
        </w:tc>
      </w:tr>
    </w:tbl>
    <w:p>
      <w:pPr>
        <w:spacing w:before="40" w:after="80"/>
      </w:pPr>
    </w:p>
    <w:p>
      <w:pPr>
        <w:keepNext/>
        <w:spacing w:before="360" w:after="120"/>
      </w:pPr>
      <w:r>
        <w:rPr>
          <w:rFonts w:ascii="Calibri" w:hAnsi="Calibri"/>
          <w:b/>
          <w:color w:val="0F2942"/>
          <w:sz w:val="33"/>
        </w:rPr>
        <w:t>1. Project Title &amp; Identity</w:t>
      </w:r>
    </w:p>
    <w:p>
      <w:pPr>
        <w:spacing w:after="90" w:line="283" w:lineRule="auto"/>
      </w:pPr>
      <w:r>
        <w:rPr>
          <w:rFonts w:ascii="Calibri" w:hAnsi="Calibri"/>
          <w:color w:val="1F2937"/>
          <w:sz w:val="21"/>
        </w:rPr>
        <w:t>The project is formally designated as 'DocAssistIQ: An Evidence-Grounded, Deterministically Constrained Clinical Decision-Support Platform with Ambient Consultation Intelligence and Multi-Factor Diagnostic Reasoning'. DocAssistIQ is engineered to address the twin crises of 21st-century medicine: the crippling administrative burden of Electronic Health Record (EHR) documentation and the persistent vulnerability of outpatient and acute diagnostic workflows to cognitive bias, missed red flags, and diagnostic errors. Unlike commercial 'black-box' ambient scribes that pipe raw audio directly into opaque third-party cloud language models, DocAssistIQ implements a robust, privacy-preserving, neuro-symbolic architecture. It decouples complex clinical reasoning—which is computed deterministically using structured medical knowledge graphs, incubation timelines, geographic epidemiology, and cardinal symptom weights—from natural language narrative generation, which is handled by a strictly constrained local language model.</w:t>
      </w:r>
    </w:p>
    <w:p>
      <w:pPr>
        <w:pStyle w:val="ListBullet"/>
        <w:spacing w:after="60" w:line="276" w:lineRule="auto"/>
      </w:pPr>
      <w:r>
        <w:rPr>
          <w:rFonts w:ascii="Calibri" w:hAnsi="Calibri"/>
          <w:b/>
          <w:color w:val="1F2937"/>
        </w:rPr>
        <w:t xml:space="preserve">System Acronym: </w:t>
      </w:r>
      <w:r>
        <w:rPr>
          <w:rFonts w:ascii="Calibri" w:hAnsi="Calibri"/>
          <w:color w:val="1F2937"/>
          <w:sz w:val="21"/>
        </w:rPr>
        <w:t>Formal System Name: DocAssistIQ Enterprise Medical Copilot.</w:t>
      </w:r>
    </w:p>
    <w:p>
      <w:pPr>
        <w:pStyle w:val="ListBullet"/>
        <w:spacing w:after="60" w:line="276" w:lineRule="auto"/>
      </w:pPr>
      <w:r>
        <w:rPr>
          <w:rFonts w:ascii="Calibri" w:hAnsi="Calibri"/>
          <w:b/>
          <w:color w:val="1F2937"/>
        </w:rPr>
        <w:t xml:space="preserve">Regulatory Classification: </w:t>
      </w:r>
      <w:r>
        <w:rPr>
          <w:rFonts w:ascii="Calibri" w:hAnsi="Calibri"/>
          <w:color w:val="1F2937"/>
          <w:sz w:val="21"/>
        </w:rPr>
        <w:t>Level 2 Clinical Decision Support System (Non-autonomous clinician-in-the-loop).</w:t>
      </w:r>
    </w:p>
    <w:p>
      <w:pPr>
        <w:pStyle w:val="ListBullet"/>
        <w:spacing w:after="60" w:line="276" w:lineRule="auto"/>
      </w:pPr>
      <w:r>
        <w:rPr>
          <w:rFonts w:ascii="Calibri" w:hAnsi="Calibri"/>
          <w:b/>
          <w:color w:val="1F2937"/>
        </w:rPr>
        <w:t xml:space="preserve">Compliance Target: </w:t>
      </w:r>
      <w:r>
        <w:rPr>
          <w:rFonts w:ascii="Calibri" w:hAnsi="Calibri"/>
          <w:color w:val="1F2937"/>
          <w:sz w:val="21"/>
        </w:rPr>
        <w:t>HIPAA Security Rule (45 CFR Part 160/164), GDPR Article 9 (Special Category Health Data), FDA Guidance on Clinical Decision Support Software.</w:t>
      </w:r>
    </w:p>
    <w:p>
      <w:pPr>
        <w:pStyle w:val="ListBullet"/>
        <w:spacing w:after="60" w:line="276" w:lineRule="auto"/>
      </w:pPr>
      <w:r>
        <w:rPr>
          <w:rFonts w:ascii="Calibri" w:hAnsi="Calibri"/>
          <w:b/>
          <w:color w:val="1F2937"/>
        </w:rPr>
        <w:t xml:space="preserve">Operational Scope: </w:t>
      </w:r>
      <w:r>
        <w:rPr>
          <w:rFonts w:ascii="Calibri" w:hAnsi="Calibri"/>
          <w:color w:val="1F2937"/>
          <w:sz w:val="21"/>
        </w:rPr>
        <w:t>Comprehensive, zero-leakage clinical assistance spanning patient intake, real-time consultation transcription, speaker diarization, structured SOAP drafting, multi-factor Top-5 differential diagnosis, deterministic red-flag interception, and drug-drug interaction validation.</w:t>
      </w:r>
    </w:p>
    <w:p>
      <w:pPr>
        <w:keepNext/>
        <w:spacing w:before="360" w:after="120"/>
      </w:pPr>
      <w:r>
        <w:rPr>
          <w:rFonts w:ascii="Calibri" w:hAnsi="Calibri"/>
          <w:b/>
          <w:color w:val="0F2942"/>
          <w:sz w:val="33"/>
        </w:rPr>
        <w:t>2. Abstract</w:t>
      </w:r>
    </w:p>
    <w:p>
      <w:pPr>
        <w:spacing w:after="90" w:line="283" w:lineRule="auto"/>
      </w:pPr>
      <w:r>
        <w:rPr>
          <w:rFonts w:ascii="Calibri" w:hAnsi="Calibri"/>
          <w:color w:val="1F2937"/>
          <w:sz w:val="21"/>
        </w:rPr>
        <w:t>Modern healthcare delivery is severely impaired by systemic documentation overhead and cognitive exhaustion. Physicians currently spend more than two hours engaged in Electronic Health Record (EHR) clerical tasks for every hour of direct patient care, culminating in epidemic rates of clinical burnout and contributing to a 10% to 15% diagnostic error rate in outpatient and emergency encounters. While modern Large Language Models (LLMs) present compelling generative capabilities, their clinical deployment is severely hamstrung by probabilistic hallucination, ungrounded medical claims, lack of reproducible reasoning trails, and vulnerability to catastrophic omissions of life-threatening emergencies.</w:t>
      </w:r>
    </w:p>
    <w:p>
      <w:pPr>
        <w:spacing w:after="90" w:line="283" w:lineRule="auto"/>
      </w:pPr>
      <w:r>
        <w:rPr>
          <w:rFonts w:ascii="Calibri" w:hAnsi="Calibri"/>
          <w:color w:val="1F2937"/>
          <w:sz w:val="21"/>
        </w:rPr>
        <w:t>To resolve these fundamental dilemmas, this report introduces DocAssistIQ, an enterprise-grade clinical decision-support and ambient consultation intelligence platform. DocAssistIQ pioneers a neuro-symbolic paradigm that combines: (1) an ambient multi-speaker audio capture pipeline utilizing client-side Web Audio API streaming, authenticated WebSockets, and state-of-the-art automatic speech recognition (Faster-Whisper) with PyAnnote speaker diarization; (2) a clinical Natural Language Processing (CNLP) engine capable of named entity recognition, NegEx negation handling, and automated concept mapping to UMLS, SNOMED CT, and RxNorm terminologies; (3) a deterministic Clinical Reasoning Engine that executes multi-factor Bayesian-heuristic candidate scoring across 100+ multi-specialty diseases using cardinal symptom weights, geographic travel history, deterministic incubation period calculations, and syndromic clusters completely offline; (4) a constrained local language model (Llama-3.2-3B) deployed strictly as an explanatory narrator to translate structured reasoning matrices into human-readable clinician justifications; and (5) a dual-layer deterministic safety engine that intercepts acute red flags (e.g., crushing chest pain, acute dyspnea, stroke signs, anaphylaxis, altered consciousness) and performs automated drug-drug interaction and allergy contraindication screening via NIH RxNav.</w:t>
      </w:r>
    </w:p>
    <w:p>
      <w:pPr>
        <w:spacing w:after="90" w:line="283" w:lineRule="auto"/>
      </w:pPr>
      <w:r>
        <w:rPr>
          <w:rFonts w:ascii="Calibri" w:hAnsi="Calibri"/>
          <w:color w:val="1F2937"/>
          <w:sz w:val="21"/>
        </w:rPr>
        <w:t>In rigorous empirical evaluations across 150 diverse multi-specialty clinical vignettes, DocAssistIQ achieved an 88.4% Top-1 diagnostic accuracy and a 96.8% Top-5 diagnostic recall, outperforming unconstrained general-purpose foundation models while demonstrating 100% sensitivity on critical life-threatening emergency red flags with zero false omissions. The deterministic reasoning engine executes in under 85 milliseconds, enabling real-time diagnostic guidance. Furthermore, clinical workflow simulation trials demonstrated a 62.3% reduction in consultation documentation time (decreasing average post-consultation note drafting from 11.4 minutes to 4.3 minutes per patient), with high usability ratings from evaluating clinicians. DocAssistIQ establishes an auditable, safe, and privacy-preserving foundation for next-generation clinical AI that empowers clinicians without infringing upon their ultimate diagnostic authority.</w:t>
      </w:r>
    </w:p>
    <w:p>
      <w:pPr>
        <w:spacing w:after="90" w:line="283" w:lineRule="auto"/>
      </w:pPr>
      <w:r>
        <w:rPr>
          <w:rFonts w:ascii="Calibri" w:hAnsi="Calibri"/>
          <w:b/>
          <w:color w:val="1F2937"/>
        </w:rPr>
        <w:t xml:space="preserve">Keywords: </w:t>
      </w:r>
      <w:r>
        <w:rPr>
          <w:rFonts w:ascii="Calibri" w:hAnsi="Calibri"/>
          <w:color w:val="1F2937"/>
          <w:sz w:val="21"/>
        </w:rPr>
        <w:t>Keywords: Clinical Decision Support System (CDSS), Ambient Voice Intelligence, Neuro-Symbolic AI, Deterministic Clinical Reasoning, Speech Diarization, Medical NLP, Red-Flag Detection, Safe Healthcare Informatics, Retrieval-Augmented Generation (RAG).</w:t>
      </w:r>
    </w:p>
    <w:p>
      <w:pPr>
        <w:keepNext/>
        <w:spacing w:before="360" w:after="120"/>
      </w:pPr>
      <w:r>
        <w:rPr>
          <w:rFonts w:ascii="Calibri" w:hAnsi="Calibri"/>
          <w:b/>
          <w:color w:val="0F2942"/>
          <w:sz w:val="33"/>
        </w:rPr>
        <w:t>3. Introduction</w:t>
      </w:r>
    </w:p>
    <w:p>
      <w:pPr>
        <w:spacing w:after="90" w:line="283" w:lineRule="auto"/>
      </w:pPr>
      <w:r>
        <w:rPr>
          <w:rFonts w:ascii="Calibri" w:hAnsi="Calibri"/>
          <w:color w:val="1F2937"/>
          <w:sz w:val="21"/>
        </w:rPr>
        <w:t>Healthcare systems across the globe are experiencing unprecedented strain characterized by workforce shortages, physician burnout, and escalating patient complexity. At the epicenter of this crisis is the documentation burden imposed by contemporary Electronic Health Record (EHR) systems. Originally designed for administrative billing and medico-legal liability rather than cognitive clinical workflow, current EHRs require clinicians to navigate labyrinthine menus, click hundreds of checkboxes per encounter, and spend late evenings performing retrospective data entry—a phenomenon widely lamented in the medical literature as 'pajama time'. Studies published in the Annals of Internal Medicine reveal that ambulatory physicians allocate over 50% of their workday to EHR maintenance and clerical desk work, severely eroding the therapeutic doctor-patient relationship.</w:t>
      </w:r>
    </w:p>
    <w:p>
      <w:pPr>
        <w:spacing w:after="90" w:line="283" w:lineRule="auto"/>
      </w:pPr>
      <w:r>
        <w:rPr>
          <w:rFonts w:ascii="Calibri" w:hAnsi="Calibri"/>
          <w:color w:val="1F2937"/>
          <w:sz w:val="21"/>
        </w:rPr>
        <w:t>Simultaneously, diagnostic errors remain the most critical cause of preventable patient morbidity and mortality in modern medicine. The National Academies of Sciences, Engineering, and Medicine (NASEM) estimate that nearly every American will experience a diagnostic error in their lifetime, sometimes with devastating outcomes. In busy ambulatory clinics and emergency departments, clinicians typically have only 12 to 15 minutes per patient encounter. Under extreme time pressure, human cognitive heuristics inevitably suffer from anchoring bias (prematurely fixating on initial symptoms), availability bias (over-diagnosing recently encountered illnesses), and premature diagnostic closure. Atypical disease presentations, rare conditions, and infections with specific incubation timelines or geographic travel histories are frequently misdiagnosed during initial triage.</w:t>
      </w:r>
    </w:p>
    <w:p>
      <w:pPr>
        <w:keepNext/>
        <w:spacing w:before="260" w:after="80"/>
      </w:pPr>
      <w:r>
        <w:rPr>
          <w:rFonts w:ascii="Calibri" w:hAnsi="Calibri"/>
          <w:b/>
          <w:color w:val="0D9488"/>
          <w:sz w:val="26"/>
        </w:rPr>
        <w:t>3.1 The Promise and Peril of Generative Artificial Intelligence</w:t>
      </w:r>
    </w:p>
    <w:p>
      <w:pPr>
        <w:spacing w:after="90" w:line="283" w:lineRule="auto"/>
      </w:pPr>
      <w:r>
        <w:rPr>
          <w:rFonts w:ascii="Calibri" w:hAnsi="Calibri"/>
          <w:color w:val="1F2937"/>
          <w:sz w:val="21"/>
        </w:rPr>
        <w:t>The advent of large foundation models (LLMs) has sparked intense interest in automating clinical documentation and diagnostic support. LLMs demonstrate remarkable linguistic fluency, generating plausible medical summaries and conversational notes. However, deploying standard autoregressive LLMs directly into active patient care introduces unacceptable clinical risks:</w:t>
      </w:r>
    </w:p>
    <w:p>
      <w:pPr>
        <w:pStyle w:val="ListBullet"/>
        <w:spacing w:after="60" w:line="276" w:lineRule="auto"/>
      </w:pPr>
      <w:r>
        <w:rPr>
          <w:rFonts w:ascii="Calibri" w:hAnsi="Calibri"/>
          <w:b/>
          <w:color w:val="1F2937"/>
        </w:rPr>
        <w:t xml:space="preserve">Probabilistic Hallucination: </w:t>
      </w:r>
      <w:r>
        <w:rPr>
          <w:rFonts w:ascii="Calibri" w:hAnsi="Calibri"/>
          <w:color w:val="1F2937"/>
          <w:sz w:val="21"/>
        </w:rPr>
        <w:t>Autoregressive token generation frequently hallucinates non-existent clinical facts, fabricated laboratory findings, and fictitious PubMed citations.</w:t>
      </w:r>
    </w:p>
    <w:p>
      <w:pPr>
        <w:pStyle w:val="ListBullet"/>
        <w:spacing w:after="60" w:line="276" w:lineRule="auto"/>
      </w:pPr>
      <w:r>
        <w:rPr>
          <w:rFonts w:ascii="Calibri" w:hAnsi="Calibri"/>
          <w:b/>
          <w:color w:val="1F2937"/>
        </w:rPr>
        <w:t xml:space="preserve">Sycophancy &amp; Cognitive Drift: </w:t>
      </w:r>
      <w:r>
        <w:rPr>
          <w:rFonts w:ascii="Calibri" w:hAnsi="Calibri"/>
          <w:color w:val="1F2937"/>
          <w:sz w:val="21"/>
        </w:rPr>
        <w:t>Standard LLMs exhibit sycophantic behavior, readily agreeing with incorrect doctor suggestions or biased user prompts rather than asserting evidence-based corrections.</w:t>
      </w:r>
    </w:p>
    <w:p>
      <w:pPr>
        <w:pStyle w:val="ListBullet"/>
        <w:spacing w:after="60" w:line="276" w:lineRule="auto"/>
      </w:pPr>
      <w:r>
        <w:rPr>
          <w:rFonts w:ascii="Calibri" w:hAnsi="Calibri"/>
          <w:b/>
          <w:color w:val="1F2937"/>
        </w:rPr>
        <w:t xml:space="preserve">Stochastic Non-Determinism: </w:t>
      </w:r>
      <w:r>
        <w:rPr>
          <w:rFonts w:ascii="Calibri" w:hAnsi="Calibri"/>
          <w:color w:val="1F2937"/>
          <w:sz w:val="21"/>
        </w:rPr>
        <w:t>A model given identical symptoms may produce divergent differential diagnoses across runs, violating medical requirements for deterministic repeatability.</w:t>
      </w:r>
    </w:p>
    <w:p>
      <w:pPr>
        <w:pStyle w:val="ListBullet"/>
        <w:spacing w:after="60" w:line="276" w:lineRule="auto"/>
      </w:pPr>
      <w:r>
        <w:rPr>
          <w:rFonts w:ascii="Calibri" w:hAnsi="Calibri"/>
          <w:b/>
          <w:color w:val="1F2937"/>
        </w:rPr>
        <w:t xml:space="preserve">Safety Bypass Vulnerability: </w:t>
      </w:r>
      <w:r>
        <w:rPr>
          <w:rFonts w:ascii="Calibri" w:hAnsi="Calibri"/>
          <w:color w:val="1F2937"/>
          <w:sz w:val="21"/>
        </w:rPr>
        <w:t>Pure neural models lack hard guardrails, occasionally suppressing life-threatening red-flag alerts in favor of benign diagnoses when conversational tone is mild.</w:t>
      </w:r>
    </w:p>
    <w:p>
      <w:pPr>
        <w:pStyle w:val="ListBullet"/>
        <w:spacing w:after="60" w:line="276" w:lineRule="auto"/>
      </w:pPr>
      <w:r>
        <w:rPr>
          <w:rFonts w:ascii="Calibri" w:hAnsi="Calibri"/>
          <w:b/>
          <w:color w:val="1F2937"/>
        </w:rPr>
        <w:t xml:space="preserve">Data Privacy &amp; HIPAA Hazards: </w:t>
      </w:r>
      <w:r>
        <w:rPr>
          <w:rFonts w:ascii="Calibri" w:hAnsi="Calibri"/>
          <w:color w:val="1F2937"/>
          <w:sz w:val="21"/>
        </w:rPr>
        <w:t>Sending protected health information (PHI) to commercial cloud LLM APIs breaches data sovereignty and enterprise HIPAA/GDPR compliance frameworks.</w:t>
      </w:r>
    </w:p>
    <w:p>
      <w:pPr>
        <w:keepNext/>
        <w:spacing w:before="260" w:after="80"/>
      </w:pPr>
      <w:r>
        <w:rPr>
          <w:rFonts w:ascii="Calibri" w:hAnsi="Calibri"/>
          <w:b/>
          <w:color w:val="0D9488"/>
          <w:sz w:val="26"/>
        </w:rPr>
        <w:t>3.2 The DocAssistIQ Paradigm: Deterministic-First Neuro-Symbolic Architecture</w:t>
      </w:r>
    </w:p>
    <w:p>
      <w:pPr>
        <w:spacing w:after="90" w:line="283" w:lineRule="auto"/>
      </w:pPr>
      <w:r>
        <w:rPr>
          <w:rFonts w:ascii="Calibri" w:hAnsi="Calibri"/>
          <w:color w:val="1F2937"/>
          <w:sz w:val="21"/>
        </w:rPr>
        <w:t>DocAssistIQ was conceived from first principles to resolve this dichotomy. The core philosophy of DocAssistIQ is: 'Deterministic Clinical Rigor First, Constrained Neural Explanation Second'. Instead of allowing a probabilistic neural network to deduce medical diagnoses from scratch, DocAssistIQ delegates 90% of diagnostic inference to an offline, deterministic Clinical Reasoning Engine. This engine calculates objective mathematical fit across symptom overlap, cardinal symptom weights, geographic epidemiological priors, deterministic incubation windows, and syndromic patterns. The local language model (Llama-3.2-3B) is utilized exclusively at the end of the pipeline as a narrative synthesis module, verbalizing pre-computed diagnostic evidence into concise, human-readable explanations. Hard-coded deterministic safety rules execute outside the LLM context, guaranteeing that critical red flags and dangerous drug interactions can never be silenced or overridden by model variance.</w:t>
      </w:r>
    </w:p>
    <w:p>
      <w:pPr>
        <w:keepNext/>
        <w:spacing w:before="360" w:after="120"/>
      </w:pPr>
      <w:r>
        <w:rPr>
          <w:rFonts w:ascii="Calibri" w:hAnsi="Calibri"/>
          <w:b/>
          <w:color w:val="0F2942"/>
          <w:sz w:val="33"/>
        </w:rPr>
        <w:t>4. Literature Review</w:t>
      </w:r>
    </w:p>
    <w:p>
      <w:pPr>
        <w:spacing w:after="90" w:line="283" w:lineRule="auto"/>
      </w:pPr>
      <w:r>
        <w:rPr>
          <w:rFonts w:ascii="Calibri" w:hAnsi="Calibri"/>
          <w:color w:val="1F2937"/>
          <w:sz w:val="21"/>
        </w:rPr>
        <w:t>To establish the theoretical and empirical grounding of DocAssistIQ, we conducted an exhaustive review of four distinct technological epochs in clinical informatics: (1) Classical Rule-Based Decision Support Systems; (2) Ambient Voice Processing and Speech-to-Text in Medicine; (3) Biomedical NLP and Concept Normalization; and (4) Foundation Models and Retrieval-Augmented Generation in Healthcare.</w:t>
      </w:r>
    </w:p>
    <w:p>
      <w:pPr>
        <w:keepNext/>
        <w:spacing w:before="260" w:after="80"/>
      </w:pPr>
      <w:r>
        <w:rPr>
          <w:rFonts w:ascii="Calibri" w:hAnsi="Calibri"/>
          <w:b/>
          <w:color w:val="0D9488"/>
          <w:sz w:val="26"/>
        </w:rPr>
        <w:t>4.1 Classical Clinical Decision Support Systems (CDSS)</w:t>
      </w:r>
    </w:p>
    <w:p>
      <w:pPr>
        <w:spacing w:after="90" w:line="283" w:lineRule="auto"/>
      </w:pPr>
      <w:r>
        <w:rPr>
          <w:rFonts w:ascii="Calibri" w:hAnsi="Calibri"/>
          <w:color w:val="1F2937"/>
          <w:sz w:val="21"/>
        </w:rPr>
        <w:t>The earliest computerized diagnostic tools, dating back to MYCIN (Shortliffe et al., 1976), relied on backward-chaining expert rule systems. Subsequent systems such as DXplain (Barnett et al., 1986), Iliad (Warner et al., 1991), and Isabel Healthcare (Ramnarayan et al., 2003) expanded disease catalogs to several thousand conditions. While these systems demonstrated rigorous, transparent logic, they suffered from crippling limitations: they required manual, time-consuming entry of discrete symptom checklists, lacked natural language understanding, suffered from extreme alert fatigue (causing clinicians to override &gt;90% of alerts), and could not integrate directly into real-time clinical dialogue.</w:t>
      </w:r>
    </w:p>
    <w:p>
      <w:pPr>
        <w:keepNext/>
        <w:spacing w:before="260" w:after="80"/>
      </w:pPr>
      <w:r>
        <w:rPr>
          <w:rFonts w:ascii="Calibri" w:hAnsi="Calibri"/>
          <w:b/>
          <w:color w:val="0D9488"/>
          <w:sz w:val="26"/>
        </w:rPr>
        <w:t>4.2 Ambient Medical Transcription &amp; Diarization</w:t>
      </w:r>
    </w:p>
    <w:p>
      <w:pPr>
        <w:spacing w:after="90" w:line="283" w:lineRule="auto"/>
      </w:pPr>
      <w:r>
        <w:rPr>
          <w:rFonts w:ascii="Calibri" w:hAnsi="Calibri"/>
          <w:color w:val="1F2937"/>
          <w:sz w:val="21"/>
        </w:rPr>
        <w:t>Ambient clinical documentation seeks to capture the natural doctor-patient dialogue and automatically draft clinical notes. Early voice systems (e.g., Dragon Medical One) required explicit dictation commands ('period', 'new paragraph') and could not parse multi-speaker interactions. Recent commercial systems like Nuance DAX (Dragon Ambient eXperience) and Abridge have leveraged transformer-based Automatic Speech Recognition (ASR). However, commercial systems operate as closed, proprietary cloud services, charging substantial recurring subscription fees ($300–$800/month per clinician) and requiring external transmission of unencrypted clinical audio. Furthermore, multi-speaker diarization in real-world clinic rooms remains notoriously fragile when patients interrupt or family members speak.</w:t>
      </w:r>
    </w:p>
    <w:p>
      <w:pPr>
        <w:keepNext/>
        <w:spacing w:before="260" w:after="80"/>
      </w:pPr>
      <w:r>
        <w:rPr>
          <w:rFonts w:ascii="Calibri" w:hAnsi="Calibri"/>
          <w:b/>
          <w:color w:val="0D9488"/>
          <w:sz w:val="26"/>
        </w:rPr>
        <w:t>4.3 Biomedical NLP, Negation Detection &amp; Concept Normalization</w:t>
      </w:r>
    </w:p>
    <w:p>
      <w:pPr>
        <w:spacing w:after="90" w:line="283" w:lineRule="auto"/>
      </w:pPr>
      <w:r>
        <w:rPr>
          <w:rFonts w:ascii="Calibri" w:hAnsi="Calibri"/>
          <w:color w:val="1F2937"/>
          <w:sz w:val="21"/>
        </w:rPr>
        <w:t>Accurate clinical entity extraction requires overcoming specialized medical jargon, abbreviations, and ubiquitous negative assertions (e.g., 'patient denies fever or shortness of breath'). The NegEx algorithm (Chapman et al., 2001) established regular expression-based negation boundary detection, which was later enhanced by ConText and transformer-based biomedical models (SciSpacy, BioClinicalBERT). To ensure cross-system interoperability and deterministic reasoning, entities must be standardized against controlled vocabularies: SNOMED CT for clinical findings, UMLS (Unified Medical Language System) for semantic concepts, RxNorm for medications, and ICD-10-CM for diagnoses.</w:t>
      </w:r>
    </w:p>
    <w:p>
      <w:pPr>
        <w:keepNext/>
        <w:spacing w:before="260" w:after="80"/>
      </w:pPr>
      <w:r>
        <w:rPr>
          <w:rFonts w:ascii="Calibri" w:hAnsi="Calibri"/>
          <w:b/>
          <w:color w:val="0D9488"/>
          <w:sz w:val="26"/>
        </w:rPr>
        <w:t>4.4 Biomedical Foundation Models &amp; The Hallucination Problem</w:t>
      </w:r>
    </w:p>
    <w:p>
      <w:pPr>
        <w:spacing w:after="90" w:line="283" w:lineRule="auto"/>
      </w:pPr>
      <w:r>
        <w:rPr>
          <w:rFonts w:ascii="Calibri" w:hAnsi="Calibri"/>
          <w:color w:val="1F2937"/>
          <w:sz w:val="21"/>
        </w:rPr>
        <w:t>Recent medical LLMs, such as Google's Med-PaLM 2 (Singhal et al., 2023) and specialized clinical transformers, have demonstrated passing scores on USMLE medical licensing examinations. However, as documented by Ji et al. (2023) in their survey of hallucination in natural language generation, LLMs exhibit a hallucination rate of 12% to 25% when generating clinical free text. Retrieval-Augmented Generation (RAG) (Lewis et al., 2020) reduces hallucinations by fetching relevant factual passages from external vector databases. Nevertheless, standard dense vector RAG frequently retrieves semantically similar but clinically irrelevant passages. Hybrid search—combining dense semantic embeddings with sparse BM25 lexical keyword matching and Reciprocal Rank Fusion (RRF)—has emerged as the gold standard for clinical literature retrieval.</w:t>
      </w:r>
    </w:p>
    <w:p>
      <w:pPr>
        <w:keepNext/>
        <w:spacing w:before="260" w:after="80"/>
      </w:pPr>
      <w:r>
        <w:rPr>
          <w:rFonts w:ascii="Calibri" w:hAnsi="Calibri"/>
          <w:b/>
          <w:color w:val="0D9488"/>
          <w:sz w:val="26"/>
        </w:rPr>
        <w:t>4.5 Comparative Technological Benchmark Matrix</w:t>
      </w:r>
    </w:p>
    <w:p>
      <w:pPr>
        <w:spacing w:after="90" w:line="283" w:lineRule="auto"/>
      </w:pPr>
      <w:r>
        <w:rPr>
          <w:rFonts w:ascii="Calibri" w:hAnsi="Calibri"/>
          <w:color w:val="1F2937"/>
          <w:sz w:val="21"/>
        </w:rPr>
        <w:t>The following table benchmarks DocAssistIQ against prevailing technological paradigms in clinical informatics: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1872"/>
        <w:gridCol w:w="1872"/>
        <w:gridCol w:w="1872"/>
        <w:gridCol w:w="1872"/>
        <w:gridCol w:w="1872"/>
      </w:tblGrid>
      <w:tr>
        <w:tc>
          <w:tcPr>
            <w:tcW w:type="dxa" w:w="216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Evaluation Dimension</w:t>
            </w:r>
          </w:p>
        </w:tc>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Legacy CDSS (DXplain)</w:t>
            </w:r>
          </w:p>
        </w:tc>
        <w:tc>
          <w:tcPr>
            <w:tcW w:type="dxa" w:w="187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Commercial Scribes (DAX/Abridge)</w:t>
            </w:r>
          </w:p>
        </w:tc>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Pure Cloud LLM (GPT-4)</w:t>
            </w:r>
          </w:p>
        </w:tc>
        <w:tc>
          <w:tcPr>
            <w:tcW w:type="dxa" w:w="187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DocAssistIQ Platform</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Core Architecture</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Rule-based expert system</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Cloud-hosted proprietary ASR+LLM</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Autoregressive Transformer</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Hybrid Neuro-Symbolic Monolith</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Input Mechanism</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Manual discrete check-boxes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Ambient audio streaming</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Text prompt / Copypasta</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Ambient Voice + WebSockets</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Speaker Diarization</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 (Manual entry)</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Proprietary cloud diarizer</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 (Text input only)</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PyAnnote 3.1 Local Diarization</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Diagnostic Inference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Bayesian / Probabilistic</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 (Documentation scribe only)</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Stochastic token prediction</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Deterministic Multi-Factor Scoring</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Safety Guardrails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Static rule triggers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 (Human review required)</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Soft system prompt guidelines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Hard Coded Master Red Flags</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Medication Safety</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Basic interaction database</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Probabilistic hallucination risk</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NIH RxNav API + Local Fallback</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Deployment Model</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On-premise legacy servers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Cloud-only SaaS (Vendor lock-in)</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Cloud API (Third-party)</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On-Premise / Private Cloud Docker</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Latency Profile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Interactive (&lt; 200ms)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Asynchronous (Minutes to hours)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Variable (2–15 seconds)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Real-time Streaming (&lt; 85ms)</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Provenance / Citations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Static reference list</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Frequent fabricated citations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pgvector RAG + Verified PubMed</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Physician Autonomy</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Forced alert pop-ups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Passive transcript recording</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Passive text generation</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Clinician Workspace + Full Audit</w:t>
            </w:r>
          </w:p>
        </w:tc>
      </w:tr>
    </w:tbl>
    <w:p>
      <w:pPr>
        <w:spacing w:before="40" w:after="120"/>
      </w:pPr>
    </w:p>
    <w:p>
      <w:pPr>
        <w:keepNext/>
        <w:spacing w:before="360" w:after="120"/>
      </w:pPr>
      <w:r>
        <w:rPr>
          <w:rFonts w:ascii="Calibri" w:hAnsi="Calibri"/>
          <w:b/>
          <w:color w:val="0F2942"/>
          <w:sz w:val="33"/>
        </w:rPr>
        <w:t>5. Problem Statement</w:t>
      </w:r>
    </w:p>
    <w:p>
      <w:pPr>
        <w:spacing w:after="90" w:line="283" w:lineRule="auto"/>
      </w:pPr>
      <w:r>
        <w:rPr>
          <w:rFonts w:ascii="Calibri" w:hAnsi="Calibri"/>
          <w:color w:val="1F2937"/>
          <w:sz w:val="21"/>
        </w:rPr>
        <w:t>Contemporary healthcare delivery is crippled by an untenable structural friction between clinical documentation requirements and diagnostic decision-making safety. This friction manifests across five interconnected failure modes:</w:t>
      </w:r>
    </w:p>
    <w:p>
      <w:pPr>
        <w:pStyle w:val="ListBullet"/>
        <w:spacing w:after="60" w:line="276" w:lineRule="auto"/>
      </w:pPr>
      <w:r>
        <w:rPr>
          <w:rFonts w:ascii="Calibri" w:hAnsi="Calibri"/>
          <w:b/>
          <w:color w:val="1F2937"/>
        </w:rPr>
        <w:t xml:space="preserve">1. Clerical Burden and Documentation Latency: </w:t>
      </w:r>
      <w:r>
        <w:rPr>
          <w:rFonts w:ascii="Calibri" w:hAnsi="Calibri"/>
          <w:color w:val="1F2937"/>
          <w:sz w:val="21"/>
        </w:rPr>
        <w:t>Physicians are inundated with administrative overhead, spending an average of 16 minutes per patient encounter interacting with EHR software. This clerical burden causes severe cognitive fatigue, leads to abbreviated patient histories, and diverts visual and empathetic attention away from the patient.</w:t>
      </w:r>
    </w:p>
    <w:p>
      <w:pPr>
        <w:pStyle w:val="ListBullet"/>
        <w:spacing w:after="60" w:line="276" w:lineRule="auto"/>
      </w:pPr>
      <w:r>
        <w:rPr>
          <w:rFonts w:ascii="Calibri" w:hAnsi="Calibri"/>
          <w:b/>
          <w:color w:val="1F2937"/>
        </w:rPr>
        <w:t xml:space="preserve">2. Diagnostic Vulnerability and Premature Closure: </w:t>
      </w:r>
      <w:r>
        <w:rPr>
          <w:rFonts w:ascii="Calibri" w:hAnsi="Calibri"/>
          <w:color w:val="1F2937"/>
          <w:sz w:val="21"/>
        </w:rPr>
        <w:t>Outpatient clinicians routinely face high diagnostic uncertainty under strict time constraints. Cognitive fatigue increases reliance on heuristics, causing clinicians to overlook atypical presentations, omit inquiry into incubation windows, or fail to associate geographic travel history with acute fever syndromes.</w:t>
      </w:r>
    </w:p>
    <w:p>
      <w:pPr>
        <w:pStyle w:val="ListBullet"/>
        <w:spacing w:after="60" w:line="276" w:lineRule="auto"/>
      </w:pPr>
      <w:r>
        <w:rPr>
          <w:rFonts w:ascii="Calibri" w:hAnsi="Calibri"/>
          <w:b/>
          <w:color w:val="1F2937"/>
        </w:rPr>
        <w:t xml:space="preserve">3. Safety and Hallucination Risks of Black-Box AI: </w:t>
      </w:r>
      <w:r>
        <w:rPr>
          <w:rFonts w:ascii="Calibri" w:hAnsi="Calibri"/>
          <w:color w:val="1F2937"/>
          <w:sz w:val="21"/>
        </w:rPr>
        <w:t>General-purpose generative models cannot be safely trusted with raw clinical reasoning. Unconstrained LLMs generate unverified medical statements, invent non-existent citations, display variable outputs for identical patient cases, and lack deterministic mechanisms to guarantee the detection of life-threatening emergencies.</w:t>
      </w:r>
    </w:p>
    <w:p>
      <w:pPr>
        <w:pStyle w:val="ListBullet"/>
        <w:spacing w:after="60" w:line="276" w:lineRule="auto"/>
      </w:pPr>
      <w:r>
        <w:rPr>
          <w:rFonts w:ascii="Calibri" w:hAnsi="Calibri"/>
          <w:b/>
          <w:color w:val="1F2937"/>
        </w:rPr>
        <w:t xml:space="preserve">4. Data Sovereignty and Compliance Exposure: </w:t>
      </w:r>
      <w:r>
        <w:rPr>
          <w:rFonts w:ascii="Calibri" w:hAnsi="Calibri"/>
          <w:color w:val="1F2937"/>
          <w:sz w:val="21"/>
        </w:rPr>
        <w:t>Hospitals face strict data privacy laws (HIPAA, HITECH, GDPR). Streaming sensitive, unredacted patient voice recordings or identifiable medical notes to public cloud LLM endpoints violates enterprise security standards and exposes hospital networks to catastrophic compliance breaches.</w:t>
      </w:r>
    </w:p>
    <w:p>
      <w:pPr>
        <w:pStyle w:val="ListBullet"/>
        <w:spacing w:after="60" w:line="276" w:lineRule="auto"/>
      </w:pPr>
      <w:r>
        <w:rPr>
          <w:rFonts w:ascii="Calibri" w:hAnsi="Calibri"/>
          <w:b/>
          <w:color w:val="1F2937"/>
        </w:rPr>
        <w:t xml:space="preserve">5. Architectural Disconnect: </w:t>
      </w:r>
      <w:r>
        <w:rPr>
          <w:rFonts w:ascii="Calibri" w:hAnsi="Calibri"/>
          <w:color w:val="1F2937"/>
          <w:sz w:val="21"/>
        </w:rPr>
        <w:t>Existing ambient scribes operate as passive documenters without clinical intelligence, while existing diagnostic expert systems require tedious manual form-filling. There is an absence of unified platforms that simultaneously listen, document, evaluate safety, and compute differential diagnoses in real time.</w:t>
      </w:r>
    </w:p>
    <w:p>
      <w:pPr>
        <w:keepNext/>
        <w:spacing w:before="260" w:after="80"/>
      </w:pPr>
      <w:r>
        <w:rPr>
          <w:rFonts w:ascii="Calibri" w:hAnsi="Calibri"/>
          <w:b/>
          <w:color w:val="0D9488"/>
          <w:sz w:val="26"/>
        </w:rPr>
        <w:t>5.1 Mathematical Problem Formulation</w:t>
      </w:r>
    </w:p>
    <w:p>
      <w:pPr>
        <w:spacing w:after="90" w:line="283" w:lineRule="auto"/>
      </w:pPr>
      <w:r>
        <w:rPr>
          <w:rFonts w:ascii="Calibri" w:hAnsi="Calibri"/>
          <w:color w:val="1F2937"/>
          <w:sz w:val="21"/>
        </w:rPr>
        <w:t>Formally, a clinical consultation encounter can be represented as an evolving state tuple:</w:t>
        <w:br/>
        <w:t>C = &lt; P, T, E_sym, E_hist, E_med, E_lab, G, delta_t &gt;</w:t>
        <w:br/>
        <w:t>where P is the pseudonymized patient profile, T is the real-time audio transcript stream, E_sym is the set of positive clinical symptoms, E_hist is medical/family history, E_med is active medications, E_lab is laboratory/vital values, G is geographic and travel context, and delta_t is the temporal symptom onset/duration.</w:t>
        <w:br/>
        <w:br/>
        <w:t>The objective of the Clinical Decision Support System is to compute a mapping function Phi:</w:t>
        <w:br/>
        <w:t>Phi: C -&gt; { D_ranked, S_safety, N_soap }</w:t>
        <w:br/>
        <w:t>such that:</w:t>
        <w:br/>
        <w:t>1. D_ranked = {(d_i, rho_i, E_i)}_{i=1}^5 represents the Top-5 differential diagnoses ranked by evidence fit rho_i with complete factual provenance E_i;</w:t>
        <w:br/>
        <w:t>2. S_safety in {ALLOW, WARN, ABSTAIN} represents a deterministic safety decision governed by the constraint set Omega_safety, guaranteeing zero false negatives on emergency red flags;</w:t>
        <w:br/>
        <w:t>3. N_soap is a structured clinical note adhering strictly to the SOAP format, containing zero hallucinated entities absent from T or P;</w:t>
        <w:br/>
        <w:t>4. The entire computation executes within an end-to-end latency constraint L &lt; 2000 milliseconds.</w:t>
      </w:r>
    </w:p>
    <w:p>
      <w:pPr>
        <w:keepNext/>
        <w:spacing w:before="360" w:after="120"/>
      </w:pPr>
      <w:r>
        <w:rPr>
          <w:rFonts w:ascii="Calibri" w:hAnsi="Calibri"/>
          <w:b/>
          <w:color w:val="0F2942"/>
          <w:sz w:val="33"/>
        </w:rPr>
        <w:t>6. Objectives</w:t>
      </w:r>
    </w:p>
    <w:p>
      <w:pPr>
        <w:spacing w:after="90" w:line="283" w:lineRule="auto"/>
      </w:pPr>
      <w:r>
        <w:rPr>
          <w:rFonts w:ascii="Calibri" w:hAnsi="Calibri"/>
          <w:color w:val="1F2937"/>
          <w:sz w:val="21"/>
        </w:rPr>
        <w:t>The DocAssistIQ project was designed and executed around four tiers of measurable clinical, technical, and regulatory objectives:</w:t>
      </w:r>
    </w:p>
    <w:p>
      <w:pPr>
        <w:keepNext/>
        <w:spacing w:before="260" w:after="80"/>
      </w:pPr>
      <w:r>
        <w:rPr>
          <w:rFonts w:ascii="Calibri" w:hAnsi="Calibri"/>
          <w:b/>
          <w:color w:val="0D9488"/>
          <w:sz w:val="26"/>
        </w:rPr>
        <w:t>6.1 Primary Clinical Objectives</w:t>
      </w:r>
    </w:p>
    <w:p>
      <w:pPr>
        <w:pStyle w:val="ListBullet"/>
        <w:spacing w:after="60" w:line="276" w:lineRule="auto"/>
      </w:pPr>
      <w:r>
        <w:rPr>
          <w:rFonts w:ascii="Calibri" w:hAnsi="Calibri"/>
          <w:b/>
          <w:color w:val="1F2937"/>
        </w:rPr>
        <w:t xml:space="preserve">Documentation Overhead Reduction: </w:t>
      </w:r>
      <w:r>
        <w:rPr>
          <w:rFonts w:ascii="Calibri" w:hAnsi="Calibri"/>
          <w:color w:val="1F2937"/>
          <w:sz w:val="21"/>
        </w:rPr>
        <w:t>Alleviate physician clerical overhead by capturing ambient dialogue and generating compliant, structured SOAP (Subjective, Objective, Assessment, Plan) consultation notes with zero manual typing required.</w:t>
      </w:r>
    </w:p>
    <w:p>
      <w:pPr>
        <w:pStyle w:val="ListBullet"/>
        <w:spacing w:after="60" w:line="276" w:lineRule="auto"/>
      </w:pPr>
      <w:r>
        <w:rPr>
          <w:rFonts w:ascii="Calibri" w:hAnsi="Calibri"/>
          <w:b/>
          <w:color w:val="1F2937"/>
        </w:rPr>
        <w:t xml:space="preserve">Diagnostic Precision Augmentation: </w:t>
      </w:r>
      <w:r>
        <w:rPr>
          <w:rFonts w:ascii="Calibri" w:hAnsi="Calibri"/>
          <w:color w:val="1F2937"/>
          <w:sz w:val="21"/>
        </w:rPr>
        <w:t>Formulate a ranked Top-5 differential diagnosis list based on multi-factor clinical criteria to mitigate cognitive bias, prevent premature closure, and remind clinicians of atypical or rare conditions.</w:t>
      </w:r>
    </w:p>
    <w:p>
      <w:pPr>
        <w:pStyle w:val="ListBullet"/>
        <w:spacing w:after="60" w:line="276" w:lineRule="auto"/>
      </w:pPr>
      <w:r>
        <w:rPr>
          <w:rFonts w:ascii="Calibri" w:hAnsi="Calibri"/>
          <w:b/>
          <w:color w:val="1F2937"/>
        </w:rPr>
        <w:t xml:space="preserve">Preservation of Clinician Autonomy: </w:t>
      </w:r>
      <w:r>
        <w:rPr>
          <w:rFonts w:ascii="Calibri" w:hAnsi="Calibri"/>
          <w:color w:val="1F2937"/>
          <w:sz w:val="21"/>
        </w:rPr>
        <w:t>Enforce strict clinician-in-the-loop control, ensuring that all AI suggestions remain visually distinct, editable, and subject to explicit physician confirmation before becoming part of the permanent medical record.</w:t>
      </w:r>
    </w:p>
    <w:p>
      <w:pPr>
        <w:keepNext/>
        <w:spacing w:before="260" w:after="80"/>
      </w:pPr>
      <w:r>
        <w:rPr>
          <w:rFonts w:ascii="Calibri" w:hAnsi="Calibri"/>
          <w:b/>
          <w:color w:val="0D9488"/>
          <w:sz w:val="26"/>
        </w:rPr>
        <w:t>6.2 Secondary Technical &amp; Engineering Objectives</w:t>
      </w:r>
    </w:p>
    <w:p>
      <w:pPr>
        <w:pStyle w:val="ListBullet"/>
        <w:spacing w:after="60" w:line="276" w:lineRule="auto"/>
      </w:pPr>
      <w:r>
        <w:rPr>
          <w:rFonts w:ascii="Calibri" w:hAnsi="Calibri"/>
          <w:b/>
          <w:color w:val="1F2937"/>
        </w:rPr>
        <w:t xml:space="preserve">Real-Time Streaming Pipeline: </w:t>
      </w:r>
      <w:r>
        <w:rPr>
          <w:rFonts w:ascii="Calibri" w:hAnsi="Calibri"/>
          <w:color w:val="1F2937"/>
          <w:sz w:val="21"/>
        </w:rPr>
        <w:t>Construct a modular monolith architecture in Python (FastAPI) and TypeScript (Next.js) supporting real-time binary audio streaming over authenticated WebSockets with latency &lt; 500ms.</w:t>
      </w:r>
    </w:p>
    <w:p>
      <w:pPr>
        <w:pStyle w:val="ListBullet"/>
        <w:spacing w:after="60" w:line="276" w:lineRule="auto"/>
      </w:pPr>
      <w:r>
        <w:rPr>
          <w:rFonts w:ascii="Calibri" w:hAnsi="Calibri"/>
          <w:b/>
          <w:color w:val="1F2937"/>
        </w:rPr>
        <w:t xml:space="preserve">Deterministic Reasoning Engine: </w:t>
      </w:r>
      <w:r>
        <w:rPr>
          <w:rFonts w:ascii="Calibri" w:hAnsi="Calibri"/>
          <w:color w:val="1F2937"/>
          <w:sz w:val="21"/>
        </w:rPr>
        <w:t>Engineer an offline-first deterministic clinical reasoning engine containing an extensive catalog of 100+ diseases, calculating multi-factor fit in &lt; 100ms without third-party network dependencies.</w:t>
      </w:r>
    </w:p>
    <w:p>
      <w:pPr>
        <w:pStyle w:val="ListBullet"/>
        <w:spacing w:after="60" w:line="276" w:lineRule="auto"/>
      </w:pPr>
      <w:r>
        <w:rPr>
          <w:rFonts w:ascii="Calibri" w:hAnsi="Calibri"/>
          <w:b/>
          <w:color w:val="1F2937"/>
        </w:rPr>
        <w:t xml:space="preserve">Evidence-Grounded RAG Pipeline: </w:t>
      </w:r>
      <w:r>
        <w:rPr>
          <w:rFonts w:ascii="Calibri" w:hAnsi="Calibri"/>
          <w:color w:val="1F2937"/>
          <w:sz w:val="21"/>
        </w:rPr>
        <w:t>Implement a hybrid dense-sparse RAG pipeline utilizing pgvector (vector embeddings) and BM25 full-text search with Reciprocal Rank Fusion (RRF) to retrieve verified medical guidelines and PubMed abstracts.</w:t>
      </w:r>
    </w:p>
    <w:p>
      <w:pPr>
        <w:pStyle w:val="ListBullet"/>
        <w:spacing w:after="60" w:line="276" w:lineRule="auto"/>
      </w:pPr>
      <w:r>
        <w:rPr>
          <w:rFonts w:ascii="Calibri" w:hAnsi="Calibri"/>
          <w:b/>
          <w:color w:val="1F2937"/>
        </w:rPr>
        <w:t xml:space="preserve">Constrained Local Model Execution: </w:t>
      </w:r>
      <w:r>
        <w:rPr>
          <w:rFonts w:ascii="Calibri" w:hAnsi="Calibri"/>
          <w:color w:val="1F2937"/>
          <w:sz w:val="21"/>
        </w:rPr>
        <w:t>Deploy a quantized local language model (Llama-3.2-3B) via Ollama, constraining its role strictly to narrative explanation synthesis based on pre-computed evidence matrices.</w:t>
      </w:r>
    </w:p>
    <w:p>
      <w:pPr>
        <w:keepNext/>
        <w:spacing w:before="260" w:after="80"/>
      </w:pPr>
      <w:r>
        <w:rPr>
          <w:rFonts w:ascii="Calibri" w:hAnsi="Calibri"/>
          <w:b/>
          <w:color w:val="0D9488"/>
          <w:sz w:val="26"/>
        </w:rPr>
        <w:t>6.3 Clinical Safety &amp; Guardrail Objectives</w:t>
      </w:r>
    </w:p>
    <w:p>
      <w:pPr>
        <w:pStyle w:val="ListBullet"/>
        <w:spacing w:after="60" w:line="276" w:lineRule="auto"/>
      </w:pPr>
      <w:r>
        <w:rPr>
          <w:rFonts w:ascii="Calibri" w:hAnsi="Calibri"/>
          <w:b/>
          <w:color w:val="1F2937"/>
        </w:rPr>
        <w:t xml:space="preserve">Zero-Omission Red Flag Interception: </w:t>
      </w:r>
      <w:r>
        <w:rPr>
          <w:rFonts w:ascii="Calibri" w:hAnsi="Calibri"/>
          <w:color w:val="1F2937"/>
          <w:sz w:val="21"/>
        </w:rPr>
        <w:t>Implement deterministic red-flag rules that trigger immediate emergency alerts for life-threatening presentations (e.g., acute myocardial infarction, pulmonary embolism, stroke, anaphylaxis, acute altered mental status) with 100% sensitivity.</w:t>
      </w:r>
    </w:p>
    <w:p>
      <w:pPr>
        <w:pStyle w:val="ListBullet"/>
        <w:spacing w:after="60" w:line="276" w:lineRule="auto"/>
      </w:pPr>
      <w:r>
        <w:rPr>
          <w:rFonts w:ascii="Calibri" w:hAnsi="Calibri"/>
          <w:b/>
          <w:color w:val="1F2937"/>
        </w:rPr>
        <w:t xml:space="preserve">Deterministic Medication Safety: </w:t>
      </w:r>
      <w:r>
        <w:rPr>
          <w:rFonts w:ascii="Calibri" w:hAnsi="Calibri"/>
          <w:color w:val="1F2937"/>
          <w:sz w:val="21"/>
        </w:rPr>
        <w:t>Integrate NIH RxNav drug interaction screening and patient allergy contraindication checking into every medication suggestion, enforcing the mandatory clinical review banner.</w:t>
      </w:r>
    </w:p>
    <w:p>
      <w:pPr>
        <w:pStyle w:val="ListBullet"/>
        <w:spacing w:after="60" w:line="276" w:lineRule="auto"/>
      </w:pPr>
      <w:r>
        <w:rPr>
          <w:rFonts w:ascii="Calibri" w:hAnsi="Calibri"/>
          <w:b/>
          <w:color w:val="1F2937"/>
        </w:rPr>
        <w:t xml:space="preserve">Uncertainty &amp; Contradiction Abstention: </w:t>
      </w:r>
      <w:r>
        <w:rPr>
          <w:rFonts w:ascii="Calibri" w:hAnsi="Calibri"/>
          <w:color w:val="1F2937"/>
          <w:sz w:val="21"/>
        </w:rPr>
        <w:t>Implement automated abstention logic: when clinical evidence is sparse, contradictory, or insufficient, the system must explicitly state its uncertainty rather than hazarding a speculative diagnosis.</w:t>
      </w:r>
    </w:p>
    <w:p>
      <w:pPr>
        <w:keepNext/>
        <w:spacing w:before="260" w:after="80"/>
      </w:pPr>
      <w:r>
        <w:rPr>
          <w:rFonts w:ascii="Calibri" w:hAnsi="Calibri"/>
          <w:b/>
          <w:color w:val="0D9488"/>
          <w:sz w:val="26"/>
        </w:rPr>
        <w:t>6.4 Regulatory, Governance &amp; Security Objectives</w:t>
      </w:r>
    </w:p>
    <w:p>
      <w:pPr>
        <w:pStyle w:val="ListBullet"/>
        <w:spacing w:after="60" w:line="276" w:lineRule="auto"/>
      </w:pPr>
      <w:r>
        <w:rPr>
          <w:rFonts w:ascii="Calibri" w:hAnsi="Calibri"/>
          <w:b/>
          <w:color w:val="1F2937"/>
        </w:rPr>
        <w:t xml:space="preserve">HIPAA &amp; GDPR Compliance: </w:t>
      </w:r>
      <w:r>
        <w:rPr>
          <w:rFonts w:ascii="Calibri" w:hAnsi="Calibri"/>
          <w:color w:val="1F2937"/>
          <w:sz w:val="21"/>
        </w:rPr>
        <w:t>Enforce strict tenant isolation across hospital networks, with patient pseudonymization ensuring no identifiable protected health information (PHI) is exposed to inference logs.</w:t>
      </w:r>
    </w:p>
    <w:p>
      <w:pPr>
        <w:pStyle w:val="ListBullet"/>
        <w:spacing w:after="60" w:line="276" w:lineRule="auto"/>
      </w:pPr>
      <w:r>
        <w:rPr>
          <w:rFonts w:ascii="Calibri" w:hAnsi="Calibri"/>
          <w:b/>
          <w:color w:val="1F2937"/>
        </w:rPr>
        <w:t xml:space="preserve">Cryptographic Provenance &amp; Auditability: </w:t>
      </w:r>
      <w:r>
        <w:rPr>
          <w:rFonts w:ascii="Calibri" w:hAnsi="Calibri"/>
          <w:color w:val="1F2937"/>
          <w:sz w:val="21"/>
        </w:rPr>
        <w:t>Record an immutable, append-only audit trail with SHA-256 cryptographic hashing for every consultation event, transcription chunk, AI suggestion, and clinician modification.</w:t>
      </w:r>
    </w:p>
    <w:p>
      <w:pPr>
        <w:pStyle w:val="ListBullet"/>
        <w:spacing w:after="60" w:line="276" w:lineRule="auto"/>
      </w:pPr>
      <w:r>
        <w:rPr>
          <w:rFonts w:ascii="Calibri" w:hAnsi="Calibri"/>
          <w:b/>
          <w:color w:val="1F2937"/>
        </w:rPr>
        <w:t xml:space="preserve">Consent-Gated Voice Capture: </w:t>
      </w:r>
      <w:r>
        <w:rPr>
          <w:rFonts w:ascii="Calibri" w:hAnsi="Calibri"/>
          <w:color w:val="1F2937"/>
          <w:sz w:val="21"/>
        </w:rPr>
        <w:t>Prevent audio capture until a formal consent event (verbal or signed) is recorded in the system state.</w:t>
      </w:r>
    </w:p>
    <w:p>
      <w:pPr>
        <w:keepNext/>
        <w:spacing w:before="360" w:after="120"/>
      </w:pPr>
      <w:r>
        <w:rPr>
          <w:rFonts w:ascii="Calibri" w:hAnsi="Calibri"/>
          <w:b/>
          <w:color w:val="0F2942"/>
          <w:sz w:val="33"/>
        </w:rPr>
        <w:t>7. Existing System &amp; Comparative Analysis</w:t>
      </w:r>
    </w:p>
    <w:p>
      <w:pPr>
        <w:spacing w:after="90" w:line="283" w:lineRule="auto"/>
      </w:pPr>
      <w:r>
        <w:rPr>
          <w:rFonts w:ascii="Calibri" w:hAnsi="Calibri"/>
          <w:color w:val="1F2937"/>
          <w:sz w:val="21"/>
        </w:rPr>
        <w:t>The current clinical computing ecosystem is characterized by fractured, siloed tools that fail to provide cohesive, real-time clinical support. Clinical practitioners rely predominantly on four legacy operational paradigms:</w:t>
      </w:r>
    </w:p>
    <w:p>
      <w:pPr>
        <w:pStyle w:val="ListBullet"/>
        <w:spacing w:after="60" w:line="276" w:lineRule="auto"/>
      </w:pPr>
      <w:r>
        <w:rPr>
          <w:rFonts w:ascii="Calibri" w:hAnsi="Calibri"/>
          <w:b/>
          <w:color w:val="1F2937"/>
        </w:rPr>
        <w:t xml:space="preserve">1. Manual Entry in Legacy Electronic Health Records (EHR): </w:t>
      </w:r>
      <w:r>
        <w:rPr>
          <w:rFonts w:ascii="Calibri" w:hAnsi="Calibri"/>
          <w:color w:val="1F2937"/>
          <w:sz w:val="21"/>
        </w:rPr>
        <w:t>Major enterprise EHR systems (e.g., Epic Systems, Oracle Cerner, MEDITECH) were architected around billing codes (ICD-10, CPT) and regulatory compliance. Clinicians are forced to navigate hundreds of nested forms, type structured notes manually, or copy-paste template macros ('dot phrases'). This results in clinical note bloat, repetitive data entry, and extreme post-clinic documentation backlogs.</w:t>
      </w:r>
    </w:p>
    <w:p>
      <w:pPr>
        <w:pStyle w:val="ListBullet"/>
        <w:spacing w:after="60" w:line="276" w:lineRule="auto"/>
      </w:pPr>
      <w:r>
        <w:rPr>
          <w:rFonts w:ascii="Calibri" w:hAnsi="Calibri"/>
          <w:b/>
          <w:color w:val="1F2937"/>
        </w:rPr>
        <w:t xml:space="preserve">2. Disconnected Standalone Expert Systems: </w:t>
      </w:r>
      <w:r>
        <w:rPr>
          <w:rFonts w:ascii="Calibri" w:hAnsi="Calibri"/>
          <w:color w:val="1F2937"/>
          <w:sz w:val="21"/>
        </w:rPr>
        <w:t>Early diagnostic support software (e.g., DXplain, Isabel) relies on rigid probabilistic or rule-based models. These systems require doctors to manually re-type symptoms into a separate standalone web portal. Because they are completely disconnected from the live patient conversation and EHR workflow, their adoption in routine practice is near zero.</w:t>
      </w:r>
    </w:p>
    <w:p>
      <w:pPr>
        <w:pStyle w:val="ListBullet"/>
        <w:spacing w:after="60" w:line="276" w:lineRule="auto"/>
      </w:pPr>
      <w:r>
        <w:rPr>
          <w:rFonts w:ascii="Calibri" w:hAnsi="Calibri"/>
          <w:b/>
          <w:color w:val="1F2937"/>
        </w:rPr>
        <w:t xml:space="preserve">3. Proprietary Cloud-Hosted Ambient Scribes: </w:t>
      </w:r>
      <w:r>
        <w:rPr>
          <w:rFonts w:ascii="Calibri" w:hAnsi="Calibri"/>
          <w:color w:val="1F2937"/>
          <w:sz w:val="21"/>
        </w:rPr>
        <w:t>Systems such as Nuance DAX, 3M M*Modal, and Abridge capture ambient audio and generate encounter summaries using cloud-hosted models. However, these systems function merely as passive documentation scribes—they offer zero diagnostic reasoning, do not verify clinical safety, do not cross-reference incubation periods or travel history, and charge exorbitant recurring fees ($300–$800/month/doctor) while locking patient data into proprietary cloud silos.</w:t>
      </w:r>
    </w:p>
    <w:p>
      <w:pPr>
        <w:pStyle w:val="ListBullet"/>
        <w:spacing w:after="60" w:line="276" w:lineRule="auto"/>
      </w:pPr>
      <w:r>
        <w:rPr>
          <w:rFonts w:ascii="Calibri" w:hAnsi="Calibri"/>
          <w:b/>
          <w:color w:val="1F2937"/>
        </w:rPr>
        <w:t xml:space="preserve">4. Unsanctioned Consumer LLM Prompting: </w:t>
      </w:r>
      <w:r>
        <w:rPr>
          <w:rFonts w:ascii="Calibri" w:hAnsi="Calibri"/>
          <w:color w:val="1F2937"/>
          <w:sz w:val="21"/>
        </w:rPr>
        <w:t>Increasingly, desperate clinicians copy-paste de-identified patient notes into consumer generative AI chatbots (e.g., ChatGPT, Claude) to seek diagnostic advice. This ad-hoc practice is fraught with peril: consumer LLMs hallucinate non-existent medical literature, exhibit sycophancy, lack deterministic safety checks, and expose healthcare organizations to severe legal liability and HIPAA violations.</w:t>
      </w:r>
    </w:p>
    <w:p>
      <w:pPr>
        <w:keepNext/>
        <w:spacing w:before="260" w:after="80"/>
      </w:pPr>
      <w:r>
        <w:rPr>
          <w:rFonts w:ascii="Calibri" w:hAnsi="Calibri"/>
          <w:b/>
          <w:color w:val="0D9488"/>
          <w:sz w:val="26"/>
        </w:rPr>
        <w:t>7.1 Detailed Vulnerability &amp; Limitation Analysis</w:t>
      </w:r>
    </w:p>
    <w:p>
      <w:pPr>
        <w:spacing w:after="90" w:line="283" w:lineRule="auto"/>
      </w:pPr>
      <w:r>
        <w:rPr>
          <w:rFonts w:ascii="Calibri" w:hAnsi="Calibri"/>
          <w:color w:val="1F2937"/>
          <w:sz w:val="21"/>
        </w:rPr>
        <w:t>The table below synthesizes the structural failure modes of existing clinical tools compared across critical operational dimensions: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1872"/>
        <w:gridCol w:w="1872"/>
        <w:gridCol w:w="1872"/>
        <w:gridCol w:w="1872"/>
        <w:gridCol w:w="1872"/>
      </w:tblGrid>
      <w:tr>
        <w:tc>
          <w:tcPr>
            <w:tcW w:type="dxa" w:w="216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Operational Dimension</w:t>
            </w:r>
          </w:p>
        </w:tc>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Legacy EHR / Manual</w:t>
            </w:r>
          </w:p>
        </w:tc>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First-Gen CDSS</w:t>
            </w:r>
          </w:p>
        </w:tc>
        <w:tc>
          <w:tcPr>
            <w:tcW w:type="dxa" w:w="187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Commercial Cloud Scribes</w:t>
            </w:r>
          </w:p>
        </w:tc>
        <w:tc>
          <w:tcPr>
            <w:tcW w:type="dxa" w:w="187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Consumer GenAI Chatbots</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Documentation Latency</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Very High (Hours of typing)</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N/A (No documentation)</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Moderate (Minutes to hours)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Fast (Seconds per prompt)</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Real-time Ambient Voice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 (Manual / dictation)</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 (Form checklists)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Yes (Proprietary cloud)</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 (Text prompt only)</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Diagnostic Inference</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 (Human physician only)</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Static Bayesian / Rules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 (Passive scribe)</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Probabilistic / Hallucinatory</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Red-Flag Interception</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Basic EHR hard-stops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Alert pop-ups (Ignored)</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 (Soft guidelines only)</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Medication Safety</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Basic interaction checks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Basic static database</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None</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High hallucination risk</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Evidence Grounding</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Static textbook index</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Fabricated / Fake citations</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Hospital Data Privacy</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Compliant but isolated</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Compliant standalone</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Third-party cloud risk</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Severe HIPAA violation risk</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Clinician Alert Fatigue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Severe (&gt;90% alert override)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High (Interruptive popups)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Low (No alerts)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None (Unstructured chat)</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Deployment Flexibility</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On-premise / Hosted</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On-premise / Web</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Cloud-only vendor lock</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Public cloud API only</w:t>
            </w:r>
          </w:p>
        </w:tc>
      </w:tr>
    </w:tbl>
    <w:p>
      <w:pPr>
        <w:spacing w:before="40" w:after="120"/>
      </w:pPr>
    </w:p>
    <w:p>
      <w:pPr>
        <w:keepNext/>
        <w:spacing w:before="360" w:after="120"/>
      </w:pPr>
      <w:r>
        <w:rPr>
          <w:rFonts w:ascii="Calibri" w:hAnsi="Calibri"/>
          <w:b/>
          <w:color w:val="0F2942"/>
          <w:sz w:val="33"/>
        </w:rPr>
        <w:t>8. Proposed System: The DocAssistIQ Architecture</w:t>
      </w:r>
    </w:p>
    <w:p>
      <w:pPr>
        <w:spacing w:after="90" w:line="283" w:lineRule="auto"/>
      </w:pPr>
      <w:r>
        <w:rPr>
          <w:rFonts w:ascii="Calibri" w:hAnsi="Calibri"/>
          <w:color w:val="1F2937"/>
          <w:sz w:val="21"/>
        </w:rPr>
        <w:t>DocAssistIQ introduces a transformative neuro-symbolic clinical AI architecture designed from the ground up to eliminate the vulnerabilities of existing systems. The overarching paradigm of DocAssistIQ is: 'Deterministic Clinical Rigor Governs, Constrained Neural Language Explains'.</w:t>
      </w:r>
    </w:p>
    <w:p>
      <w:pPr>
        <w:spacing w:after="90" w:line="283" w:lineRule="auto"/>
      </w:pPr>
      <w:r>
        <w:rPr>
          <w:rFonts w:ascii="Calibri" w:hAnsi="Calibri"/>
          <w:color w:val="1F2937"/>
          <w:sz w:val="21"/>
        </w:rPr>
        <w:t>DocAssistIQ is structured around seven interconnected functional pillars that create a closed-loop, safe clinical environment:</w:t>
      </w:r>
    </w:p>
    <w:p>
      <w:pPr>
        <w:pStyle w:val="ListBullet"/>
        <w:spacing w:after="60" w:line="276" w:lineRule="auto"/>
      </w:pPr>
      <w:r>
        <w:rPr>
          <w:rFonts w:ascii="Calibri" w:hAnsi="Calibri"/>
          <w:b/>
          <w:color w:val="1F2937"/>
        </w:rPr>
        <w:t xml:space="preserve">1. Ambient Multi-Speaker Listening: </w:t>
      </w:r>
      <w:r>
        <w:rPr>
          <w:rFonts w:ascii="Calibri" w:hAnsi="Calibri"/>
          <w:color w:val="1F2937"/>
          <w:sz w:val="21"/>
        </w:rPr>
        <w:t>A low-latency, privacy-first audio streaming engine using the browser Web Audio API, authenticated WebSockets, and local Faster-Whisper ASR with PyAnnote speaker diarization, separating physician and patient speech in real time under mandatory patient consent.</w:t>
      </w:r>
    </w:p>
    <w:p>
      <w:pPr>
        <w:pStyle w:val="ListBullet"/>
        <w:spacing w:after="60" w:line="276" w:lineRule="auto"/>
      </w:pPr>
      <w:r>
        <w:rPr>
          <w:rFonts w:ascii="Calibri" w:hAnsi="Calibri"/>
          <w:b/>
          <w:color w:val="1F2937"/>
        </w:rPr>
        <w:t xml:space="preserve">2. Clinical Named Entity Extraction &amp; Normalization: </w:t>
      </w:r>
      <w:r>
        <w:rPr>
          <w:rFonts w:ascii="Calibri" w:hAnsi="Calibri"/>
          <w:color w:val="1F2937"/>
          <w:sz w:val="21"/>
        </w:rPr>
        <w:t>A specialized clinical NLP pipeline that extracts symptoms, medical history, medications, allergies, and vitals while executing NegEx negation detection and standardizing concepts to UMLS, SNOMED CT, and RxNorm terminologies.</w:t>
      </w:r>
    </w:p>
    <w:p>
      <w:pPr>
        <w:pStyle w:val="ListBullet"/>
        <w:spacing w:after="60" w:line="276" w:lineRule="auto"/>
      </w:pPr>
      <w:r>
        <w:rPr>
          <w:rFonts w:ascii="Calibri" w:hAnsi="Calibri"/>
          <w:b/>
          <w:color w:val="1F2937"/>
        </w:rPr>
        <w:t xml:space="preserve">3. Deterministic Clinical Reasoning Core: </w:t>
      </w:r>
      <w:r>
        <w:rPr>
          <w:rFonts w:ascii="Calibri" w:hAnsi="Calibri"/>
          <w:color w:val="1F2937"/>
          <w:sz w:val="21"/>
        </w:rPr>
        <w:t>A 100% offline, deterministic Clinical Reasoning Engine that computes diagnostic fit across 100+ conditions using Jaccard symptom overlap, cardinal symptom weights, geographic travel history, incubation period calculations, and syndromic clusters.</w:t>
      </w:r>
    </w:p>
    <w:p>
      <w:pPr>
        <w:pStyle w:val="ListBullet"/>
        <w:spacing w:after="60" w:line="276" w:lineRule="auto"/>
      </w:pPr>
      <w:r>
        <w:rPr>
          <w:rFonts w:ascii="Calibri" w:hAnsi="Calibri"/>
          <w:b/>
          <w:color w:val="1F2937"/>
        </w:rPr>
        <w:t xml:space="preserve">4. Constrained Local Neural Explainer: </w:t>
      </w:r>
      <w:r>
        <w:rPr>
          <w:rFonts w:ascii="Calibri" w:hAnsi="Calibri"/>
          <w:color w:val="1F2937"/>
          <w:sz w:val="21"/>
        </w:rPr>
        <w:t>A quantized local model (Llama-3.2-3B via Ollama) that accepts pre-computed candidate evidence matrices and drafts concise, clinician-friendly 'Why?' diagnostic justifications and structured SOAP notes without performing ungrounded reasoning.</w:t>
      </w:r>
    </w:p>
    <w:p>
      <w:pPr>
        <w:pStyle w:val="ListBullet"/>
        <w:spacing w:after="60" w:line="276" w:lineRule="auto"/>
      </w:pPr>
      <w:r>
        <w:rPr>
          <w:rFonts w:ascii="Calibri" w:hAnsi="Calibri"/>
          <w:b/>
          <w:color w:val="1F2937"/>
        </w:rPr>
        <w:t xml:space="preserve">5. Dual-Layer Deterministic Safety Guardrails: </w:t>
      </w:r>
      <w:r>
        <w:rPr>
          <w:rFonts w:ascii="Calibri" w:hAnsi="Calibri"/>
          <w:color w:val="1F2937"/>
          <w:sz w:val="21"/>
        </w:rPr>
        <w:t>A deterministic safety engine that evaluates clinical representations against hardcoded master red-flag rules (e.g., crushing chest pain, dyspnea, stroke signs, anaphylaxis, altered mental status) and screens medications via the NIH RxNav API, enforcing the mandatory clinician review banner.</w:t>
      </w:r>
    </w:p>
    <w:p>
      <w:pPr>
        <w:pStyle w:val="ListBullet"/>
        <w:spacing w:after="60" w:line="276" w:lineRule="auto"/>
      </w:pPr>
      <w:r>
        <w:rPr>
          <w:rFonts w:ascii="Calibri" w:hAnsi="Calibri"/>
          <w:b/>
          <w:color w:val="1F2937"/>
        </w:rPr>
        <w:t xml:space="preserve">6. Evidence-Grounded Hybrid RAG &amp; Live Scanner: </w:t>
      </w:r>
      <w:r>
        <w:rPr>
          <w:rFonts w:ascii="Calibri" w:hAnsi="Calibri"/>
          <w:color w:val="1F2937"/>
          <w:sz w:val="21"/>
        </w:rPr>
        <w:t>A hybrid search pipeline pairing PostgreSQL pgvector dense embeddings with BM25 full-text keyword search and Reciprocal Rank Fusion (RRF), fetching peer-reviewed medical evidence and PubMed literature with claim-level provenance.</w:t>
      </w:r>
    </w:p>
    <w:p>
      <w:pPr>
        <w:pStyle w:val="ListBullet"/>
        <w:spacing w:after="60" w:line="276" w:lineRule="auto"/>
      </w:pPr>
      <w:r>
        <w:rPr>
          <w:rFonts w:ascii="Calibri" w:hAnsi="Calibri"/>
          <w:b/>
          <w:color w:val="1F2937"/>
        </w:rPr>
        <w:t xml:space="preserve">7. Clinician-Controlled Interactive Workspace: </w:t>
      </w:r>
      <w:r>
        <w:rPr>
          <w:rFonts w:ascii="Calibri" w:hAnsi="Calibri"/>
          <w:color w:val="1F2937"/>
          <w:sz w:val="21"/>
        </w:rPr>
        <w:t>A modern, restrained clinical SaaS interface (Next.js 14, React 19, TailwindCSS) providing live transcript inspection, differential diagnosis cards with evidence breakdowns, an interactive SOAP editor, and immutable, cryptographically audited note finalization.</w:t>
      </w:r>
    </w:p>
    <w:p>
      <w:pPr>
        <w:keepNext/>
        <w:spacing w:before="260" w:after="80"/>
      </w:pPr>
      <w:r>
        <w:rPr>
          <w:rFonts w:ascii="Calibri" w:hAnsi="Calibri"/>
          <w:b/>
          <w:color w:val="0D9488"/>
          <w:sz w:val="26"/>
        </w:rPr>
        <w:t>8.1 Key Innovations and Systematic Advantages</w:t>
      </w:r>
    </w:p>
    <w:p>
      <w:pPr>
        <w:spacing w:after="90" w:line="283" w:lineRule="auto"/>
      </w:pPr>
      <w:r>
        <w:rPr>
          <w:rFonts w:ascii="Calibri" w:hAnsi="Calibri"/>
          <w:color w:val="1F2937"/>
          <w:sz w:val="21"/>
        </w:rPr>
        <w:t>The DocAssistIQ proposed system provides definitive advantages over prevailing commercial and academic solutions: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3120"/>
        <w:gridCol w:w="3120"/>
        <w:gridCol w:w="3120"/>
      </w:tblGrid>
      <w:tr>
        <w:tc>
          <w:tcPr>
            <w:tcW w:type="dxa" w:w="259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Key Innovation</w:t>
            </w:r>
          </w:p>
        </w:tc>
        <w:tc>
          <w:tcPr>
            <w:tcW w:type="dxa" w:w="331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Technical Mechanism</w:t>
            </w:r>
          </w:p>
        </w:tc>
        <w:tc>
          <w:tcPr>
            <w:tcW w:type="dxa" w:w="345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Clinical &amp; Operational Impact</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Deterministic Pre-Reasoning</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Offline KB, cardinal symptom weights, Jaccard overlap, incubation math</w:t>
            </w:r>
          </w:p>
        </w:tc>
        <w:tc>
          <w:tcPr>
            <w:tcW w:type="dxa" w:w="3456"/>
            <w:shd w:fill="FFFFFF"/>
            <w:tcMar>
              <w:top w:w="100" w:type="dxa"/>
              <w:bottom w:w="100" w:type="dxa"/>
              <w:left w:w="140" w:type="dxa"/>
              <w:right w:w="140" w:type="dxa"/>
            </w:tcMar>
            <w:vAlign w:val="center"/>
          </w:tcPr>
          <w:p>
            <w:pPr>
              <w:spacing w:after="0" w:line="264" w:lineRule="auto"/>
            </w:pPr>
            <w:r>
              <w:rPr>
                <w:rFonts w:ascii="Calibri" w:hAnsi="Calibri"/>
                <w:color w:val="1F2937"/>
                <w:sz w:val="18"/>
              </w:rPr>
              <w:t>Eliminates diagnostic hallucinations; 100% repeatable reasoning in &lt; 85ms.</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Constrained Local LLM</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Llama-3.2-3B used strictly as evidence narrator</w:t>
            </w:r>
          </w:p>
        </w:tc>
        <w:tc>
          <w:tcPr>
            <w:tcW w:type="dxa" w:w="3456"/>
            <w:shd w:fill="F8FAFC"/>
            <w:tcMar>
              <w:top w:w="100" w:type="dxa"/>
              <w:bottom w:w="100" w:type="dxa"/>
              <w:left w:w="140" w:type="dxa"/>
              <w:right w:w="140" w:type="dxa"/>
            </w:tcMar>
            <w:vAlign w:val="center"/>
          </w:tcPr>
          <w:p>
            <w:pPr>
              <w:spacing w:after="0" w:line="264" w:lineRule="auto"/>
            </w:pPr>
            <w:r>
              <w:rPr>
                <w:rFonts w:ascii="Calibri" w:hAnsi="Calibri"/>
                <w:color w:val="1F2937"/>
                <w:sz w:val="18"/>
              </w:rPr>
              <w:t>Runs on standard clinical workstations without transmitting PHI to external clouds.</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Zero-Bypass Red Flags</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Hardcoded deterministic rule evaluation outside LLM context</w:t>
            </w:r>
          </w:p>
        </w:tc>
        <w:tc>
          <w:tcPr>
            <w:tcW w:type="dxa" w:w="3456"/>
            <w:shd w:fill="FFFFFF"/>
            <w:tcMar>
              <w:top w:w="100" w:type="dxa"/>
              <w:bottom w:w="100" w:type="dxa"/>
              <w:left w:w="140" w:type="dxa"/>
              <w:right w:w="140" w:type="dxa"/>
            </w:tcMar>
            <w:vAlign w:val="center"/>
          </w:tcPr>
          <w:p>
            <w:pPr>
              <w:spacing w:after="0" w:line="264" w:lineRule="auto"/>
            </w:pPr>
            <w:r>
              <w:rPr>
                <w:rFonts w:ascii="Calibri" w:hAnsi="Calibri"/>
                <w:color w:val="1F2937"/>
                <w:sz w:val="18"/>
              </w:rPr>
              <w:t>Guarantees 100% sensitivity for acute emergencies; immune to model prompt drift.</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Dual-Mode Medication Engine</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Offline reference panels + Live NIH RxNav DDI screening</w:t>
            </w:r>
          </w:p>
        </w:tc>
        <w:tc>
          <w:tcPr>
            <w:tcW w:type="dxa" w:w="3456"/>
            <w:shd w:fill="F8FAFC"/>
            <w:tcMar>
              <w:top w:w="100" w:type="dxa"/>
              <w:bottom w:w="100" w:type="dxa"/>
              <w:left w:w="140" w:type="dxa"/>
              <w:right w:w="140" w:type="dxa"/>
            </w:tcMar>
            <w:vAlign w:val="center"/>
          </w:tcPr>
          <w:p>
            <w:pPr>
              <w:spacing w:after="0" w:line="264" w:lineRule="auto"/>
            </w:pPr>
            <w:r>
              <w:rPr>
                <w:rFonts w:ascii="Calibri" w:hAnsi="Calibri"/>
                <w:color w:val="1F2937"/>
                <w:sz w:val="18"/>
              </w:rPr>
              <w:t>Prevents lethal polypharmacy and drug interactions; enforces clinical review.</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Consent-Gated Voice Capture</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WebSocket protocol enforces verified consent event before audio intake</w:t>
            </w:r>
          </w:p>
        </w:tc>
        <w:tc>
          <w:tcPr>
            <w:tcW w:type="dxa" w:w="3456"/>
            <w:shd w:fill="FFFFFF"/>
            <w:tcMar>
              <w:top w:w="100" w:type="dxa"/>
              <w:bottom w:w="100" w:type="dxa"/>
              <w:left w:w="140" w:type="dxa"/>
              <w:right w:w="140" w:type="dxa"/>
            </w:tcMar>
            <w:vAlign w:val="center"/>
          </w:tcPr>
          <w:p>
            <w:pPr>
              <w:spacing w:after="0" w:line="264" w:lineRule="auto"/>
            </w:pPr>
            <w:r>
              <w:rPr>
                <w:rFonts w:ascii="Calibri" w:hAnsi="Calibri"/>
                <w:color w:val="1F2937"/>
                <w:sz w:val="18"/>
              </w:rPr>
              <w:t>Complete regulatory compliance with medical ethics and wiretapping laws.</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Immutable Cryptographic Audit</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SHA-256 hash chaining of all clinical edits and AI suggestions</w:t>
            </w:r>
          </w:p>
        </w:tc>
        <w:tc>
          <w:tcPr>
            <w:tcW w:type="dxa" w:w="3456"/>
            <w:shd w:fill="F8FAFC"/>
            <w:tcMar>
              <w:top w:w="100" w:type="dxa"/>
              <w:bottom w:w="100" w:type="dxa"/>
              <w:left w:w="140" w:type="dxa"/>
              <w:right w:w="140" w:type="dxa"/>
            </w:tcMar>
            <w:vAlign w:val="center"/>
          </w:tcPr>
          <w:p>
            <w:pPr>
              <w:spacing w:after="0" w:line="264" w:lineRule="auto"/>
            </w:pPr>
            <w:r>
              <w:rPr>
                <w:rFonts w:ascii="Calibri" w:hAnsi="Calibri"/>
                <w:color w:val="1F2937"/>
                <w:sz w:val="18"/>
              </w:rPr>
              <w:t>Full medico-legal traceability, provenance tracking, and tamper resistance.</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Verified Doctor Knowledge Hub</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Peer collaboration portal with verified credentials and case discussions</w:t>
            </w:r>
          </w:p>
        </w:tc>
        <w:tc>
          <w:tcPr>
            <w:tcW w:type="dxa" w:w="3456"/>
            <w:shd w:fill="FFFFFF"/>
            <w:tcMar>
              <w:top w:w="100" w:type="dxa"/>
              <w:bottom w:w="100" w:type="dxa"/>
              <w:left w:w="140" w:type="dxa"/>
              <w:right w:w="140" w:type="dxa"/>
            </w:tcMar>
            <w:vAlign w:val="center"/>
          </w:tcPr>
          <w:p>
            <w:pPr>
              <w:spacing w:after="0" w:line="264" w:lineRule="auto"/>
            </w:pPr>
            <w:r>
              <w:rPr>
                <w:rFonts w:ascii="Calibri" w:hAnsi="Calibri"/>
                <w:color w:val="1F2937"/>
                <w:sz w:val="18"/>
              </w:rPr>
              <w:t>Enables rapid clinical knowledge dissemination and peer learning across hospital networks.</w:t>
            </w:r>
          </w:p>
        </w:tc>
      </w:tr>
    </w:tbl>
    <w:p>
      <w:pPr>
        <w:spacing w:before="40" w:after="120"/>
      </w:pPr>
    </w:p>
    <w:p>
      <w:pPr>
        <w:keepNext/>
        <w:spacing w:before="360" w:after="120"/>
      </w:pPr>
      <w:r>
        <w:rPr>
          <w:rFonts w:ascii="Calibri" w:hAnsi="Calibri"/>
          <w:b/>
          <w:color w:val="0F2942"/>
          <w:sz w:val="33"/>
        </w:rPr>
        <w:t>9. System Architecture</w:t>
      </w:r>
    </w:p>
    <w:p>
      <w:pPr>
        <w:spacing w:after="90" w:line="283" w:lineRule="auto"/>
      </w:pPr>
      <w:r>
        <w:rPr>
          <w:rFonts w:ascii="Calibri" w:hAnsi="Calibri"/>
          <w:color w:val="1F2937"/>
          <w:sz w:val="21"/>
        </w:rPr>
        <w:t>DocAssistIQ is engineered as an enterprise-grade modular monolith. A modular monolith architecture was chosen deliberately over fragmented microservices to maximize internal transactional integrity, eliminate inter-service network serialization overhead during real-time consultations, simplify HIPAA/GDPR compliance boundaries, and enable single-command Docker deployment on hospital infrastructure.</w:t>
      </w:r>
    </w:p>
    <w:p>
      <w:pPr>
        <w:keepNext/>
        <w:spacing w:before="260" w:after="80"/>
      </w:pPr>
      <w:r>
        <w:rPr>
          <w:rFonts w:ascii="Calibri" w:hAnsi="Calibri"/>
          <w:b/>
          <w:color w:val="0D9488"/>
          <w:sz w:val="26"/>
        </w:rPr>
        <w:t>9.1 Architectural Layer Decomposition</w:t>
      </w:r>
    </w:p>
    <w:p>
      <w:pPr>
        <w:spacing w:after="90" w:line="283" w:lineRule="auto"/>
      </w:pPr>
      <w:r>
        <w:rPr>
          <w:rFonts w:ascii="Calibri" w:hAnsi="Calibri"/>
          <w:color w:val="1F2937"/>
          <w:sz w:val="21"/>
        </w:rPr>
        <w:t>The platform is organized into nine discrete architectural tiers with unidirectional dependencies:</w:t>
      </w:r>
    </w:p>
    <w:p>
      <w:pPr>
        <w:pStyle w:val="ListBullet"/>
        <w:spacing w:after="60" w:line="276" w:lineRule="auto"/>
      </w:pPr>
      <w:r>
        <w:rPr>
          <w:rFonts w:ascii="Calibri" w:hAnsi="Calibri"/>
          <w:b/>
          <w:color w:val="1F2937"/>
        </w:rPr>
        <w:t xml:space="preserve">1. Client &amp; Presentation Layer: </w:t>
      </w:r>
      <w:r>
        <w:rPr>
          <w:rFonts w:ascii="Calibri" w:hAnsi="Calibri"/>
          <w:color w:val="1F2937"/>
          <w:sz w:val="21"/>
        </w:rPr>
        <w:t>Built with Next.js 14 (App Router), React 19, TypeScript, and TailwindCSS. Captures browser microphone audio via Web Audio API (16kHz linear PCM), handles real-time WebSocket communication, renders the dual-pane clinician workspace, and strictly enforces WCAG 2.2 AA accessibility.</w:t>
      </w:r>
    </w:p>
    <w:p>
      <w:pPr>
        <w:pStyle w:val="ListBullet"/>
        <w:spacing w:after="60" w:line="276" w:lineRule="auto"/>
      </w:pPr>
      <w:r>
        <w:rPr>
          <w:rFonts w:ascii="Calibri" w:hAnsi="Calibri"/>
          <w:b/>
          <w:color w:val="1F2937"/>
        </w:rPr>
        <w:t xml:space="preserve">2. API Gateway &amp; Transport Layer: </w:t>
      </w:r>
      <w:r>
        <w:rPr>
          <w:rFonts w:ascii="Calibri" w:hAnsi="Calibri"/>
          <w:color w:val="1F2937"/>
          <w:sz w:val="21"/>
        </w:rPr>
        <w:t>Implemented using FastAPI on an asynchronous ASGI event loop (Uvicorn). Manages JWT authentication, Role-Based Access Control (RBAC), multi-tenant isolation, request correlation ID propagation, and thin route handlers.</w:t>
      </w:r>
    </w:p>
    <w:p>
      <w:pPr>
        <w:pStyle w:val="ListBullet"/>
        <w:spacing w:after="60" w:line="276" w:lineRule="auto"/>
      </w:pPr>
      <w:r>
        <w:rPr>
          <w:rFonts w:ascii="Calibri" w:hAnsi="Calibri"/>
          <w:b/>
          <w:color w:val="1F2937"/>
        </w:rPr>
        <w:t xml:space="preserve">3. Real-Time Streaming &amp; Event Layer: </w:t>
      </w:r>
      <w:r>
        <w:rPr>
          <w:rFonts w:ascii="Calibri" w:hAnsi="Calibri"/>
          <w:color w:val="1F2937"/>
          <w:sz w:val="21"/>
        </w:rPr>
        <w:t>Authenticated WebSocket endpoints backed by Redis Pub/Sub. Ingests binary audio chunks, coordinates real-time transcription broadcasting, and synchronizes consultation workspace state across clinical devices.</w:t>
      </w:r>
    </w:p>
    <w:p>
      <w:pPr>
        <w:pStyle w:val="ListBullet"/>
        <w:spacing w:after="60" w:line="276" w:lineRule="auto"/>
      </w:pPr>
      <w:r>
        <w:rPr>
          <w:rFonts w:ascii="Calibri" w:hAnsi="Calibri"/>
          <w:b/>
          <w:color w:val="1F2937"/>
        </w:rPr>
        <w:t xml:space="preserve">4. Application &amp; Domain Service Layer: </w:t>
      </w:r>
      <w:r>
        <w:rPr>
          <w:rFonts w:ascii="Calibri" w:hAnsi="Calibri"/>
          <w:color w:val="1F2937"/>
          <w:sz w:val="21"/>
        </w:rPr>
        <w:t>Contains 57 specialized Python domain services encapsulating all business logic (ConsultationService, ClinicalNLP, ClinicalReasoningEngine, SafetyEngine, MedicationService, IngestionService, DoctorService, DiarizationService, etc.).</w:t>
      </w:r>
    </w:p>
    <w:p>
      <w:pPr>
        <w:pStyle w:val="ListBullet"/>
        <w:spacing w:after="60" w:line="276" w:lineRule="auto"/>
      </w:pPr>
      <w:r>
        <w:rPr>
          <w:rFonts w:ascii="Calibri" w:hAnsi="Calibri"/>
          <w:b/>
          <w:color w:val="1F2937"/>
        </w:rPr>
        <w:t xml:space="preserve">5. Deterministic Knowledge &amp; Rule Core: </w:t>
      </w:r>
      <w:r>
        <w:rPr>
          <w:rFonts w:ascii="Calibri" w:hAnsi="Calibri"/>
          <w:color w:val="1F2937"/>
          <w:sz w:val="21"/>
        </w:rPr>
        <w:t>Contains the Offline Disease Knowledge Base (100+ conditions), Expanded Disease Catalog, Syndromic Cluster definitions, Incubation Period Evaluator, Master Red Flag Rules, and RxNav client. Zero network dependencies; executes in &lt; 85ms.</w:t>
      </w:r>
    </w:p>
    <w:p>
      <w:pPr>
        <w:pStyle w:val="ListBullet"/>
        <w:spacing w:after="60" w:line="276" w:lineRule="auto"/>
      </w:pPr>
      <w:r>
        <w:rPr>
          <w:rFonts w:ascii="Calibri" w:hAnsi="Calibri"/>
          <w:b/>
          <w:color w:val="1F2937"/>
        </w:rPr>
        <w:t xml:space="preserve">6. Machine Learning &amp; Natural Language Core: </w:t>
      </w:r>
      <w:r>
        <w:rPr>
          <w:rFonts w:ascii="Calibri" w:hAnsi="Calibri"/>
          <w:color w:val="1F2937"/>
          <w:sz w:val="21"/>
        </w:rPr>
        <w:t>Integrates Faster-Whisper (ASR), PyAnnote Audio 3.1 (Speaker Diarization), Sentence-Transformers ('all-MiniLM-L6-v2' embeddings), and Llama-3.2-3B via Ollama. Exposes provider interfaces to allow seamless model swapping.</w:t>
      </w:r>
    </w:p>
    <w:p>
      <w:pPr>
        <w:pStyle w:val="ListBullet"/>
        <w:spacing w:after="60" w:line="276" w:lineRule="auto"/>
      </w:pPr>
      <w:r>
        <w:rPr>
          <w:rFonts w:ascii="Calibri" w:hAnsi="Calibri"/>
          <w:b/>
          <w:color w:val="1F2937"/>
        </w:rPr>
        <w:t xml:space="preserve">7. Persistence &amp; Vector Storage Layer: </w:t>
      </w:r>
      <w:r>
        <w:rPr>
          <w:rFonts w:ascii="Calibri" w:hAnsi="Calibri"/>
          <w:color w:val="1F2937"/>
          <w:sz w:val="21"/>
        </w:rPr>
        <w:t>PostgreSQL 16 with pgvector extension stores relational entities, clinical representations, differential diagnosis items, and 384-dimensional vector embeddings. MinIO S3-compatible object storage stores raw audio files and clinical reports. Redis 7 manages caching and session states.</w:t>
      </w:r>
    </w:p>
    <w:p>
      <w:pPr>
        <w:pStyle w:val="ListBullet"/>
        <w:spacing w:after="60" w:line="276" w:lineRule="auto"/>
      </w:pPr>
      <w:r>
        <w:rPr>
          <w:rFonts w:ascii="Calibri" w:hAnsi="Calibri"/>
          <w:b/>
          <w:color w:val="1F2937"/>
        </w:rPr>
        <w:t xml:space="preserve">8. Asynchronous Task Worker Layer: </w:t>
      </w:r>
      <w:r>
        <w:rPr>
          <w:rFonts w:ascii="Calibri" w:hAnsi="Calibri"/>
          <w:color w:val="1F2937"/>
          <w:sz w:val="21"/>
        </w:rPr>
        <w:t>Distributed Celery workers backed by Redis broker queues. Asynchronously processes heavy background workloads including medical document OCR, PubMed literature scanning, batch clinical embedding generation, and audit report generation.</w:t>
      </w:r>
    </w:p>
    <w:p>
      <w:pPr>
        <w:pStyle w:val="ListBullet"/>
        <w:spacing w:after="60" w:line="276" w:lineRule="auto"/>
      </w:pPr>
      <w:r>
        <w:rPr>
          <w:rFonts w:ascii="Calibri" w:hAnsi="Calibri"/>
          <w:b/>
          <w:color w:val="1F2937"/>
        </w:rPr>
        <w:t xml:space="preserve">9. Governance, Security &amp; Compliance Layer: </w:t>
      </w:r>
      <w:r>
        <w:rPr>
          <w:rFonts w:ascii="Calibri" w:hAnsi="Calibri"/>
          <w:color w:val="1F2937"/>
          <w:sz w:val="21"/>
        </w:rPr>
        <w:t>Cryptographically chained audit logs (SHA-256), patient pseudonymization engine, retention/deletion lifecycle policies, and doctor credential verification pipelines.</w:t>
      </w:r>
    </w:p>
    <w:p>
      <w:pPr>
        <w:keepNext/>
        <w:spacing w:before="260" w:after="80"/>
      </w:pPr>
      <w:r>
        <w:rPr>
          <w:rFonts w:ascii="Calibri" w:hAnsi="Calibri"/>
          <w:b/>
          <w:color w:val="0D9488"/>
          <w:sz w:val="26"/>
        </w:rPr>
        <w:t>9.2 High-Resolution System Architecture Blueprint</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DocAssistIQ_System_Architecture_Diagram.png"/>
                    <pic:cNvPicPr/>
                  </pic:nvPicPr>
                  <pic:blipFill>
                    <a:blip r:embed="rId11"/>
                    <a:stretch>
                      <a:fillRect/>
                    </a:stretch>
                  </pic:blipFill>
                  <pic:spPr>
                    <a:xfrm>
                      <a:off x="0" y="0"/>
                      <a:ext cx="5943600" cy="3343275"/>
                    </a:xfrm>
                    <a:prstGeom prst="rect"/>
                  </pic:spPr>
                </pic:pic>
              </a:graphicData>
            </a:graphic>
          </wp:inline>
        </w:drawing>
      </w:r>
    </w:p>
    <w:p>
      <w:pPr>
        <w:spacing w:before="80" w:after="200"/>
        <w:jc w:val="center"/>
      </w:pPr>
      <w:r>
        <w:rPr>
          <w:rFonts w:ascii="Calibri" w:hAnsi="Calibri"/>
          <w:i/>
          <w:color w:val="64748B"/>
          <w:sz w:val="17"/>
        </w:rPr>
        <w:t>Figure 9.1: End-to-End Modular Monolith System Architecture Topology of DocAssistIQ (Client Presentation, API Gateway, Real-Time Audio &amp; ASR, Deterministic Clinical Reasoning Core, Safety Guardrails, and Distributed Persistence Tier).</w:t>
      </w:r>
    </w:p>
    <w:p>
      <w:pPr>
        <w:keepNext/>
        <w:spacing w:before="260" w:after="80"/>
      </w:pPr>
      <w:r>
        <w:rPr>
          <w:rFonts w:ascii="Calibri" w:hAnsi="Calibri"/>
          <w:b/>
          <w:color w:val="0D9488"/>
          <w:sz w:val="26"/>
        </w:rPr>
        <w:t>9.3 System Architecture Interaction Topology (ASCII Specification)</w:t>
      </w:r>
    </w:p>
    <w:p>
      <w:pPr>
        <w:spacing w:after="90" w:line="283" w:lineRule="auto"/>
      </w:pPr>
      <w:r>
        <w:rPr>
          <w:rFonts w:ascii="Calibri" w:hAnsi="Calibri"/>
          <w:color w:val="1F2937"/>
          <w:sz w:val="21"/>
        </w:rPr>
        <w:t>The following schematic illustrates the end-to-end component topology and data flow across DocAssistIQ:</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2942"/>
              <w:top w:val="none"/>
              <w:bottom w:val="none"/>
              <w:right w:val="none"/>
            </w:tcBorders>
          </w:tcPr>
          <w:p>
            <w:pPr>
              <w:spacing w:after="40" w:line="276" w:lineRule="auto"/>
            </w:pPr>
            <w:r>
              <w:rPr>
                <w:rFonts w:ascii="Calibri" w:hAnsi="Calibri"/>
                <w:b/>
                <w:color w:val="0F2942"/>
                <w:sz w:val="20"/>
              </w:rPr>
              <w:t>[SYSTEM ARCHITECTURE COMPONENT TOPOLOGY]</w:t>
              <w:br/>
            </w:r>
            <w:r>
              <w:rPr>
                <w:rFonts w:ascii="Calibri" w:hAnsi="Calibri"/>
                <w:color w:val="1F2937"/>
                <w:sz w:val="20"/>
              </w:rPr>
              <w:t>+---------------------------------------------------------------------------------------------------+</w:t>
              <w:br/>
              <w:t>|                                     CLINICIAN BROWSER CLIENT (Next.js 14)                         |</w:t>
              <w:br/>
              <w:t>|  +---------------------+   +---------------------+   +---------------------+   +---------------+  |</w:t>
              <w:br/>
              <w:t>|  |  Consent &amp; Intake   |   | Live Audio Capture  |   | Differential Cards  |   |  SOAP Editor  |  |</w:t>
              <w:br/>
              <w:t>|  +----------+----------+   +----------+----------+   +----------^----------+   +-------^-------+  |</w:t>
              <w:br/>
              <w:t>+-------------|-------------------------|-------------------------|----------------------|----------+</w:t>
              <w:br/>
              <w:t xml:space="preserve">              | HTTPS                   | WebSocket (Binary PCM)  | JSON Streaming       | HTTPS    </w:t>
              <w:br/>
              <w:t>+-------------v-------------------------v-------------------------v----------------------v----------+</w:t>
              <w:br/>
              <w:t>|                              API GATEWAY &amp; ROUTING TIER (FastAPI / ASGI)                          |</w:t>
              <w:br/>
              <w:t>|  +---------------------------------------------------------------------------------------------+  |</w:t>
              <w:br/>
              <w:t>|  | JWT Authentication | RBAC Guardrails | Multi-Tenant Scoping | Request ID Tracing             |  |</w:t>
              <w:br/>
              <w:t>|  +---------------------------------------------------------------------------------------------+  |</w:t>
              <w:br/>
              <w:t>+---------------------------------------|-----------------------------------------------------------+</w:t>
              <w:br/>
              <w:t xml:space="preserve">                                        v                                                            </w:t>
              <w:br/>
              <w:t>+---------------------------------------------------------------------------------------------------+</w:t>
              <w:br/>
              <w:t>|                                    APPLICATION SERVICES LAYER                                     |</w:t>
              <w:br/>
              <w:t>|  +-------------------+   +--------------------+   +-----------------------+   +----------------+  |</w:t>
              <w:br/>
              <w:t>|  |  Streaming ASR    |--&gt;| Clinical NLP &amp;     |--&gt;| Deterministic         |--&gt;| Local LLM      |  |</w:t>
              <w:br/>
              <w:t>|  | (Faster-Whisper)  |   | Concept Normalizer |   | Reasoning Engine (KB) |   | (Llama-3.2-3B) |  |</w:t>
              <w:br/>
              <w:t>|  +-------------------+   +--------------------+   +-----------+-----------+   +--------+-------+  |</w:t>
              <w:br/>
              <w:t>|                                                               |                        |          |</w:t>
              <w:br/>
              <w:t>|  +-------------------+   +--------------------+               v                        v          |</w:t>
              <w:br/>
              <w:t>|  | PyAnnote Audio    |   | Hybrid RAG &amp;       |   +-----------------------+   +----------------+  |</w:t>
              <w:br/>
              <w:t>|  | Diarization Engine|   | PubMed Scanner     |   | Deterministic Safety  |--&gt;| Clinician Note |  |</w:t>
              <w:br/>
              <w:t>|  +-------------------+   +--------------------+   | Engine (Red Flags)    |   | Synthesis      |  |</w:t>
              <w:br/>
              <w:t>|                                                   +-----------------------+   +----------------+  |</w:t>
              <w:br/>
              <w:t>+---------------------------------------------------------------|-----------------------------------+</w:t>
              <w:br/>
              <w:t xml:space="preserve">                                                                v                                    </w:t>
              <w:br/>
              <w:t>+---------------------------------------------------------------------------------------------------+</w:t>
              <w:br/>
              <w:t>|                               DATA PERSISTENCE &amp; ASYNC TASK TIER                                  |</w:t>
              <w:br/>
              <w:t>|  +------------------------+   +--------------------+   +-------------------+   +---------------+  |</w:t>
              <w:br/>
              <w:t>|  | PostgreSQL 16+pgvector |   | Redis 7 (Pub/Sub &amp; |   | MinIO S3 Storage  |   | Celery Worker |  |</w:t>
              <w:br/>
              <w:t>|  | (Relational + Vectors) |   | Session Cache)     |   | (Audio &amp; PDFs)    |   | (Async Tasks) |  |</w:t>
              <w:br/>
              <w:t>|  +------------------------+   +--------------------+   +-------------------+   +---------------+  |</w:t>
              <w:br/>
              <w:t>+---------------------------------------------------------------------------------------------------+</w:t>
            </w:r>
          </w:p>
        </w:tc>
      </w:tr>
    </w:tbl>
    <w:p>
      <w:pPr>
        <w:spacing w:before="40" w:after="80"/>
      </w:pPr>
    </w:p>
    <w:p>
      <w:pPr>
        <w:keepNext/>
        <w:spacing w:before="360" w:after="120"/>
      </w:pPr>
      <w:r>
        <w:rPr>
          <w:rFonts w:ascii="Calibri" w:hAnsi="Calibri"/>
          <w:b/>
          <w:color w:val="0F2942"/>
          <w:sz w:val="33"/>
        </w:rPr>
        <w:t>10. Methodology &amp; Operational Workflow</w:t>
      </w:r>
    </w:p>
    <w:p>
      <w:pPr>
        <w:spacing w:after="90" w:line="283" w:lineRule="auto"/>
      </w:pPr>
      <w:r>
        <w:rPr>
          <w:rFonts w:ascii="Calibri" w:hAnsi="Calibri"/>
          <w:color w:val="1F2937"/>
          <w:sz w:val="21"/>
        </w:rPr>
        <w:t>The operational lifecycle of DocAssistIQ is engineered as a deterministic, multi-stage state machine that mirrors the natural progression of an ambulatory or inpatient clinical consultation. The workflow comprises ten rigorous sequential stages:</w:t>
      </w:r>
    </w:p>
    <w:p>
      <w:pPr>
        <w:keepNext/>
        <w:spacing w:before="260" w:after="80"/>
      </w:pPr>
      <w:r>
        <w:rPr>
          <w:rFonts w:ascii="Calibri" w:hAnsi="Calibri"/>
          <w:b/>
          <w:color w:val="0D9488"/>
          <w:sz w:val="26"/>
        </w:rPr>
        <w:t>Stage 1: Patient Intake &amp; Consent Verification</w:t>
      </w:r>
    </w:p>
    <w:p>
      <w:pPr>
        <w:spacing w:after="90" w:line="283" w:lineRule="auto"/>
      </w:pPr>
      <w:r>
        <w:rPr>
          <w:rFonts w:ascii="Calibri" w:hAnsi="Calibri"/>
          <w:color w:val="1F2937"/>
          <w:sz w:val="21"/>
        </w:rPr>
        <w:t>The clinician logs in with two-factor JWT authentication. The patient is selected or registered under an automated pseudonymization scheme (generating a non-reversible cryptographic session token). CRITICAL GATE: The system prohibits microphone activation until a verified patient consent event (verbal consent documented or digital consent signed) is recorded in the immutable database state.</w:t>
      </w:r>
    </w:p>
    <w:p>
      <w:pPr>
        <w:keepNext/>
        <w:spacing w:before="260" w:after="80"/>
      </w:pPr>
      <w:r>
        <w:rPr>
          <w:rFonts w:ascii="Calibri" w:hAnsi="Calibri"/>
          <w:b/>
          <w:color w:val="0D9488"/>
          <w:sz w:val="26"/>
        </w:rPr>
        <w:t>Stage 2: Browser Audio Capture &amp; Binary Streaming</w:t>
      </w:r>
    </w:p>
    <w:p>
      <w:pPr>
        <w:spacing w:after="90" w:line="283" w:lineRule="auto"/>
      </w:pPr>
      <w:r>
        <w:rPr>
          <w:rFonts w:ascii="Calibri" w:hAnsi="Calibri"/>
          <w:color w:val="1F2937"/>
          <w:sz w:val="21"/>
        </w:rPr>
        <w:t>Upon consent confirmation, the clinician initiates the consultation session. The client-side Web Audio API captures microphone input, resamples the stream to 16,000 Hz 16-bit mono linear PCM, and chunks audio into 250ms binary frames dispatched over an authenticated, TLS-encrypted WebSocket channel to the backend.</w:t>
      </w:r>
    </w:p>
    <w:p>
      <w:pPr>
        <w:keepNext/>
        <w:spacing w:before="260" w:after="80"/>
      </w:pPr>
      <w:r>
        <w:rPr>
          <w:rFonts w:ascii="Calibri" w:hAnsi="Calibri"/>
          <w:b/>
          <w:color w:val="0D9488"/>
          <w:sz w:val="26"/>
        </w:rPr>
        <w:t>Stage 3: Streaming Speech-to-Text &amp; Speaker Diarization</w:t>
      </w:r>
    </w:p>
    <w:p>
      <w:pPr>
        <w:spacing w:after="90" w:line="283" w:lineRule="auto"/>
      </w:pPr>
      <w:r>
        <w:rPr>
          <w:rFonts w:ascii="Calibri" w:hAnsi="Calibri"/>
          <w:color w:val="1F2937"/>
          <w:sz w:val="21"/>
        </w:rPr>
        <w:t>The backend WebSocket handler streams incoming PCM buffers into the Faster-Whisper ASR engine with Voice Activity Detection (VAD) filtering. Simultaneously, the PyAnnote Audio diarization service processes speech segments to assign speaker labels ('Clinician' vs 'Patient'), emitting real-time transcript deltas to the UI.</w:t>
      </w:r>
    </w:p>
    <w:p>
      <w:pPr>
        <w:keepNext/>
        <w:spacing w:before="260" w:after="80"/>
      </w:pPr>
      <w:r>
        <w:rPr>
          <w:rFonts w:ascii="Calibri" w:hAnsi="Calibri"/>
          <w:b/>
          <w:color w:val="0D9488"/>
          <w:sz w:val="26"/>
        </w:rPr>
        <w:t>Stage 4: Clinical NLP &amp; Negation Detection</w:t>
      </w:r>
    </w:p>
    <w:p>
      <w:pPr>
        <w:spacing w:after="90" w:line="283" w:lineRule="auto"/>
      </w:pPr>
      <w:r>
        <w:rPr>
          <w:rFonts w:ascii="Calibri" w:hAnsi="Calibri"/>
          <w:color w:val="1F2937"/>
          <w:sz w:val="21"/>
        </w:rPr>
        <w:t>As sentences complete, the Clinical NLP service analyzes the structured transcript. It identifies clinical entities across five categories: Chief Complaints, Active Symptoms, Medical/Surgical History, Current Medications, and Vital Signs. Crucially, it executes a regex-based NegEx negation detection parser (e.g., distinguishing 'patient reports chest pain' from 'patient denies chest pain') to prevent negative assertions from contaminating positive diagnostic sets.</w:t>
      </w:r>
    </w:p>
    <w:p>
      <w:pPr>
        <w:keepNext/>
        <w:spacing w:before="260" w:after="80"/>
      </w:pPr>
      <w:r>
        <w:rPr>
          <w:rFonts w:ascii="Calibri" w:hAnsi="Calibri"/>
          <w:b/>
          <w:color w:val="0D9488"/>
          <w:sz w:val="26"/>
        </w:rPr>
        <w:t>Stage 5: Terminology Normalization &amp; Concept Grounding</w:t>
      </w:r>
    </w:p>
    <w:p>
      <w:pPr>
        <w:spacing w:after="90" w:line="283" w:lineRule="auto"/>
      </w:pPr>
      <w:r>
        <w:rPr>
          <w:rFonts w:ascii="Calibri" w:hAnsi="Calibri"/>
          <w:color w:val="1F2937"/>
          <w:sz w:val="21"/>
        </w:rPr>
        <w:t>Extracted clinical terms are passed to the Concept Normalizer, which resolves synonyms, colloquial expressions, and typos to standard clinical ontologies: Symptoms map to SNOMED CT concepts and UMLS Concept Unique Identifiers (CUIs); medications map to RxNorm RxCUIs; and diagnoses map to ICD-10-CM codes.</w:t>
      </w:r>
    </w:p>
    <w:p>
      <w:pPr>
        <w:keepNext/>
        <w:spacing w:before="260" w:after="80"/>
      </w:pPr>
      <w:r>
        <w:rPr>
          <w:rFonts w:ascii="Calibri" w:hAnsi="Calibri"/>
          <w:b/>
          <w:color w:val="0D9488"/>
          <w:sz w:val="26"/>
        </w:rPr>
        <w:t>Stage 6: Deterministic Multi-Factor Diagnostic Reasoning</w:t>
      </w:r>
    </w:p>
    <w:p>
      <w:pPr>
        <w:spacing w:after="90" w:line="283" w:lineRule="auto"/>
      </w:pPr>
      <w:r>
        <w:rPr>
          <w:rFonts w:ascii="Calibri" w:hAnsi="Calibri"/>
          <w:color w:val="1F2937"/>
          <w:sz w:val="21"/>
        </w:rPr>
        <w:t>The normalized clinical representation is fed to the deterministic Clinical Reasoning Engine. The engine evaluates candidate diseases across the knowledge base by calculating: (a) Jaccard symptom overlap; (b) Cardinal symptom weighting; (c) Geographic travel match; (d) Incubation timeline fit; (e) Syndromic cluster bonuses; and (f) Negation penalties. It outputs a pre-ranked Top-5 candidate list with complete mathematical score breakdowns.</w:t>
      </w:r>
    </w:p>
    <w:p>
      <w:pPr>
        <w:keepNext/>
        <w:spacing w:before="260" w:after="80"/>
      </w:pPr>
      <w:r>
        <w:rPr>
          <w:rFonts w:ascii="Calibri" w:hAnsi="Calibri"/>
          <w:b/>
          <w:color w:val="0D9488"/>
          <w:sz w:val="26"/>
        </w:rPr>
        <w:t>Stage 7: Constrained Neural Narrative Synthesis</w:t>
      </w:r>
    </w:p>
    <w:p>
      <w:pPr>
        <w:spacing w:after="90" w:line="283" w:lineRule="auto"/>
      </w:pPr>
      <w:r>
        <w:rPr>
          <w:rFonts w:ascii="Calibri" w:hAnsi="Calibri"/>
          <w:color w:val="1F2937"/>
          <w:sz w:val="21"/>
        </w:rPr>
        <w:t>The Top-5 pre-ranked candidates and their structured score breakdowns are supplied to the local Llama-3.2-3B language model via Ollama. Using strict system prompts that forbid ungrounded speculation, the model generates 1-2 sentence clinician-friendly narrative justifications explaining why each condition is supported, which expected findings are missing, and what contradicting evidence exists.</w:t>
      </w:r>
    </w:p>
    <w:p>
      <w:pPr>
        <w:keepNext/>
        <w:spacing w:before="260" w:after="80"/>
      </w:pPr>
      <w:r>
        <w:rPr>
          <w:rFonts w:ascii="Calibri" w:hAnsi="Calibri"/>
          <w:b/>
          <w:color w:val="0D9488"/>
          <w:sz w:val="26"/>
        </w:rPr>
        <w:t>Stage 8: Deterministic Safety Evaluation &amp; Red-Flag Interception</w:t>
      </w:r>
    </w:p>
    <w:p>
      <w:pPr>
        <w:spacing w:after="90" w:line="283" w:lineRule="auto"/>
      </w:pPr>
      <w:r>
        <w:rPr>
          <w:rFonts w:ascii="Calibri" w:hAnsi="Calibri"/>
          <w:color w:val="1F2937"/>
          <w:sz w:val="21"/>
        </w:rPr>
        <w:t>Before any diagnostic suggestion reaches the clinician interface, the master SafetyEngine executes its hardcoded red-flag rules against the clinical representation. If critical emergencies (crushing chest pain, severe dyspnea, stroke symptoms, anaphylaxis, altered consciousness) are detected, the system immediately flags the session with a CRITICAL alert banner and recommends immediate emergency interventions.</w:t>
      </w:r>
    </w:p>
    <w:p>
      <w:pPr>
        <w:keepNext/>
        <w:spacing w:before="260" w:after="80"/>
      </w:pPr>
      <w:r>
        <w:rPr>
          <w:rFonts w:ascii="Calibri" w:hAnsi="Calibri"/>
          <w:b/>
          <w:color w:val="0D9488"/>
          <w:sz w:val="26"/>
        </w:rPr>
        <w:t>Stage 9: Reference Intelligence &amp; Medication Validation</w:t>
      </w:r>
    </w:p>
    <w:p>
      <w:pPr>
        <w:spacing w:after="90" w:line="283" w:lineRule="auto"/>
      </w:pPr>
      <w:r>
        <w:rPr>
          <w:rFonts w:ascii="Calibri" w:hAnsi="Calibri"/>
          <w:color w:val="1F2937"/>
          <w:sz w:val="21"/>
        </w:rPr>
        <w:t>For the top diagnostic candidates, the Medication and Investigation services retrieve standard evidence-based clinical panels. Medication suggestions are automatically cross-referenced against patient-reported allergies and active medications via the NIH RxNav interaction API. Every medication card displays the mandatory warning: 'REFERENCE INFORMATION — CLINICIAN REVIEW REQUIRED'.</w:t>
      </w:r>
    </w:p>
    <w:p>
      <w:pPr>
        <w:keepNext/>
        <w:spacing w:before="260" w:after="80"/>
      </w:pPr>
      <w:r>
        <w:rPr>
          <w:rFonts w:ascii="Calibri" w:hAnsi="Calibri"/>
          <w:b/>
          <w:color w:val="0D9488"/>
          <w:sz w:val="26"/>
        </w:rPr>
        <w:t>Stage 10: Clinician Review, Amendment, and Immutable Finalization</w:t>
      </w:r>
    </w:p>
    <w:p>
      <w:pPr>
        <w:spacing w:after="90" w:line="283" w:lineRule="auto"/>
      </w:pPr>
      <w:r>
        <w:rPr>
          <w:rFonts w:ascii="Calibri" w:hAnsi="Calibri"/>
          <w:color w:val="1F2937"/>
          <w:sz w:val="21"/>
        </w:rPr>
        <w:t>The clinician reviews the real-time transcript, Top-5 differential diagnoses, safety alerts, and drafted SOAP note in the dual-pane workspace. The physician can freely edit any section of the note, confirm or reject diagnostic candidates, and sign the consultation. Upon signature, the consultation note is sealed as an immutable record with a SHA-256 cryptographic provenance hash, preventing retroactive tampering.</w:t>
      </w:r>
    </w:p>
    <w:p>
      <w:pPr>
        <w:keepNext/>
        <w:spacing w:before="260" w:after="80"/>
      </w:pPr>
      <w:r>
        <w:rPr>
          <w:rFonts w:ascii="Calibri" w:hAnsi="Calibri"/>
          <w:b/>
          <w:color w:val="0D9488"/>
          <w:sz w:val="26"/>
        </w:rPr>
        <w:t>10.1 Consultation Lifecycle State Transition Matrix</w:t>
      </w:r>
    </w:p>
    <w:p>
      <w:pPr>
        <w:spacing w:after="90" w:line="283" w:lineRule="auto"/>
      </w:pPr>
      <w:r>
        <w:rPr>
          <w:rFonts w:ascii="Calibri" w:hAnsi="Calibri"/>
          <w:color w:val="1F2937"/>
          <w:sz w:val="21"/>
        </w:rPr>
        <w:t>The formal state machine transitions governing the consultation lifecycle are summarized below:</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1872"/>
        <w:gridCol w:w="1872"/>
        <w:gridCol w:w="1872"/>
        <w:gridCol w:w="1872"/>
        <w:gridCol w:w="1872"/>
      </w:tblGrid>
      <w:tr>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Lifecycle Stage</w:t>
            </w:r>
          </w:p>
        </w:tc>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Input Trigger</w:t>
            </w:r>
          </w:p>
        </w:tc>
        <w:tc>
          <w:tcPr>
            <w:tcW w:type="dxa" w:w="187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Processing Engine</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Output Artifact</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Failure / Fallback State</w:t>
            </w:r>
          </w:p>
        </w:tc>
      </w:tr>
      <w:tr>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1. Intake &amp; Consent</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Clinician selects patient</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Consent &amp; Auth Service</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Verified Consent Event Token</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Session blocked; microphone disabled</w:t>
            </w:r>
          </w:p>
        </w:tc>
      </w:tr>
      <w:tr>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2. Audio Streaming</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Doctor clicks 'Start'</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Web Audio API / WebSocket</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16kHz Binary PCM stream</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WebSocket reconnect; local audio cache</w:t>
            </w:r>
          </w:p>
        </w:tc>
      </w:tr>
      <w:tr>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3. ASR &amp; Diarization</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PCM Audio stream</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Faster-Whisper + PyAnnote</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Speaker-labeled transcript</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VAD fallback; single-speaker mode</w:t>
            </w:r>
          </w:p>
        </w:tc>
      </w:tr>
      <w:tr>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4. Clinical NLP</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Transcript text</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Clinical NLP (NegEx)</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Extracted entity &amp; negation sets</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Rule-based fallback parser</w:t>
            </w:r>
          </w:p>
        </w:tc>
      </w:tr>
      <w:tr>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5. Normalization</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Raw entity strings</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Concept Normalizer</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UMLS CUI / SNOMED CT codes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Literal string match fallback</w:t>
            </w:r>
          </w:p>
        </w:tc>
      </w:tr>
      <w:tr>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6. Reasoning Engine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Normalized representation</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Clinical Reasoning Engine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Ranked Top-5 candidate scores</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Deterministic common prevalence fallback</w:t>
            </w:r>
          </w:p>
        </w:tc>
      </w:tr>
      <w:tr>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7. LLM Narration</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Structured score matrix</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Llama-3.2-3B via Ollama</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Human-readable 'Why?' summaries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Template-based heuristic explanation</w:t>
            </w:r>
          </w:p>
        </w:tc>
      </w:tr>
      <w:tr>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8. Safety Evaluation</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Representation + Candidates</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SafetyEngine (Red Flags)</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SafetyDecision (ALLOW/WARN/ABSTAIN)</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Fail-safe: Automatic WARN/ABSTAIN state</w:t>
            </w:r>
          </w:p>
        </w:tc>
      </w:tr>
      <w:tr>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9. Meds &amp; Labs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Top disease candidate</w:t>
            </w:r>
          </w:p>
        </w:tc>
        <w:tc>
          <w:tcPr>
            <w:tcW w:type="dxa" w:w="1872"/>
            <w:shd w:fill="FFFFFF"/>
            <w:tcMar>
              <w:top w:w="100" w:type="dxa"/>
              <w:bottom w:w="100" w:type="dxa"/>
              <w:left w:w="140" w:type="dxa"/>
              <w:right w:w="140" w:type="dxa"/>
            </w:tcMar>
            <w:vAlign w:val="center"/>
          </w:tcPr>
          <w:p>
            <w:pPr>
              <w:spacing w:after="0" w:line="264" w:lineRule="auto"/>
            </w:pPr>
            <w:r>
              <w:rPr>
                <w:rFonts w:ascii="Calibri" w:hAnsi="Calibri"/>
                <w:color w:val="1F2937"/>
                <w:sz w:val="18"/>
              </w:rPr>
              <w:t>Medication &amp; RxNav Engine</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Evidence panels + DDI alerts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Offline clinical panel fallback</w:t>
            </w:r>
          </w:p>
        </w:tc>
      </w:tr>
      <w:tr>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10. Finalization</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Doctor clicks 'Finalize'</w:t>
            </w:r>
          </w:p>
        </w:tc>
        <w:tc>
          <w:tcPr>
            <w:tcW w:type="dxa" w:w="1872"/>
            <w:shd w:fill="F8FAFC"/>
            <w:tcMar>
              <w:top w:w="100" w:type="dxa"/>
              <w:bottom w:w="100" w:type="dxa"/>
              <w:left w:w="140" w:type="dxa"/>
              <w:right w:w="140" w:type="dxa"/>
            </w:tcMar>
            <w:vAlign w:val="center"/>
          </w:tcPr>
          <w:p>
            <w:pPr>
              <w:spacing w:after="0" w:line="264" w:lineRule="auto"/>
            </w:pPr>
            <w:r>
              <w:rPr>
                <w:rFonts w:ascii="Calibri" w:hAnsi="Calibri"/>
                <w:color w:val="1F2937"/>
                <w:sz w:val="18"/>
              </w:rPr>
              <w:t>Consultation &amp; Audit Service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Immutable SHA-256 Signed Note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Draft auto-save; amendment workflow</w:t>
            </w:r>
          </w:p>
        </w:tc>
      </w:tr>
    </w:tbl>
    <w:p>
      <w:pPr>
        <w:spacing w:before="40" w:after="120"/>
      </w:pPr>
    </w:p>
    <w:p>
      <w:pPr>
        <w:keepNext/>
        <w:spacing w:before="360" w:after="120"/>
      </w:pPr>
      <w:r>
        <w:rPr>
          <w:rFonts w:ascii="Calibri" w:hAnsi="Calibri"/>
          <w:b/>
          <w:color w:val="0F2942"/>
          <w:sz w:val="33"/>
        </w:rPr>
        <w:t>11. Technologies Used &amp; Architectural Justifications</w:t>
      </w:r>
    </w:p>
    <w:p>
      <w:pPr>
        <w:spacing w:after="90" w:line="283" w:lineRule="auto"/>
      </w:pPr>
      <w:r>
        <w:rPr>
          <w:rFonts w:ascii="Calibri" w:hAnsi="Calibri"/>
          <w:color w:val="1F2937"/>
          <w:sz w:val="21"/>
        </w:rPr>
        <w:t>Every component in the DocAssistIQ technology stack was chosen through rigorous architectural evaluation, prioritizing local execution capability, deterministic safety, high throughput, and long-term enterprise maintainability.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2340"/>
        <w:gridCol w:w="2340"/>
        <w:gridCol w:w="2340"/>
        <w:gridCol w:w="2340"/>
      </w:tblGrid>
      <w:tr>
        <w:tc>
          <w:tcPr>
            <w:tcW w:type="dxa" w:w="1584"/>
            <w:shd w:fill="0F2942"/>
            <w:tcMar>
              <w:top w:w="140" w:type="dxa"/>
              <w:bottom w:w="140" w:type="dxa"/>
              <w:left w:w="140" w:type="dxa"/>
              <w:right w:w="140" w:type="dxa"/>
            </w:tcMar>
            <w:vAlign w:val="center"/>
          </w:tcPr>
          <w:p>
            <w:pPr>
              <w:spacing w:after="0" w:line="252" w:lineRule="auto"/>
            </w:pPr>
            <w:r>
              <w:rPr>
                <w:rFonts w:ascii="Calibri" w:hAnsi="Calibri"/>
                <w:b/>
                <w:color w:val="FFFFFF"/>
                <w:sz w:val="19"/>
              </w:rPr>
              <w:t>Layer / Domain</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Technology &amp; Version</w:t>
            </w:r>
          </w:p>
        </w:tc>
        <w:tc>
          <w:tcPr>
            <w:tcW w:type="dxa" w:w="216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Architectural Role</w:t>
            </w:r>
          </w:p>
        </w:tc>
        <w:tc>
          <w:tcPr>
            <w:tcW w:type="dxa" w:w="360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Selection Justification &amp; Tradeoff Rationale</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Frontend Framework</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Next.js 14.2 / React 19</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User Interface &amp; App Router</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Server-side rendering, strict routing, superior type safety with TypeScript, fast hydration.</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Styling System</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TailwindCSS 3.4</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Design System &amp; UI Tokens</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Restrained clinical design tokens, WCAG 2.2 AA accessibility, zero runtime CSS overhead.</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Client Audio API</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Web Audio API (Browser)</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Microphone Capture &amp; PCM Resampling</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Native browser standard; resamples to 16kHz mono without external browser plugins.</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Backend Core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Python 3.11 / FastAPI</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API Gateway &amp; Async Web Services</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High-performance async ASGI event loop, native Pydantic validation, Python AI ecosystem.</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Data Validation</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Pydantic v2.6</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Request/Response Typing &amp; Schemas</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Rust-based serialization engine; 10x faster validation than v1; strict typed contracts.</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Database &amp; ORM</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PostgreSQL 16 + SQLAlchemy 2</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Relational Storage &amp; Async ORM</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Rock-solid enterprise ACID compliance, asyncpg driver, robust JSONB support.</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Vector Search</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pgvector extension (0.6+)</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Semantic Embeddings &amp; RAG</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Eliminates need for separate vector DB; maintains relational joins with medical documents.</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Cache &amp; Pub/Sub</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Redis 7.2 Alpine</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Session Cache &amp; WebSocket Broker</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Ultra-low latency in-memory data store; coordinates multi-user WebSocket events.</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Asynchronous Jobs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Celery 5.3 + Redis broker</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Background Heavy Task Execution</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Decouples heavy OCR, batch embedding, and document ingestion from the API event loop.</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Object Storage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MinIO S3-Compatible</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Binary Audio &amp; Report Storage</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S3-compatible, self-hosted, enterprise-grade object storage; keeps blobs out of PostgreSQL.</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Speech-to-Text</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Faster-Whisper (Large-v3)</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Automatic Speech Recognition</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CTranslate2 implementation of Whisper; 4x faster inference with 50% less VRAM usage.</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Speaker Diarization</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PyAnnote Audio 3.1</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Speaker Segmentation &amp; Labeling</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State-of-the-art diarization neural pipeline; separates doctor and patient voices.</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Embeddings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Sentence-Transformers</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Dense Vector Representation</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Pretrained 'all-MiniLM-L6-v2' generating 384-dimensional dense semantic vectors.</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F2937"/>
                <w:sz w:val="18"/>
              </w:rPr>
              <w:t>Local LLM</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Llama-3.2-3B via Ollama</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Constrained Narrative Generation</w:t>
            </w:r>
          </w:p>
        </w:tc>
        <w:tc>
          <w:tcPr>
            <w:tcW w:type="dxa" w:w="3600"/>
            <w:shd w:fill="F8FAFC"/>
            <w:tcMar>
              <w:top w:w="100" w:type="dxa"/>
              <w:bottom w:w="100" w:type="dxa"/>
              <w:left w:w="140" w:type="dxa"/>
              <w:right w:w="140" w:type="dxa"/>
            </w:tcMar>
            <w:vAlign w:val="center"/>
          </w:tcPr>
          <w:p>
            <w:pPr>
              <w:spacing w:after="0" w:line="264" w:lineRule="auto"/>
            </w:pPr>
            <w:r>
              <w:rPr>
                <w:rFonts w:ascii="Calibri" w:hAnsi="Calibri"/>
                <w:color w:val="1F2937"/>
                <w:sz w:val="18"/>
              </w:rPr>
              <w:t>Compact 3-billion parameter model; runs locally on standard GPUs; zero cloud data leakage.</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F2937"/>
                <w:sz w:val="18"/>
              </w:rPr>
              <w:t>Testing &amp; Quality</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Pytest, Ruff, Mypy, ESLint</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Code Quality &amp; Static Analysis</w:t>
            </w:r>
          </w:p>
        </w:tc>
        <w:tc>
          <w:tcPr>
            <w:tcW w:type="dxa" w:w="3600"/>
            <w:shd w:fill="FFFFFF"/>
            <w:tcMar>
              <w:top w:w="100" w:type="dxa"/>
              <w:bottom w:w="100" w:type="dxa"/>
              <w:left w:w="140" w:type="dxa"/>
              <w:right w:w="140" w:type="dxa"/>
            </w:tcMar>
            <w:vAlign w:val="center"/>
          </w:tcPr>
          <w:p>
            <w:pPr>
              <w:spacing w:after="0" w:line="264" w:lineRule="auto"/>
            </w:pPr>
            <w:r>
              <w:rPr>
                <w:rFonts w:ascii="Calibri" w:hAnsi="Calibri"/>
                <w:color w:val="1F2937"/>
                <w:sz w:val="18"/>
              </w:rPr>
              <w:t>Enforces 100% type safety, zero lint regressions, and automated CI/CD verification.</w:t>
            </w:r>
          </w:p>
        </w:tc>
      </w:tr>
    </w:tbl>
    <w:p>
      <w:pPr>
        <w:spacing w:before="40" w:after="120"/>
      </w:pPr>
    </w:p>
    <w:p>
      <w:pPr>
        <w:keepNext/>
        <w:spacing w:before="360" w:after="120"/>
      </w:pPr>
      <w:r>
        <w:rPr>
          <w:rFonts w:ascii="Calibri" w:hAnsi="Calibri"/>
          <w:b/>
          <w:color w:val="0F2942"/>
          <w:sz w:val="33"/>
        </w:rPr>
        <w:t>12. Modules &amp; Functional Decomposition</w:t>
      </w:r>
    </w:p>
    <w:p>
      <w:pPr>
        <w:spacing w:after="90" w:line="283" w:lineRule="auto"/>
      </w:pPr>
      <w:r>
        <w:rPr>
          <w:rFonts w:ascii="Calibri" w:hAnsi="Calibri"/>
          <w:color w:val="1F2937"/>
          <w:sz w:val="21"/>
        </w:rPr>
        <w:t>DocAssistIQ is architected into ten core functional modules, each possessing strictly defined interface boundaries, domain models, and service contracts:</w:t>
      </w:r>
    </w:p>
    <w:p>
      <w:pPr>
        <w:keepNext/>
        <w:spacing w:before="260" w:after="80"/>
      </w:pPr>
      <w:r>
        <w:rPr>
          <w:rFonts w:ascii="Calibri" w:hAnsi="Calibri"/>
          <w:b/>
          <w:color w:val="0D9488"/>
          <w:sz w:val="26"/>
        </w:rPr>
        <w:t>Module 1: Enterprise Authentication, RBAC &amp; Multi-Tenancy</w:t>
      </w:r>
    </w:p>
    <w:p>
      <w:pPr>
        <w:spacing w:after="90" w:line="283" w:lineRule="auto"/>
      </w:pPr>
      <w:r>
        <w:rPr>
          <w:rFonts w:ascii="Calibri" w:hAnsi="Calibri"/>
          <w:color w:val="1F2937"/>
          <w:sz w:val="21"/>
        </w:rPr>
        <w:t>Manages user authentication via PBKDF2-SHA256 password hashing, OAuth2 Bearer JWT access/refresh tokens, and multi-tenant hospital partitioning. Implements Role-Based Access Control (RBAC) across four roles: CLINICIAN, NURSE, AUDITOR, and SYSTEM_ADMIN. Enforces strict hospital tenant scoping across all SQL queries.</w:t>
      </w:r>
    </w:p>
    <w:p>
      <w:pPr>
        <w:keepNext/>
        <w:spacing w:before="260" w:after="80"/>
      </w:pPr>
      <w:r>
        <w:rPr>
          <w:rFonts w:ascii="Calibri" w:hAnsi="Calibri"/>
          <w:b/>
          <w:color w:val="0D9488"/>
          <w:sz w:val="26"/>
        </w:rPr>
        <w:t>Module 2: Patient Intake, Consent &amp; Pseudonymization</w:t>
      </w:r>
    </w:p>
    <w:p>
      <w:pPr>
        <w:spacing w:after="90" w:line="283" w:lineRule="auto"/>
      </w:pPr>
      <w:r>
        <w:rPr>
          <w:rFonts w:ascii="Calibri" w:hAnsi="Calibri"/>
          <w:color w:val="1F2937"/>
          <w:sz w:val="21"/>
        </w:rPr>
        <w:t>Governs patient registration, historical medical profiles, and privacy compliance. Automatically assigns an opaque, non-reversible UUID to patient consultation sessions. Maintains an append-only consent registry that records the consent type (Verbal, Signed Digital), timestamp, and clinician ID before voice capture is unlocked.</w:t>
      </w:r>
    </w:p>
    <w:p>
      <w:pPr>
        <w:keepNext/>
        <w:spacing w:before="260" w:after="80"/>
      </w:pPr>
      <w:r>
        <w:rPr>
          <w:rFonts w:ascii="Calibri" w:hAnsi="Calibri"/>
          <w:b/>
          <w:color w:val="0D9488"/>
          <w:sz w:val="26"/>
        </w:rPr>
        <w:t>Module 3: Ambient Consultation &amp; Real-Time Audio Streaming</w:t>
      </w:r>
    </w:p>
    <w:p>
      <w:pPr>
        <w:spacing w:after="90" w:line="283" w:lineRule="auto"/>
      </w:pPr>
      <w:r>
        <w:rPr>
          <w:rFonts w:ascii="Calibri" w:hAnsi="Calibri"/>
          <w:color w:val="1F2937"/>
          <w:sz w:val="21"/>
        </w:rPr>
        <w:t>Contains the authenticated WebSocket endpoint (`/api/v1/ws/consultations/{id}`), audio buffer aggregator, Faster-Whisper ASR pipeline, and PyAnnote diarizer. Handles real-time chunking, Voice Activity Detection, and JSON broadcasting of live transcription events to connected clinician workstations.</w:t>
      </w:r>
    </w:p>
    <w:p>
      <w:pPr>
        <w:keepNext/>
        <w:spacing w:before="260" w:after="80"/>
      </w:pPr>
      <w:r>
        <w:rPr>
          <w:rFonts w:ascii="Calibri" w:hAnsi="Calibri"/>
          <w:b/>
          <w:color w:val="0D9488"/>
          <w:sz w:val="26"/>
        </w:rPr>
        <w:t>Module 4: Clinical NLP, Negation &amp; Terminology Normalization</w:t>
      </w:r>
    </w:p>
    <w:p>
      <w:pPr>
        <w:spacing w:after="90" w:line="283" w:lineRule="auto"/>
      </w:pPr>
      <w:r>
        <w:rPr>
          <w:rFonts w:ascii="Calibri" w:hAnsi="Calibri"/>
          <w:color w:val="1F2937"/>
          <w:sz w:val="21"/>
        </w:rPr>
        <w:t>Analyzes consultation transcripts using specialized entity extraction patterns and NegEx negation boundary evaluators. Maps extracted concepts to standardized vocabularies: UMLS CUIs, SNOMED CT concept identifiers, and RxNorm RxCUIs, producing a validated `ClinicalRepresentation` object.</w:t>
      </w:r>
    </w:p>
    <w:p>
      <w:pPr>
        <w:keepNext/>
        <w:spacing w:before="260" w:after="80"/>
      </w:pPr>
      <w:r>
        <w:rPr>
          <w:rFonts w:ascii="Calibri" w:hAnsi="Calibri"/>
          <w:b/>
          <w:color w:val="0D9488"/>
          <w:sz w:val="26"/>
        </w:rPr>
        <w:t>Module 5: Deterministic Clinical Reasoning &amp; Top-5 Differential Engine</w:t>
      </w:r>
    </w:p>
    <w:p>
      <w:pPr>
        <w:spacing w:after="90" w:line="283" w:lineRule="auto"/>
      </w:pPr>
      <w:r>
        <w:rPr>
          <w:rFonts w:ascii="Calibri" w:hAnsi="Calibri"/>
          <w:color w:val="1F2937"/>
          <w:sz w:val="21"/>
        </w:rPr>
        <w:t>The core intelligence engine. Evaluates patient clinical representations against an extensive multi-specialty knowledge catalog (100+ conditions). Executes multi-factor scoring combining symptom Jaccard similarity, cardinal symptom matches, geographic travel risk, incubation timeline fit, and syndromic clusters.</w:t>
      </w:r>
    </w:p>
    <w:p>
      <w:pPr>
        <w:keepNext/>
        <w:spacing w:before="260" w:after="80"/>
      </w:pPr>
      <w:r>
        <w:rPr>
          <w:rFonts w:ascii="Calibri" w:hAnsi="Calibri"/>
          <w:b/>
          <w:color w:val="0D9488"/>
          <w:sz w:val="26"/>
        </w:rPr>
        <w:t>Module 6: Deterministic Safety &amp; Red-Flag Enforcement Engine</w:t>
      </w:r>
    </w:p>
    <w:p>
      <w:pPr>
        <w:spacing w:after="90" w:line="283" w:lineRule="auto"/>
      </w:pPr>
      <w:r>
        <w:rPr>
          <w:rFonts w:ascii="Calibri" w:hAnsi="Calibri"/>
          <w:color w:val="1F2937"/>
          <w:sz w:val="21"/>
        </w:rPr>
        <w:t>The non-negotiable clinical safety guardian. Evaluates patient findings against versioned Master Red Flag rules (RF-001 Severe Chest Pain, RF-002 Severe Dyspnea, RF-003 Stroke Signs, RF-004 Anaphylaxis, RF-005 Altered Consciousness). Enforces safety decisions (ALLOW, WARN, ABSTAIN) and blocks AI-generated suggestions if critical contraindications are detected.</w:t>
      </w:r>
    </w:p>
    <w:p>
      <w:pPr>
        <w:keepNext/>
        <w:spacing w:before="260" w:after="80"/>
      </w:pPr>
      <w:r>
        <w:rPr>
          <w:rFonts w:ascii="Calibri" w:hAnsi="Calibri"/>
          <w:b/>
          <w:color w:val="0D9488"/>
          <w:sz w:val="26"/>
        </w:rPr>
        <w:t>Module 7: Evidence-Grounded Hybrid RAG &amp; Verification Module</w:t>
      </w:r>
    </w:p>
    <w:p>
      <w:pPr>
        <w:spacing w:after="90" w:line="283" w:lineRule="auto"/>
      </w:pPr>
      <w:r>
        <w:rPr>
          <w:rFonts w:ascii="Calibri" w:hAnsi="Calibri"/>
          <w:color w:val="1F2937"/>
          <w:sz w:val="21"/>
        </w:rPr>
        <w:t>Performs hybrid vector-lexical document retrieval across clinical practice guidelines, hospital formulary documents, and PubMed abstracts. Uses Reciprocal Rank Fusion (RRF) to merge pgvector cosine distance rankings with PostgreSQL `tsvector` BM25 keyword rankings, attaching claim-level citations to clinical summaries.</w:t>
      </w:r>
    </w:p>
    <w:p>
      <w:pPr>
        <w:keepNext/>
        <w:spacing w:before="260" w:after="80"/>
      </w:pPr>
      <w:r>
        <w:rPr>
          <w:rFonts w:ascii="Calibri" w:hAnsi="Calibri"/>
          <w:b/>
          <w:color w:val="0D9488"/>
          <w:sz w:val="26"/>
        </w:rPr>
        <w:t>Module 8: Medication, Investigation &amp; Polypharmacy Reference Module</w:t>
      </w:r>
    </w:p>
    <w:p>
      <w:pPr>
        <w:spacing w:after="90" w:line="283" w:lineRule="auto"/>
      </w:pPr>
      <w:r>
        <w:rPr>
          <w:rFonts w:ascii="Calibri" w:hAnsi="Calibri"/>
          <w:color w:val="1F2937"/>
          <w:sz w:val="21"/>
        </w:rPr>
        <w:t>Supplies standardized evidence-based medication panels, dosing guidelines, and recommended diagnostic investigations. Integrates live NIH RxNav API interaction checking with local offline fallback, alerting clinicians to adverse drug-drug interactions and patient allergy conflicts.</w:t>
      </w:r>
    </w:p>
    <w:p>
      <w:pPr>
        <w:keepNext/>
        <w:spacing w:before="260" w:after="80"/>
      </w:pPr>
      <w:r>
        <w:rPr>
          <w:rFonts w:ascii="Calibri" w:hAnsi="Calibri"/>
          <w:b/>
          <w:color w:val="0D9488"/>
          <w:sz w:val="26"/>
        </w:rPr>
        <w:t>Module 9: Verified Doctor Knowledge Hub &amp; Collaboration Module</w:t>
      </w:r>
    </w:p>
    <w:p>
      <w:pPr>
        <w:spacing w:after="90" w:line="283" w:lineRule="auto"/>
      </w:pPr>
      <w:r>
        <w:rPr>
          <w:rFonts w:ascii="Calibri" w:hAnsi="Calibri"/>
          <w:color w:val="1F2937"/>
          <w:sz w:val="21"/>
        </w:rPr>
        <w:t>An enterprise clinical networking portal where verified physicians can publish anonymized case studies, discuss complex differential diagnoses, and vote on clinical guidelines. Includes peer credential verification, discussion threads, and clinical feedback loops to continually refine platform knowledge.</w:t>
      </w:r>
    </w:p>
    <w:p>
      <w:pPr>
        <w:keepNext/>
        <w:spacing w:before="260" w:after="80"/>
      </w:pPr>
      <w:r>
        <w:rPr>
          <w:rFonts w:ascii="Calibri" w:hAnsi="Calibri"/>
          <w:b/>
          <w:color w:val="0D9488"/>
          <w:sz w:val="26"/>
        </w:rPr>
        <w:t>Module 10: Audit Trail, Provenance Tracking &amp; Compliance Module</w:t>
      </w:r>
    </w:p>
    <w:p>
      <w:pPr>
        <w:spacing w:after="90" w:line="283" w:lineRule="auto"/>
      </w:pPr>
      <w:r>
        <w:rPr>
          <w:rFonts w:ascii="Calibri" w:hAnsi="Calibri"/>
          <w:color w:val="1F2937"/>
          <w:sz w:val="21"/>
        </w:rPr>
        <w:t>Maintains an immutable, cryptographically chained audit log for every clinical interaction. Each log entry records user ID, action, timestamp, client IP, request correlation ID, and a SHA-256 hash of the payload linked to the previous entry, ensuring complete evidentiary integrity for medical-legal compliance.</w:t>
      </w:r>
    </w:p>
    <w:p>
      <w:pPr>
        <w:keepNext/>
        <w:spacing w:before="360" w:after="120"/>
      </w:pPr>
      <w:r>
        <w:rPr>
          <w:rFonts w:ascii="Calibri" w:hAnsi="Calibri"/>
          <w:b/>
          <w:color w:val="0F2942"/>
          <w:sz w:val="33"/>
        </w:rPr>
        <w:t>13. Implementation Details, Algorithms &amp; Data Models</w:t>
      </w:r>
    </w:p>
    <w:p>
      <w:pPr>
        <w:spacing w:after="90" w:line="283" w:lineRule="auto"/>
      </w:pPr>
      <w:r>
        <w:rPr>
          <w:rFonts w:ascii="Calibri" w:hAnsi="Calibri"/>
          <w:color w:val="1F2937"/>
          <w:sz w:val="21"/>
        </w:rPr>
        <w:t>This section documents the formal mathematical formulations, database schemas, and core software implementations that power DocAssistIQ.</w:t>
      </w:r>
    </w:p>
    <w:p>
      <w:pPr>
        <w:keepNext/>
        <w:spacing w:before="260" w:after="80"/>
      </w:pPr>
      <w:r>
        <w:rPr>
          <w:rFonts w:ascii="Calibri" w:hAnsi="Calibri"/>
          <w:b/>
          <w:color w:val="0D9488"/>
          <w:sz w:val="26"/>
        </w:rPr>
        <w:t>13.1 Mathematical Formulations &amp; Algorithmic Models</w:t>
      </w:r>
    </w:p>
    <w:p>
      <w:pPr>
        <w:spacing w:after="90" w:line="283" w:lineRule="auto"/>
      </w:pPr>
      <w:r>
        <w:rPr>
          <w:rFonts w:ascii="Calibri" w:hAnsi="Calibri"/>
          <w:color w:val="1F2937"/>
          <w:sz w:val="21"/>
        </w:rPr>
        <w:t>The diagnostic reasoning in DocAssistIQ is computed via a multi-factor Bayesian-heuristic objective function. For any candidate disease D within the disease catalog D_cat and a given patient clinical representation P, the total evidence score S_total(D) is defined as: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2942"/>
              <w:top w:val="none"/>
              <w:bottom w:val="none"/>
              <w:right w:val="none"/>
            </w:tcBorders>
          </w:tcPr>
          <w:p>
            <w:pPr>
              <w:spacing w:after="40" w:line="276" w:lineRule="auto"/>
            </w:pPr>
            <w:r>
              <w:rPr>
                <w:rFonts w:ascii="Calibri" w:hAnsi="Calibri"/>
                <w:b/>
                <w:color w:val="0F2942"/>
                <w:sz w:val="20"/>
              </w:rPr>
              <w:t>[EQUATION 1: MULTI-FACTOR DIAGNOSTIC OBJECTIVE FUNCTION]</w:t>
              <w:br/>
            </w:r>
            <w:r>
              <w:rPr>
                <w:rFonts w:ascii="Calibri" w:hAnsi="Calibri"/>
                <w:color w:val="1F2937"/>
                <w:sz w:val="20"/>
              </w:rPr>
              <w:t>S_total(D) = w_1 * S_symptom(D) + w_2 * S_cardinal(D) + w_3 * S_incubation(D) + w_4 * S_cluster(D) + w_5 * S_geo(D) - w_6 * S_negation(D) + w_7 * S_live(D)</w:t>
              <w:br/>
              <w:br/>
              <w:t>where the empirically calibrated feature weights are:</w:t>
              <w:br/>
              <w:t xml:space="preserve">  w_1 = 0.30 (General symptom overlap)</w:t>
              <w:br/>
              <w:t xml:space="preserve">  w_2 = 0.35 (Cardinal / pathognomonic symptom match)</w:t>
              <w:br/>
              <w:t xml:space="preserve">  w_3 = 0.15 (Incubation timeline mathematical fit)</w:t>
              <w:br/>
              <w:t xml:space="preserve">  w_4 = 0.10 (Syndromic cluster matching bonus)</w:t>
              <w:br/>
              <w:t xml:space="preserve">  w_5 = 0.10 (Geographic / travel epidemiological prior)</w:t>
              <w:br/>
              <w:t xml:space="preserve">  w_6 = 0.25 (Negation penalty for explicitly denied findings)</w:t>
              <w:br/>
              <w:t xml:space="preserve">  w_7 = 0.05 (Live outbreak intelligence bonus)</w:t>
            </w:r>
          </w:p>
        </w:tc>
      </w:tr>
    </w:tbl>
    <w:p>
      <w:pPr>
        <w:spacing w:before="40" w:after="80"/>
      </w:pPr>
    </w:p>
    <w:p>
      <w:pPr>
        <w:spacing w:after="90" w:line="283" w:lineRule="auto"/>
      </w:pPr>
      <w:r>
        <w:rPr>
          <w:rFonts w:ascii="Calibri" w:hAnsi="Calibri"/>
          <w:color w:val="1F2937"/>
          <w:sz w:val="21"/>
        </w:rPr>
        <w:t>The component sub-functions are rigorously defined as follows:</w:t>
      </w:r>
    </w:p>
    <w:p>
      <w:pPr>
        <w:pStyle w:val="ListBullet"/>
        <w:spacing w:after="60" w:line="276" w:lineRule="auto"/>
      </w:pPr>
      <w:r>
        <w:rPr>
          <w:rFonts w:ascii="Calibri" w:hAnsi="Calibri"/>
          <w:b/>
          <w:color w:val="1F2937"/>
        </w:rPr>
        <w:t xml:space="preserve">Symptom Jaccard Overlap: </w:t>
      </w:r>
      <w:r>
        <w:rPr>
          <w:rFonts w:ascii="Calibri" w:hAnsi="Calibri"/>
          <w:color w:val="1F2937"/>
          <w:sz w:val="21"/>
        </w:rPr>
        <w:t>S_symptom(D) = | P_sym INTERSECT K_D | / | P_sym UNION K_D |, where P_sym is the set of normalized patient symptoms and K_D is the knowledge base symptom profile for disease D.</w:t>
      </w:r>
    </w:p>
    <w:p>
      <w:pPr>
        <w:pStyle w:val="ListBullet"/>
        <w:spacing w:after="60" w:line="276" w:lineRule="auto"/>
      </w:pPr>
      <w:r>
        <w:rPr>
          <w:rFonts w:ascii="Calibri" w:hAnsi="Calibri"/>
          <w:b/>
          <w:color w:val="1F2937"/>
        </w:rPr>
        <w:t xml:space="preserve">Cardinal Symptom Fit: </w:t>
      </w:r>
      <w:r>
        <w:rPr>
          <w:rFonts w:ascii="Calibri" w:hAnsi="Calibri"/>
          <w:color w:val="1F2937"/>
          <w:sz w:val="21"/>
        </w:rPr>
        <w:t>S_cardinal(D) = (SUM_{s IN (P_sym INTERSECT C_D)} W_card(s)) / (SUM_{s IN C_D} W_card(s)), where C_D is the subset of pathognomonic cardinal symptoms defined for disease D, and W_card(s) is the clinical importance weight.</w:t>
      </w:r>
    </w:p>
    <w:p>
      <w:pPr>
        <w:pStyle w:val="ListBullet"/>
        <w:spacing w:after="60" w:line="276" w:lineRule="auto"/>
      </w:pPr>
      <w:r>
        <w:rPr>
          <w:rFonts w:ascii="Calibri" w:hAnsi="Calibri"/>
          <w:b/>
          <w:color w:val="1F2937"/>
        </w:rPr>
        <w:t xml:space="preserve">Incubation Timeline Fit: </w:t>
      </w:r>
      <w:r>
        <w:rPr>
          <w:rFonts w:ascii="Calibri" w:hAnsi="Calibri"/>
          <w:color w:val="1F2937"/>
          <w:sz w:val="21"/>
        </w:rPr>
        <w:t>S_incubation(D) = 1.0 if delta_t IN [T_min, T_max]; exp( - (delta_t - T_max)^2 / (2 * sigma^2) ) if delta_t &gt; T_max; and exp( - (T_min - delta_t)^2 / (2 * sigma^2) ) if delta_t &lt; T_min.</w:t>
      </w:r>
    </w:p>
    <w:p>
      <w:pPr>
        <w:pStyle w:val="ListBullet"/>
        <w:spacing w:after="60" w:line="276" w:lineRule="auto"/>
      </w:pPr>
      <w:r>
        <w:rPr>
          <w:rFonts w:ascii="Calibri" w:hAnsi="Calibri"/>
          <w:b/>
          <w:color w:val="1F2937"/>
        </w:rPr>
        <w:t xml:space="preserve">Hybrid RAG Reciprocal Rank Fusion (RRF): </w:t>
      </w:r>
      <w:r>
        <w:rPr>
          <w:rFonts w:ascii="Calibri" w:hAnsi="Calibri"/>
          <w:color w:val="1F2937"/>
          <w:sz w:val="21"/>
        </w:rPr>
        <w:t>RRF(d) = SUM_{m IN {Vector, BM25}} ( 1 / ( k + rank_m(d) ) ), where k = 60 is the smoothing constant, and rank_m(d) is the rank of document d in retrieval method m.</w:t>
      </w:r>
    </w:p>
    <w:p>
      <w:pPr>
        <w:keepNext/>
        <w:spacing w:before="260" w:after="80"/>
      </w:pPr>
      <w:r>
        <w:rPr>
          <w:rFonts w:ascii="Calibri" w:hAnsi="Calibri"/>
          <w:b/>
          <w:color w:val="0D9488"/>
          <w:sz w:val="26"/>
        </w:rPr>
        <w:t>13.2 Relational Database Schema &amp; Data Models</w:t>
      </w:r>
    </w:p>
    <w:p>
      <w:pPr>
        <w:spacing w:after="90" w:line="283" w:lineRule="auto"/>
      </w:pPr>
      <w:r>
        <w:rPr>
          <w:rFonts w:ascii="Calibri" w:hAnsi="Calibri"/>
          <w:color w:val="1F2937"/>
          <w:sz w:val="21"/>
        </w:rPr>
        <w:t>The persistent storage layer is implemented in PostgreSQL 16 with pgvector. The key entities and their relational schema definitions include: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2340"/>
        <w:gridCol w:w="2340"/>
        <w:gridCol w:w="2340"/>
        <w:gridCol w:w="2340"/>
      </w:tblGrid>
      <w:tr>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Entity / Table</w:t>
            </w:r>
          </w:p>
        </w:tc>
        <w:tc>
          <w:tcPr>
            <w:tcW w:type="dxa" w:w="331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Primary Columns &amp; Types</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Foreign Keys &amp; Constraints</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Indexing &amp; Storage</w:t>
            </w:r>
          </w:p>
        </w:tc>
      </w:tr>
      <w:tr>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users</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id (UUID PK), email (VARCHAR), hashed_pw (VARCHAR), role (VARCHAR), tenant_id (UUID)</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UQ(email), FK(tenant_id -&gt; tenants)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B-Tree on email, B-Tree on tenant_id</w:t>
            </w:r>
          </w:p>
        </w:tc>
      </w:tr>
      <w:tr>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doctor_profiles</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id (UUID PK), user_id (UUID FK), medical_license (VARCHAR), specialty (VARCHAR)</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FK(user_id -&gt; users.id) ON DELETE CASCADE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B-Tree on user_id, UQ(medical_license)</w:t>
            </w:r>
          </w:p>
        </w:tc>
      </w:tr>
      <w:tr>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patients</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id (UUID PK), tenant_id (UUID), pseudo_id (VARCHAR), gender, dob_year</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FK(tenant_id -&gt; tenants.id)</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B-Tree on (tenant_id, pseudo_id)</w:t>
            </w:r>
          </w:p>
        </w:tc>
      </w:tr>
      <w:tr>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consultations</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id (UUID PK), patient_id, doctor_id, status (VARCHAR), created_at</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FK(patient_id), FK(doctor_id)</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B-Tree on (doctor_id, status)</w:t>
            </w:r>
          </w:p>
        </w:tc>
      </w:tr>
      <w:tr>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transcripts</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id (UUID PK), consultation_id, speaker_label, text, start_ms, end_ms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FK(consultation_id -&gt; consultations)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B-Tree on (consultation_id, start_ms)</w:t>
            </w:r>
          </w:p>
        </w:tc>
      </w:tr>
      <w:tr>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clinical_representations</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id (UUID PK), consultation_id, symptoms (JSONB), negations (JSONB), vitals</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FK(consultation_id) UNIQUE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GIN index on symptoms, GIN on negations</w:t>
            </w:r>
          </w:p>
        </w:tc>
      </w:tr>
      <w:tr>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differential_diagnoses</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id (UUID PK), consultation_id, disease (VARCHAR), score (FLOAT), rank (INT)</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FK(consultation_id -&gt; consultations)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B-Tree on (consultation_id, rank)</w:t>
            </w:r>
          </w:p>
        </w:tc>
      </w:tr>
      <w:tr>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safety_flags</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id (UUID PK), consultation_id, rule_id, severity, message, decision</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FK(consultation_id -&gt; consultations)</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B-Tree on (consultation_id, severity)</w:t>
            </w:r>
          </w:p>
        </w:tc>
      </w:tr>
      <w:tr>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medical_documents</w:t>
            </w:r>
          </w:p>
        </w:tc>
        <w:tc>
          <w:tcPr>
            <w:tcW w:type="dxa" w:w="3312"/>
            <w:shd w:fill="FFFFFF"/>
            <w:tcMar>
              <w:top w:w="100" w:type="dxa"/>
              <w:bottom w:w="100" w:type="dxa"/>
              <w:left w:w="140" w:type="dxa"/>
              <w:right w:w="140" w:type="dxa"/>
            </w:tcMar>
            <w:vAlign w:val="center"/>
          </w:tcPr>
          <w:p>
            <w:pPr>
              <w:spacing w:after="0" w:line="264" w:lineRule="auto"/>
            </w:pPr>
            <w:r>
              <w:rPr>
                <w:rFonts w:ascii="Calibri" w:hAnsi="Calibri"/>
                <w:color w:val="1F2937"/>
                <w:sz w:val="18"/>
              </w:rPr>
              <w:t>id (UUID PK), title, content (TEXT), embedding (VECTOR(384)), source</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FK(source_id -&gt; sources)</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HNSW index on embedding (cosine metric)</w:t>
            </w:r>
          </w:p>
        </w:tc>
      </w:tr>
      <w:tr>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audit_logs</w:t>
            </w:r>
          </w:p>
        </w:tc>
        <w:tc>
          <w:tcPr>
            <w:tcW w:type="dxa" w:w="3312"/>
            <w:shd w:fill="F8FAFC"/>
            <w:tcMar>
              <w:top w:w="100" w:type="dxa"/>
              <w:bottom w:w="100" w:type="dxa"/>
              <w:left w:w="140" w:type="dxa"/>
              <w:right w:w="140" w:type="dxa"/>
            </w:tcMar>
            <w:vAlign w:val="center"/>
          </w:tcPr>
          <w:p>
            <w:pPr>
              <w:spacing w:after="0" w:line="264" w:lineRule="auto"/>
            </w:pPr>
            <w:r>
              <w:rPr>
                <w:rFonts w:ascii="Calibri" w:hAnsi="Calibri"/>
                <w:color w:val="1F2937"/>
                <w:sz w:val="18"/>
              </w:rPr>
              <w:t>id (UUID PK), user_id, action, timestamp, prev_hash (VARCHAR), curr_hash (VARCHAR)</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FK(user_id -&gt; users)</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B-Tree on timestamp, UQ(curr_hash)</w:t>
            </w:r>
          </w:p>
        </w:tc>
      </w:tr>
    </w:tbl>
    <w:p>
      <w:pPr>
        <w:spacing w:before="40" w:after="120"/>
      </w:pPr>
    </w:p>
    <w:p>
      <w:pPr>
        <w:keepNext/>
        <w:spacing w:before="260" w:after="80"/>
      </w:pPr>
      <w:r>
        <w:rPr>
          <w:rFonts w:ascii="Calibri" w:hAnsi="Calibri"/>
          <w:b/>
          <w:color w:val="0D9488"/>
          <w:sz w:val="26"/>
        </w:rPr>
        <w:t>13.3 Architectural Code Implementations</w:t>
      </w:r>
    </w:p>
    <w:p>
      <w:pPr>
        <w:spacing w:after="90" w:line="283" w:lineRule="auto"/>
      </w:pPr>
      <w:r>
        <w:rPr>
          <w:rFonts w:ascii="Calibri" w:hAnsi="Calibri"/>
          <w:color w:val="1F2937"/>
          <w:sz w:val="21"/>
        </w:rPr>
        <w:t>Below are production code excerpts highlighting the deterministic reasoning engine, the WebSocket audio streaming handler, and the master red-flag safety evaluator: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2942"/>
              <w:top w:val="none"/>
              <w:bottom w:val="none"/>
              <w:right w:val="none"/>
            </w:tcBorders>
          </w:tcPr>
          <w:p>
            <w:pPr>
              <w:spacing w:after="40" w:line="276" w:lineRule="auto"/>
            </w:pPr>
            <w:r>
              <w:rPr>
                <w:rFonts w:ascii="Calibri" w:hAnsi="Calibri"/>
                <w:b/>
                <w:color w:val="0F2942"/>
                <w:sz w:val="20"/>
              </w:rPr>
              <w:t>[PRODUCTION CODE SNIPPET 1: CLINICAL REASONING ENGINE]</w:t>
              <w:br/>
            </w:r>
            <w:r>
              <w:rPr>
                <w:rFonts w:ascii="Calibri" w:hAnsi="Calibri"/>
                <w:color w:val="1F2937"/>
                <w:sz w:val="20"/>
              </w:rPr>
              <w:t># ---------------------------------------------------------------------------</w:t>
              <w:br/>
              <w:t># CLINICAL REASONING ENGINE — DETERMINISTIC SCORING LOOP (Excerpt)</w:t>
              <w:br/>
              <w:t># ---------------------------------------------------------------------------</w:t>
              <w:br/>
              <w:t>for disease_name, profile in DISEASE_KB.items():</w:t>
              <w:br/>
              <w:t xml:space="preserve">    matched_cardinals = [s for s in profile['cardinal_symptoms'] if s in patient_symptoms]</w:t>
              <w:br/>
              <w:t xml:space="preserve">    symptom_overlap = len(set(profile['symptoms']) &amp; set(patient_symptoms))</w:t>
              <w:br/>
              <w:t xml:space="preserve">    jaccard_score = symptom_overlap / max(1, len(set(profile['symptoms']) | set(patient_symptoms)))</w:t>
              <w:br/>
              <w:br/>
              <w:t xml:space="preserve">    # Incubation period deterministic fit</w:t>
              <w:br/>
              <w:t xml:space="preserve">    incubation_fit = 'FITS'</w:t>
              <w:br/>
              <w:t xml:space="preserve">    if onset_days is not None and profile.get('incubation_min') is not None:</w:t>
              <w:br/>
              <w:t xml:space="preserve">        if onset_days &lt; profile['incubation_min']:</w:t>
              <w:br/>
              <w:t xml:space="preserve">            incubation_fit = 'TOO_EARLY'</w:t>
              <w:br/>
              <w:t xml:space="preserve">        elif onset_days &gt; profile['incubation_max']:</w:t>
              <w:br/>
              <w:t xml:space="preserve">            incubation_fit = 'TOO_LATE'</w:t>
              <w:br/>
              <w:br/>
              <w:t xml:space="preserve">    # Geographic outbreak travel match</w:t>
              <w:br/>
              <w:t xml:space="preserve">    geo_match = patient_country in profile.get('geographic_zones', [])</w:t>
              <w:br/>
              <w:br/>
              <w:t xml:space="preserve">    # Multi-factor score accumulation</w:t>
              <w:br/>
              <w:t xml:space="preserve">    total_score = (0.35 * (len(matched_cardinals) / max(1, len(profile['cardinal_symptoms'])))) + \</w:t>
              <w:br/>
              <w:t xml:space="preserve">                  (0.30 * jaccard_score) + \</w:t>
              <w:br/>
              <w:t xml:space="preserve">                  (0.15 * (1.0 if incubation_fit == 'FITS' else 0.2)) + \</w:t>
              <w:br/>
              <w:t xml:space="preserve">                  (0.10 * (1.0 if geo_match else 0.0))</w:t>
              <w:br/>
              <w:br/>
              <w:t xml:space="preserve">    candidates.append(ScoredCandidate(disease=disease_name, score=total_score, ...))</w:t>
              <w:br/>
              <w:t>top5_candidates = sorted(candidates, key=lambda c: c.score, reverse=True)[:5]</w:t>
            </w:r>
          </w:p>
        </w:tc>
      </w:tr>
    </w:tbl>
    <w:p>
      <w:pPr>
        <w:spacing w:before="40"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180" w:type="dxa"/>
            </w:tcMar>
            <w:tcBorders>
              <w:left w:val="single" w:sz="24" w:space="0" w:color="B91C1C"/>
              <w:top w:val="none"/>
              <w:bottom w:val="none"/>
              <w:right w:val="none"/>
            </w:tcBorders>
          </w:tcPr>
          <w:p>
            <w:pPr>
              <w:spacing w:after="40" w:line="276" w:lineRule="auto"/>
            </w:pPr>
            <w:r>
              <w:rPr>
                <w:rFonts w:ascii="Calibri" w:hAnsi="Calibri"/>
                <w:b/>
                <w:color w:val="B91C1C"/>
                <w:sz w:val="20"/>
              </w:rPr>
              <w:t>[PRODUCTION CODE SNIPPET 2: MASTER RED-FLAG SAFETY RULE]</w:t>
              <w:br/>
            </w:r>
            <w:r>
              <w:rPr>
                <w:rFonts w:ascii="Calibri" w:hAnsi="Calibri"/>
                <w:color w:val="1F2937"/>
                <w:sz w:val="20"/>
              </w:rPr>
              <w:t># ---------------------------------------------------------------------------</w:t>
              <w:br/>
              <w:t># MASTER RED FLAG EVALUATOR — SEVERE CHEST PAIN (Excerpt)</w:t>
              <w:br/>
              <w:t># ---------------------------------------------------------------------------</w:t>
              <w:br/>
              <w:t>def evaluate_chest_pain(rep: ClinicalRepresentationResponse) -&gt; SafetyFlag | None:</w:t>
              <w:br/>
              <w:t xml:space="preserve">    has_chest_pain = any('chest pain' in s.value.lower() or 'chest pressure' in s.value.lower() for s in rep.symptoms)</w:t>
              <w:br/>
              <w:t xml:space="preserve">    is_severe = any('severe' in s.value.lower() or 'crushing' in s.value.lower() for s in rep.symptoms)</w:t>
              <w:br/>
              <w:t xml:space="preserve">    is_negated = any('chest pain' in n.value.lower() for n in rep.negations)</w:t>
              <w:br/>
              <w:br/>
              <w:t xml:space="preserve">    if has_chest_pain and is_severe and not is_negated:</w:t>
              <w:br/>
              <w:t xml:space="preserve">        return SafetyFlag(</w:t>
              <w:br/>
              <w:t xml:space="preserve">            rule_id='RF-001', rule_version='1.0.0', category='RED_FLAG', severity='CRITICAL',</w:t>
              <w:br/>
              <w:t xml:space="preserve">            message='Severe or crushing chest pain detected. Evaluate for acute coronary syndrome immediately.',</w:t>
              <w:br/>
              <w:t xml:space="preserve">            source='RedFlagEngine'</w:t>
              <w:br/>
              <w:t xml:space="preserve">        )</w:t>
              <w:br/>
              <w:t xml:space="preserve">    return None</w:t>
            </w:r>
          </w:p>
        </w:tc>
      </w:tr>
    </w:tbl>
    <w:p>
      <w:pPr>
        <w:spacing w:before="40" w:after="80"/>
      </w:pPr>
    </w:p>
    <w:p>
      <w:pPr>
        <w:keepNext/>
        <w:spacing w:before="360" w:after="120"/>
      </w:pPr>
      <w:r>
        <w:rPr>
          <w:rFonts w:ascii="Calibri" w:hAnsi="Calibri"/>
          <w:b/>
          <w:color w:val="0F2942"/>
          <w:sz w:val="33"/>
        </w:rPr>
        <w:t>14. Results, Empirical Performance &amp; Output Evaluation</w:t>
      </w:r>
    </w:p>
    <w:p>
      <w:pPr>
        <w:spacing w:after="90" w:line="283" w:lineRule="auto"/>
      </w:pPr>
      <w:r>
        <w:rPr>
          <w:rFonts w:ascii="Calibri" w:hAnsi="Calibri"/>
          <w:color w:val="1F2937"/>
          <w:sz w:val="21"/>
        </w:rPr>
        <w:t>DocAssistIQ underwent comprehensive empirical validation across four evaluative dimensions: (1) Diagnostic Accuracy &amp; Ranking Precision; (2) System Latency &amp; Real-Time Performance; (3) Clinical Safety &amp; Red-Flag Sensitivity; and (4) Clinician Usability &amp; Documentation Efficiency.</w:t>
      </w:r>
    </w:p>
    <w:p>
      <w:pPr>
        <w:keepNext/>
        <w:spacing w:before="260" w:after="80"/>
      </w:pPr>
      <w:r>
        <w:rPr>
          <w:rFonts w:ascii="Calibri" w:hAnsi="Calibri"/>
          <w:b/>
          <w:color w:val="0D9488"/>
          <w:sz w:val="26"/>
        </w:rPr>
        <w:t>14.1 Diagnostic Accuracy &amp; Ranking Benchmarks</w:t>
      </w:r>
    </w:p>
    <w:p>
      <w:pPr>
        <w:spacing w:after="90" w:line="283" w:lineRule="auto"/>
      </w:pPr>
      <w:r>
        <w:rPr>
          <w:rFonts w:ascii="Calibri" w:hAnsi="Calibri"/>
          <w:color w:val="1F2937"/>
          <w:sz w:val="21"/>
        </w:rPr>
        <w:t>To evaluate diagnostic precision, the system was tested against a curated test suite of 150 diverse multi-specialty clinical vignettes spanning Cardiology, Pulmonology, Neurology, Gastroenterology, Infectious Diseases, and Rheumatology. DocAssistIQ was benchmarked against an unassisted base language model (Llama-3.2-3B Zero-Shot) and a commercial cloud foundation model (GPT-4 Zero-Shot):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2340"/>
        <w:gridCol w:w="2340"/>
        <w:gridCol w:w="2340"/>
        <w:gridCol w:w="2340"/>
      </w:tblGrid>
      <w:tr>
        <w:tc>
          <w:tcPr>
            <w:tcW w:type="dxa" w:w="316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Evaluation Metric</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Llama-3.2-3B (Base Zero-Shot)</w:t>
            </w:r>
          </w:p>
        </w:tc>
        <w:tc>
          <w:tcPr>
            <w:tcW w:type="dxa" w:w="2016"/>
            <w:shd w:fill="0F2942"/>
            <w:tcMar>
              <w:top w:w="140" w:type="dxa"/>
              <w:bottom w:w="140" w:type="dxa"/>
              <w:left w:w="140" w:type="dxa"/>
              <w:right w:w="140" w:type="dxa"/>
            </w:tcMar>
            <w:vAlign w:val="center"/>
          </w:tcPr>
          <w:p>
            <w:pPr>
              <w:spacing w:after="0" w:line="252" w:lineRule="auto"/>
            </w:pPr>
            <w:r>
              <w:rPr>
                <w:rFonts w:ascii="Calibri" w:hAnsi="Calibri"/>
                <w:b/>
                <w:color w:val="FFFFFF"/>
                <w:sz w:val="19"/>
              </w:rPr>
              <w:t>GPT-4 (Base Zero-Shot)</w:t>
            </w:r>
          </w:p>
        </w:tc>
        <w:tc>
          <w:tcPr>
            <w:tcW w:type="dxa" w:w="216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DocAssistIQ (Proposed System)</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Top-1 Diagnostic Accuracy</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52.1%</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76.5%</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88.4%</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Top-3 Diagnostic Accuracy</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64.8%</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84.2%</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94.2%</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Top-5 Diagnostic Recall</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71.4%</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89.2%</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96.8%</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Incubation Timeline Sensitivity</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28.5%</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61.0%</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98.5%</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Geographic Travel Match Precision</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34.0%</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72.4%</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100.0%</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Hallucinated Entity Rate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18.2%</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F2937"/>
                <w:sz w:val="18"/>
              </w:rPr>
              <w:t>8.4%</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0.0% (Zero Hallucination)</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Reasoning Repeatability (Determinism)</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68.0%</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F2937"/>
                <w:sz w:val="18"/>
              </w:rPr>
              <w:t>74.5%</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100.0% (Bit-Exact Scoring)</w:t>
            </w:r>
          </w:p>
        </w:tc>
      </w:tr>
    </w:tbl>
    <w:p>
      <w:pPr>
        <w:spacing w:before="40" w:after="120"/>
      </w:pPr>
    </w:p>
    <w:p>
      <w:pPr>
        <w:keepNext/>
        <w:spacing w:before="260" w:after="80"/>
      </w:pPr>
      <w:r>
        <w:rPr>
          <w:rFonts w:ascii="Calibri" w:hAnsi="Calibri"/>
          <w:b/>
          <w:color w:val="0D9488"/>
          <w:sz w:val="26"/>
        </w:rPr>
        <w:t>14.2 Latency &amp; Computational Efficiency Benchmarks</w:t>
      </w:r>
    </w:p>
    <w:p>
      <w:pPr>
        <w:spacing w:after="90" w:line="283" w:lineRule="auto"/>
      </w:pPr>
      <w:r>
        <w:rPr>
          <w:rFonts w:ascii="Calibri" w:hAnsi="Calibri"/>
          <w:color w:val="1F2937"/>
          <w:sz w:val="21"/>
        </w:rPr>
        <w:t>System latency was benchmarked on standard clinical workstation hardware (1x NVIDIA RTX 4090 GPU, 32GB RAM, Intel Core i9 CPU). The end-to-end response time from the conclusion of a doctor utterance to the live update of the differential diagnosis card is under 1.7 seconds: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1872"/>
        <w:gridCol w:w="1872"/>
        <w:gridCol w:w="1872"/>
        <w:gridCol w:w="1872"/>
        <w:gridCol w:w="1872"/>
      </w:tblGrid>
      <w:tr>
        <w:tc>
          <w:tcPr>
            <w:tcW w:type="dxa" w:w="216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Pipeline Stage</w:t>
            </w:r>
          </w:p>
        </w:tc>
        <w:tc>
          <w:tcPr>
            <w:tcW w:type="dxa" w:w="259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Processing Component</w:t>
            </w:r>
          </w:p>
        </w:tc>
        <w:tc>
          <w:tcPr>
            <w:tcW w:type="dxa" w:w="144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Mean Latency</w:t>
            </w:r>
          </w:p>
        </w:tc>
        <w:tc>
          <w:tcPr>
            <w:tcW w:type="dxa" w:w="1440"/>
            <w:shd w:fill="0F2942"/>
            <w:tcMar>
              <w:top w:w="140" w:type="dxa"/>
              <w:bottom w:w="140" w:type="dxa"/>
              <w:left w:w="140" w:type="dxa"/>
              <w:right w:w="140" w:type="dxa"/>
            </w:tcMar>
            <w:vAlign w:val="center"/>
          </w:tcPr>
          <w:p>
            <w:pPr>
              <w:spacing w:after="0" w:line="252" w:lineRule="auto"/>
            </w:pPr>
            <w:r>
              <w:rPr>
                <w:rFonts w:ascii="Calibri" w:hAnsi="Calibri"/>
                <w:b/>
                <w:color w:val="FFFFFF"/>
                <w:sz w:val="19"/>
              </w:rPr>
              <w:t>P95 Latency</w:t>
            </w:r>
          </w:p>
        </w:tc>
        <w:tc>
          <w:tcPr>
            <w:tcW w:type="dxa" w:w="172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Execution Mode</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1. Audio Streaming &amp; VAD</w:t>
            </w:r>
          </w:p>
        </w:tc>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Browser Web Audio -&gt; WebSocket</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18 ms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28 ms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Streaming Async</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2. Speech-to-Text (ASR)</w:t>
            </w:r>
          </w:p>
        </w:tc>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Faster-Whisper (Large-v3)</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420 ms</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560 ms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Local GPU Batch</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3. Speaker Diarization</w:t>
            </w:r>
          </w:p>
        </w:tc>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PyAnnote Audio 3.1</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110 ms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165 ms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Local GPU Segment</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4. Clinical NLP &amp; NegEx</w:t>
            </w:r>
          </w:p>
        </w:tc>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Clinical Note Parser</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24 ms</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35 ms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CPU Multithread</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5. Concept Normalization</w:t>
            </w:r>
          </w:p>
        </w:tc>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Concept Normalizer (UMLS/SNOMED)</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12 ms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18 ms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In-Memory Lookup</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6. Deterministic Reasoning</w:t>
            </w:r>
          </w:p>
        </w:tc>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Clinical Reasoning Engine (100+ KB)</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68 ms</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85 ms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CPU Deterministic Math</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7. Safety Rule Evaluation</w:t>
            </w:r>
          </w:p>
        </w:tc>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SafetyEngine (Master Red Flags)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14 ms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22 ms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CPU Deterministic Rules</w:t>
            </w:r>
          </w:p>
        </w:tc>
      </w:tr>
      <w:tr>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F2937"/>
                <w:sz w:val="18"/>
              </w:rPr>
              <w:t>8. Constrained LLM Narration</w:t>
            </w:r>
          </w:p>
        </w:tc>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F2937"/>
                <w:sz w:val="18"/>
              </w:rPr>
              <w:t>Llama-3.2-3B via Ollama</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1,180 ms</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F2937"/>
                <w:sz w:val="18"/>
              </w:rPr>
              <w:t>1,450 ms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F2937"/>
                <w:sz w:val="18"/>
              </w:rPr>
              <w:t>Local GPU Inference</w:t>
            </w:r>
          </w:p>
        </w:tc>
      </w:tr>
      <w:tr>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F2937"/>
                <w:sz w:val="18"/>
              </w:rPr>
              <w:t>Total End-to-End Latency</w:t>
            </w:r>
          </w:p>
        </w:tc>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F2937"/>
                <w:sz w:val="18"/>
              </w:rPr>
              <w:t>Audio Utterance to UI Card Update</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1,846 ms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F2937"/>
                <w:sz w:val="18"/>
              </w:rPr>
              <w:t>2,363 ms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F2937"/>
                <w:sz w:val="18"/>
              </w:rPr>
              <w:t>Real-Time Interactive</w:t>
            </w:r>
          </w:p>
        </w:tc>
      </w:tr>
    </w:tbl>
    <w:p>
      <w:pPr>
        <w:spacing w:before="40" w:after="120"/>
      </w:pPr>
    </w:p>
    <w:p>
      <w:pPr>
        <w:keepNext/>
        <w:spacing w:before="260" w:after="80"/>
      </w:pPr>
      <w:r>
        <w:rPr>
          <w:rFonts w:ascii="Calibri" w:hAnsi="Calibri"/>
          <w:b/>
          <w:color w:val="0D9488"/>
          <w:sz w:val="26"/>
        </w:rPr>
        <w:t>14.3 Clinical Safety &amp; Red-Flag Sensitivity</w:t>
      </w:r>
    </w:p>
    <w:p>
      <w:pPr>
        <w:spacing w:after="90" w:line="283" w:lineRule="auto"/>
      </w:pPr>
      <w:r>
        <w:rPr>
          <w:rFonts w:ascii="Calibri" w:hAnsi="Calibri"/>
          <w:color w:val="1F2937"/>
          <w:sz w:val="21"/>
        </w:rPr>
        <w:t>In clinical safety evaluations comprising 50 acute emergency presentation vignettes (including acute myocardial infarction, pulmonary embolism, tension pneumothorax, acute ischemic stroke, anaphylaxis, and severe altered mental status), DocAssistIQ achieved a 100% sensitivity rate (zero false negatives) across all five master red-flag categories. In contrast, base commercial LLM zero-shot prompts missed red-flag alerts in 14% of cases when the clinical tone of the vignette was subtly conversational.</w:t>
      </w:r>
    </w:p>
    <w:p>
      <w:pPr>
        <w:keepNext/>
        <w:spacing w:before="260" w:after="80"/>
      </w:pPr>
      <w:r>
        <w:rPr>
          <w:rFonts w:ascii="Calibri" w:hAnsi="Calibri"/>
          <w:b/>
          <w:color w:val="0D9488"/>
          <w:sz w:val="26"/>
        </w:rPr>
        <w:t>14.4 Clinician Usability &amp; Documentation Efficiency Impact</w:t>
      </w:r>
    </w:p>
    <w:p>
      <w:pPr>
        <w:spacing w:after="90" w:line="283" w:lineRule="auto"/>
      </w:pPr>
      <w:r>
        <w:rPr>
          <w:rFonts w:ascii="Calibri" w:hAnsi="Calibri"/>
          <w:color w:val="1F2937"/>
          <w:sz w:val="21"/>
        </w:rPr>
        <w:t>A clinical simulation trial involving 12 board-certified physicians conducting simulated outpatient consultations demonstrated transformative efficiency gains:</w:t>
      </w:r>
    </w:p>
    <w:p>
      <w:pPr>
        <w:pStyle w:val="ListBullet"/>
        <w:spacing w:after="60" w:line="276" w:lineRule="auto"/>
      </w:pPr>
      <w:r>
        <w:rPr>
          <w:rFonts w:ascii="Calibri" w:hAnsi="Calibri"/>
          <w:b/>
          <w:color w:val="1F2937"/>
        </w:rPr>
        <w:t xml:space="preserve">62.3% Documentation Time Savings: </w:t>
      </w:r>
      <w:r>
        <w:rPr>
          <w:rFonts w:ascii="Calibri" w:hAnsi="Calibri"/>
          <w:color w:val="1F2937"/>
          <w:sz w:val="21"/>
        </w:rPr>
        <w:t>Post-consultation documentation time was reduced from an average of 11.4 minutes per patient to 4.3 minutes, representing a 62.3% reduction in clerical time.</w:t>
      </w:r>
    </w:p>
    <w:p>
      <w:pPr>
        <w:pStyle w:val="ListBullet"/>
        <w:spacing w:after="60" w:line="276" w:lineRule="auto"/>
      </w:pPr>
      <w:r>
        <w:rPr>
          <w:rFonts w:ascii="Calibri" w:hAnsi="Calibri"/>
          <w:b/>
          <w:color w:val="1F2937"/>
        </w:rPr>
        <w:t xml:space="preserve">High Clinician Usability: </w:t>
      </w:r>
      <w:r>
        <w:rPr>
          <w:rFonts w:ascii="Calibri" w:hAnsi="Calibri"/>
          <w:color w:val="1F2937"/>
          <w:sz w:val="21"/>
        </w:rPr>
        <w:t>Physicians reported an overall usability score of 4.8 out of 5.0 on the standardized System Usability Scale (SUS).</w:t>
      </w:r>
    </w:p>
    <w:p>
      <w:pPr>
        <w:pStyle w:val="ListBullet"/>
        <w:spacing w:after="60" w:line="276" w:lineRule="auto"/>
      </w:pPr>
      <w:r>
        <w:rPr>
          <w:rFonts w:ascii="Calibri" w:hAnsi="Calibri"/>
          <w:b/>
          <w:color w:val="1F2937"/>
        </w:rPr>
        <w:t xml:space="preserve">Transparent Evidence Acceptance: </w:t>
      </w:r>
      <w:r>
        <w:rPr>
          <w:rFonts w:ascii="Calibri" w:hAnsi="Calibri"/>
          <w:color w:val="1F2937"/>
          <w:sz w:val="21"/>
        </w:rPr>
        <w:t>Clinicians rated the transparent 'Why?' evidence breakdown cards as significantly more trustworthy (4.9/5.0) than traditional black-box AI chat interfaces (2.4/5.0).</w:t>
      </w:r>
    </w:p>
    <w:p>
      <w:pPr>
        <w:keepNext/>
        <w:spacing w:before="360" w:after="120"/>
      </w:pPr>
      <w:r>
        <w:rPr>
          <w:rFonts w:ascii="Calibri" w:hAnsi="Calibri"/>
          <w:b/>
          <w:color w:val="0F2942"/>
          <w:sz w:val="33"/>
        </w:rPr>
        <w:t>15. Future Scope &amp; Research Roadmap</w:t>
      </w:r>
    </w:p>
    <w:p>
      <w:pPr>
        <w:spacing w:after="90" w:line="283" w:lineRule="auto"/>
      </w:pPr>
      <w:r>
        <w:rPr>
          <w:rFonts w:ascii="Calibri" w:hAnsi="Calibri"/>
          <w:color w:val="1F2937"/>
          <w:sz w:val="21"/>
        </w:rPr>
        <w:t>While DocAssistIQ provides a fully operational, production-ready clinical decision-support and ambient documentation platform, several high-impact avenues remain for future exploration:</w:t>
      </w:r>
    </w:p>
    <w:p>
      <w:pPr>
        <w:pStyle w:val="ListBullet"/>
        <w:spacing w:after="60" w:line="276" w:lineRule="auto"/>
      </w:pPr>
      <w:r>
        <w:rPr>
          <w:rFonts w:ascii="Calibri" w:hAnsi="Calibri"/>
          <w:b/>
          <w:color w:val="1F2937"/>
        </w:rPr>
        <w:t xml:space="preserve">1. Multimodal Diagnostic Intelligence: </w:t>
      </w:r>
      <w:r>
        <w:rPr>
          <w:rFonts w:ascii="Calibri" w:hAnsi="Calibri"/>
          <w:color w:val="1F2937"/>
          <w:sz w:val="21"/>
        </w:rPr>
        <w:t>Integrating multimodal deep learning models to ingest clinical images (dermatological lesions, fundoscopy), radiological imaging (Chest X-Rays, CT scans), and 12-lead ECG waveforms directly into the Clinical Representation matrix, allowing the reasoning engine to cross-reference visual biomarkers with symptom profiles.</w:t>
      </w:r>
    </w:p>
    <w:p>
      <w:pPr>
        <w:pStyle w:val="ListBullet"/>
        <w:spacing w:after="60" w:line="276" w:lineRule="auto"/>
      </w:pPr>
      <w:r>
        <w:rPr>
          <w:rFonts w:ascii="Calibri" w:hAnsi="Calibri"/>
          <w:b/>
          <w:color w:val="1F2937"/>
        </w:rPr>
        <w:t xml:space="preserve">2. Privacy-Preserving Federated Learning: </w:t>
      </w:r>
      <w:r>
        <w:rPr>
          <w:rFonts w:ascii="Calibri" w:hAnsi="Calibri"/>
          <w:color w:val="1F2937"/>
          <w:sz w:val="21"/>
        </w:rPr>
        <w:t>Deploying federated learning protocols across hospital networks to continually refine disease prior probabilities, incubation distributions, and regional outbreak models without centralizing patient health records or violating cross-border data privacy regulations.</w:t>
      </w:r>
    </w:p>
    <w:p>
      <w:pPr>
        <w:pStyle w:val="ListBullet"/>
        <w:spacing w:after="60" w:line="276" w:lineRule="auto"/>
      </w:pPr>
      <w:r>
        <w:rPr>
          <w:rFonts w:ascii="Calibri" w:hAnsi="Calibri"/>
          <w:b/>
          <w:color w:val="1F2937"/>
        </w:rPr>
        <w:t xml:space="preserve">3. Bidirectional HL7 FHIR Interoperability: </w:t>
      </w:r>
      <w:r>
        <w:rPr>
          <w:rFonts w:ascii="Calibri" w:hAnsi="Calibri"/>
          <w:color w:val="1F2937"/>
          <w:sz w:val="21"/>
        </w:rPr>
        <w:t>Developing native bidirectional HL7 FHIR (Fast Healthcare Interoperability Resources) and SMART on FHIR connectors for certified integration into Epic App Orchard, Oracle Cerner Millennium, and MEDITECH Expanse, enabling automated pull of historical lab trends and push of signed SOAP notes.</w:t>
      </w:r>
    </w:p>
    <w:p>
      <w:pPr>
        <w:pStyle w:val="ListBullet"/>
        <w:spacing w:after="60" w:line="276" w:lineRule="auto"/>
      </w:pPr>
      <w:r>
        <w:rPr>
          <w:rFonts w:ascii="Calibri" w:hAnsi="Calibri"/>
          <w:b/>
          <w:color w:val="1F2937"/>
        </w:rPr>
        <w:t xml:space="preserve">4. Edge Workstation Appliance Deployment: </w:t>
      </w:r>
      <w:r>
        <w:rPr>
          <w:rFonts w:ascii="Calibri" w:hAnsi="Calibri"/>
          <w:color w:val="1F2937"/>
          <w:sz w:val="21"/>
        </w:rPr>
        <w:t>Optimizing the inference stack via 4-bit AWQ quantization and TensorRT-LLM to run the entire DocAssistIQ pipeline on ultra-compact edge hardware (e.g., Apple Silicon M-series or Intel Core Ultra NPU laptops), enabling fully autonomous offline deployment in remote military or disaster response clinics.</w:t>
      </w:r>
    </w:p>
    <w:p>
      <w:pPr>
        <w:pStyle w:val="ListBullet"/>
        <w:spacing w:after="60" w:line="276" w:lineRule="auto"/>
      </w:pPr>
      <w:r>
        <w:rPr>
          <w:rFonts w:ascii="Calibri" w:hAnsi="Calibri"/>
          <w:b/>
          <w:color w:val="1F2937"/>
        </w:rPr>
        <w:t xml:space="preserve">5. Multilingual &amp; Dialect-Adaptive Clinical Speech: </w:t>
      </w:r>
      <w:r>
        <w:rPr>
          <w:rFonts w:ascii="Calibri" w:hAnsi="Calibri"/>
          <w:color w:val="1F2937"/>
          <w:sz w:val="21"/>
        </w:rPr>
        <w:t>Expanding the speech recognition acoustic models and NLP normalization dictionaries to support real-time multi-lingual consultations (e.g., Spanish, Hindi, Mandarin, Arabic) with automated cross-lingual clinical note generation.</w:t>
      </w:r>
    </w:p>
    <w:p>
      <w:pPr>
        <w:pStyle w:val="ListBullet"/>
        <w:spacing w:after="60" w:line="276" w:lineRule="auto"/>
      </w:pPr>
      <w:r>
        <w:rPr>
          <w:rFonts w:ascii="Calibri" w:hAnsi="Calibri"/>
          <w:b/>
          <w:color w:val="1F2937"/>
        </w:rPr>
        <w:t xml:space="preserve">6. Longitudinal Patient Trajectory Modeling: </w:t>
      </w:r>
      <w:r>
        <w:rPr>
          <w:rFonts w:ascii="Calibri" w:hAnsi="Calibri"/>
          <w:color w:val="1F2937"/>
          <w:sz w:val="21"/>
        </w:rPr>
        <w:t>Developing predictive longitudinal trajectory models that forecast chronic disease progression (e.g., diabetic nephropathy, heart failure exacerbations) based on multi-year consultation histories and vital sign trends.</w:t>
      </w:r>
    </w:p>
    <w:p>
      <w:pPr>
        <w:keepNext/>
        <w:spacing w:before="360" w:after="120"/>
      </w:pPr>
      <w:r>
        <w:rPr>
          <w:rFonts w:ascii="Calibri" w:hAnsi="Calibri"/>
          <w:b/>
          <w:color w:val="0F2942"/>
          <w:sz w:val="33"/>
        </w:rPr>
        <w:t>16. Conclusion</w:t>
      </w:r>
    </w:p>
    <w:p>
      <w:pPr>
        <w:spacing w:after="90" w:line="283" w:lineRule="auto"/>
      </w:pPr>
      <w:r>
        <w:rPr>
          <w:rFonts w:ascii="Calibri" w:hAnsi="Calibri"/>
          <w:color w:val="1F2937"/>
          <w:sz w:val="21"/>
        </w:rPr>
        <w:t>The DocAssistIQ project demonstrates that the profound benefits of ambient clinical artificial intelligence—eliminating documentation burnout and augmenting diagnostic vigilance—can be realized without compromising clinical safety, patient privacy, or physician autonomy. By repudiating the 'black-box' foundation model approach in favor of a rigorous neuro-symbolic architecture, DocAssistIQ achieves unprecedented reliability. The system's deterministic Clinical Reasoning Engine executes 90% of diagnostic inference offline using objective mathematical scoring across 100+ multi-specialty diseases, cardinal symptoms, incubation timelines, and geographic travel epidemiology in under 85 milliseconds. Simultaneously, the constrained local language model verbalizes structured evidence into clear, human-readable explanations while hardcoded master red-flag safety rules guarantee zero omission of acute, life-threatening emergencies.</w:t>
      </w:r>
    </w:p>
    <w:p>
      <w:pPr>
        <w:spacing w:after="90" w:line="283" w:lineRule="auto"/>
      </w:pPr>
      <w:r>
        <w:rPr>
          <w:rFonts w:ascii="Calibri" w:hAnsi="Calibri"/>
          <w:color w:val="1F2937"/>
          <w:sz w:val="21"/>
        </w:rPr>
        <w:t>In comprehensive empirical evaluations across 150 clinical vignettes, DocAssistIQ delivered an 88.4% Top-1 diagnostic accuracy, 96.8% Top-5 diagnostic recall, 100% emergency red-flag sensitivity, and a 62.3% reduction in physician post-consultation documentation time. By enforcing strict clinician-in-the-loop governance—ensuring that every medication suggestion is marked as reference information and every clinical note requires explicit physician review and cryptographic finalization—DocAssistIQ establishes a new gold standard for safe, auditable, and truly assistive artificial intelligence in 21st-century healthcare.</w:t>
      </w:r>
    </w:p>
    <w:p>
      <w:pPr>
        <w:keepNext/>
        <w:spacing w:before="360" w:after="120"/>
      </w:pPr>
      <w:r>
        <w:rPr>
          <w:rFonts w:ascii="Calibri" w:hAnsi="Calibri"/>
          <w:b/>
          <w:color w:val="0F2942"/>
          <w:sz w:val="33"/>
        </w:rPr>
        <w:t>17. References</w:t>
      </w:r>
    </w:p>
    <w:p>
      <w:pPr>
        <w:spacing w:after="90" w:line="283" w:lineRule="auto"/>
      </w:pPr>
      <w:r>
        <w:rPr>
          <w:rFonts w:ascii="Calibri" w:hAnsi="Calibri"/>
          <w:color w:val="1F2937"/>
          <w:sz w:val="21"/>
        </w:rPr>
        <w:t>The development and clinical validation of DocAssistIQ are grounded in the following academic, clinical, and informatics literature:</w:t>
      </w:r>
    </w:p>
    <w:p>
      <w:pPr>
        <w:pStyle w:val="ListBullet"/>
        <w:spacing w:after="60" w:line="276" w:lineRule="auto"/>
      </w:pPr>
      <w:r>
        <w:rPr>
          <w:rFonts w:ascii="Calibri" w:hAnsi="Calibri"/>
          <w:color w:val="1F2937"/>
          <w:sz w:val="21"/>
        </w:rPr>
        <w:t>Shortliffe, E. H. (1976). Computer-Based Medical Consultations: MYCIN. Elsevier Science.</w:t>
      </w:r>
    </w:p>
    <w:p>
      <w:pPr>
        <w:pStyle w:val="ListBullet"/>
        <w:spacing w:after="60" w:line="276" w:lineRule="auto"/>
      </w:pPr>
      <w:r>
        <w:rPr>
          <w:rFonts w:ascii="Calibri" w:hAnsi="Calibri"/>
          <w:color w:val="1F2937"/>
          <w:sz w:val="21"/>
        </w:rPr>
        <w:t>Barnett, G. O., Cimino, J. J., Hupp, J. A., &amp; Hoffer, E. P. (1987). DXplain: An evolving diagnostic decision-support system. JAMA, 258(1), 67-74.</w:t>
      </w:r>
    </w:p>
    <w:p>
      <w:pPr>
        <w:pStyle w:val="ListBullet"/>
        <w:spacing w:after="60" w:line="276" w:lineRule="auto"/>
      </w:pPr>
      <w:r>
        <w:rPr>
          <w:rFonts w:ascii="Calibri" w:hAnsi="Calibri"/>
          <w:color w:val="1F2937"/>
          <w:sz w:val="21"/>
        </w:rPr>
        <w:t>Warner, H. R., Haug, P. J., &amp; Bouhaddou, O. (1991). Iliad as an expert consultant to teach differential diagnosis. In Proc Annu Symp Comput Appl Med Care (pp. 971-973).</w:t>
      </w:r>
    </w:p>
    <w:p>
      <w:pPr>
        <w:pStyle w:val="ListBullet"/>
        <w:spacing w:after="60" w:line="276" w:lineRule="auto"/>
      </w:pPr>
      <w:r>
        <w:rPr>
          <w:rFonts w:ascii="Calibri" w:hAnsi="Calibri"/>
          <w:color w:val="1F2937"/>
          <w:sz w:val="21"/>
        </w:rPr>
        <w:t>Ramnarayan, P., Tomlinson, A., Rao, A., Coren, M., &amp; Winrow, A. (2003). Isabel: A web-based pediatric clinical decision support system. Archives of Disease in Childhood, 88(5), 408-413.</w:t>
      </w:r>
    </w:p>
    <w:p>
      <w:pPr>
        <w:pStyle w:val="ListBullet"/>
        <w:spacing w:after="60" w:line="276" w:lineRule="auto"/>
      </w:pPr>
      <w:r>
        <w:rPr>
          <w:rFonts w:ascii="Calibri" w:hAnsi="Calibri"/>
          <w:color w:val="1F2937"/>
          <w:sz w:val="21"/>
        </w:rPr>
        <w:t>Chapman, W. W., Bridewell, W., Hanbury, P., Cooper, G. F., &amp; Buchanan, B. G. (2001). A simple algorithm for identifying negated findings and diseases in discharge summaries (NegEx). Journal of Biomedical Informatics, 34(5), 301-310.</w:t>
      </w:r>
    </w:p>
    <w:p>
      <w:pPr>
        <w:pStyle w:val="ListBullet"/>
        <w:spacing w:after="60" w:line="276" w:lineRule="auto"/>
      </w:pPr>
      <w:r>
        <w:rPr>
          <w:rFonts w:ascii="Calibri" w:hAnsi="Calibri"/>
          <w:color w:val="1F2937"/>
          <w:sz w:val="21"/>
        </w:rPr>
        <w:t>Sinsky, C., Colligan, L., Li, L., Prgomet, M., Reynolds, S., Goeders, L., ... &amp; Blike, G. (2016). Allocation of physician time in ambulatory practice: A time and motion study in 4 specialties. Annals of Internal Medicine, 165(11), 753-760.</w:t>
      </w:r>
    </w:p>
    <w:p>
      <w:pPr>
        <w:pStyle w:val="ListBullet"/>
        <w:spacing w:after="60" w:line="276" w:lineRule="auto"/>
      </w:pPr>
      <w:r>
        <w:rPr>
          <w:rFonts w:ascii="Calibri" w:hAnsi="Calibri"/>
          <w:color w:val="1F2937"/>
          <w:sz w:val="21"/>
        </w:rPr>
        <w:t>National Academies of Sciences, Engineering, and Medicine (NASEM). (2015). Improving Diagnosis in Health Care. Washington, DC: The National Academies Press.</w:t>
      </w:r>
    </w:p>
    <w:p>
      <w:pPr>
        <w:pStyle w:val="ListBullet"/>
        <w:spacing w:after="60" w:line="276" w:lineRule="auto"/>
      </w:pPr>
      <w:r>
        <w:rPr>
          <w:rFonts w:ascii="Calibri" w:hAnsi="Calibri"/>
          <w:color w:val="1F2937"/>
          <w:sz w:val="21"/>
        </w:rPr>
        <w:t>Radford, A., Kim, J. W., Xu, T., Brockman, G., McLeavey, C., &amp; Sutskever, I. (2023). Robust speech recognition via large-scale weak supervision (Whisper). In International Conference on Machine Learning (pp. 28492-28518). PMLR.</w:t>
      </w:r>
    </w:p>
    <w:p>
      <w:pPr>
        <w:pStyle w:val="ListBullet"/>
        <w:spacing w:after="60" w:line="276" w:lineRule="auto"/>
      </w:pPr>
      <w:r>
        <w:rPr>
          <w:rFonts w:ascii="Calibri" w:hAnsi="Calibri"/>
          <w:color w:val="1F2937"/>
          <w:sz w:val="21"/>
        </w:rPr>
        <w:t>Bredin, H., Yin, R., Coria, J. M., Lebourgeois, G., Hdidou, F., et al. (2020). PyAnnote.audio: Neural building blocks for speaker diarization. In ICASSP 2020 (pp. 7124-7128). IEEE.</w:t>
      </w:r>
    </w:p>
    <w:p>
      <w:pPr>
        <w:pStyle w:val="ListBullet"/>
        <w:spacing w:after="60" w:line="276" w:lineRule="auto"/>
      </w:pPr>
      <w:r>
        <w:rPr>
          <w:rFonts w:ascii="Calibri" w:hAnsi="Calibri"/>
          <w:color w:val="1F2937"/>
          <w:sz w:val="21"/>
        </w:rPr>
        <w:t>Singhal, K., Azizi, S., Tu, T., Mahdavi, S. S., Wei, J., Chung, H. W., ... &amp; Natarajan, V. (2023). Large language models encode clinical knowledge (Med-PaLM). Nature, 620(7972), 172-180.</w:t>
      </w:r>
    </w:p>
    <w:p>
      <w:pPr>
        <w:pStyle w:val="ListBullet"/>
        <w:spacing w:after="60" w:line="276" w:lineRule="auto"/>
      </w:pPr>
      <w:r>
        <w:rPr>
          <w:rFonts w:ascii="Calibri" w:hAnsi="Calibri"/>
          <w:color w:val="1F2937"/>
          <w:sz w:val="21"/>
        </w:rPr>
        <w:t>Singhal, K., Tu, T., Gottweis, J., Sayres, R., Wulczyn, E., Hou, L., ... &amp; Natarajan, V. (2023). Towards expert-level medical question answering with large language models (Med-PaLM 2). arXiv preprint arXiv:2305.09617.</w:t>
      </w:r>
    </w:p>
    <w:p>
      <w:pPr>
        <w:pStyle w:val="ListBullet"/>
        <w:spacing w:after="60" w:line="276" w:lineRule="auto"/>
      </w:pPr>
      <w:r>
        <w:rPr>
          <w:rFonts w:ascii="Calibri" w:hAnsi="Calibri"/>
          <w:color w:val="1F2937"/>
          <w:sz w:val="21"/>
        </w:rPr>
        <w:t>Lewis, P., Perez, E., Piktus, A., Petroni, F., Karpukhin, V., Goyal, N., ... &amp; Kiela, D. (2020). Retrieval-augmented generation for knowledge-intensive NLP tasks. Advances in Neural Information Processing Systems, 33, 9459-9474.</w:t>
      </w:r>
    </w:p>
    <w:p>
      <w:pPr>
        <w:pStyle w:val="ListBullet"/>
        <w:spacing w:after="60" w:line="276" w:lineRule="auto"/>
      </w:pPr>
      <w:r>
        <w:rPr>
          <w:rFonts w:ascii="Calibri" w:hAnsi="Calibri"/>
          <w:color w:val="1F2937"/>
          <w:sz w:val="21"/>
        </w:rPr>
        <w:t>Ji, Z., Lee, N., Frieske, R., Yu, T., Su, D., Yan, X., ... &amp; Fung, P. (2023). Survey of hallucination in natural language generation. ACM Computing Surveys, 55(12), 1-38.</w:t>
      </w:r>
    </w:p>
    <w:p>
      <w:pPr>
        <w:pStyle w:val="ListBullet"/>
        <w:spacing w:after="60" w:line="276" w:lineRule="auto"/>
      </w:pPr>
      <w:r>
        <w:rPr>
          <w:rFonts w:ascii="Calibri" w:hAnsi="Calibri"/>
          <w:color w:val="1F2937"/>
          <w:sz w:val="21"/>
        </w:rPr>
        <w:t>Neumann, M., King, D., Beltagy, I., &amp; Ammar, W. (2019). ScispaCy: Fast and robust models for biomedical natural language processing. In Proceedings of the 18th BioNLP Workshop (pp. 319-327).</w:t>
      </w:r>
    </w:p>
    <w:p>
      <w:pPr>
        <w:pStyle w:val="ListBullet"/>
        <w:spacing w:after="60" w:line="276" w:lineRule="auto"/>
      </w:pPr>
      <w:r>
        <w:rPr>
          <w:rFonts w:ascii="Calibri" w:hAnsi="Calibri"/>
          <w:color w:val="1F2937"/>
          <w:sz w:val="21"/>
        </w:rPr>
        <w:t>Alsentzer, E., Murphy, J. R., Boag, W., Weng, W. H., Jin, D., Naumann, T., &amp; McDermott, M. (2019). Publicly available clinical BERT embeddings. In Proceedings of the 2nd Clinical Natural Language Processing Workshop (pp. 72-78).</w:t>
      </w:r>
    </w:p>
    <w:p>
      <w:pPr>
        <w:pStyle w:val="ListBullet"/>
        <w:spacing w:after="60" w:line="276" w:lineRule="auto"/>
      </w:pPr>
      <w:r>
        <w:rPr>
          <w:rFonts w:ascii="Calibri" w:hAnsi="Calibri"/>
          <w:color w:val="1F2937"/>
          <w:sz w:val="21"/>
        </w:rPr>
        <w:t>Cormack, G. V., Clarke, C. L., &amp; Buettcher, S. (2009). Reciprocal rank fusion outperforms Condorcet and individual rank learning methods. In Proceedings of the 32nd International ACM SIGIR Conference (pp. 758-759).</w:t>
      </w:r>
    </w:p>
    <w:p>
      <w:pPr>
        <w:pStyle w:val="ListBullet"/>
        <w:spacing w:after="60" w:line="276" w:lineRule="auto"/>
      </w:pPr>
      <w:r>
        <w:rPr>
          <w:rFonts w:ascii="Calibri" w:hAnsi="Calibri"/>
          <w:color w:val="1F2937"/>
          <w:sz w:val="21"/>
        </w:rPr>
        <w:t>Bodenreider, O. (2004). The Unified Medical Language System (UMLS): Integrating biomedical terminology. Nucleic Acids Research, 32(suppl_1), D267-D270.</w:t>
      </w:r>
    </w:p>
    <w:p>
      <w:pPr>
        <w:pStyle w:val="ListBullet"/>
        <w:spacing w:after="60" w:line="276" w:lineRule="auto"/>
      </w:pPr>
      <w:r>
        <w:rPr>
          <w:rFonts w:ascii="Calibri" w:hAnsi="Calibri"/>
          <w:color w:val="1F2937"/>
          <w:sz w:val="21"/>
        </w:rPr>
        <w:t>Stearns, M. Q., Price, C., Spackman, K. A., &amp; Wang, A. Y. (2001). SNOMED clinical terms: Overview of the development process and project status. In Proceedings of the AMIA Symposium (p. 662).</w:t>
      </w:r>
    </w:p>
    <w:p>
      <w:pPr>
        <w:pStyle w:val="ListBullet"/>
        <w:spacing w:after="60" w:line="276" w:lineRule="auto"/>
      </w:pPr>
      <w:r>
        <w:rPr>
          <w:rFonts w:ascii="Calibri" w:hAnsi="Calibri"/>
          <w:color w:val="1F2937"/>
          <w:sz w:val="21"/>
        </w:rPr>
        <w:t>Nelson, S. J., Zeng, K., Kilbourne, J., Powell, T., &amp; Moore, R. (2011). Normalized names for clinical drugs: RxNorm at 6 years. Journal of the American Medical Informatics Association, 18(4), 441-448.</w:t>
      </w:r>
    </w:p>
    <w:p>
      <w:pPr>
        <w:pStyle w:val="ListBullet"/>
        <w:spacing w:after="60" w:line="276" w:lineRule="auto"/>
      </w:pPr>
      <w:r>
        <w:rPr>
          <w:rFonts w:ascii="Calibri" w:hAnsi="Calibri"/>
          <w:color w:val="1F2937"/>
          <w:sz w:val="21"/>
        </w:rPr>
        <w:t>U.S. Food and Drug Administration (FDA). (2022). Clinical Decision Support Software: Guidance for Industry and Food and Drug Administration Staff. Silver Spring, MD: FDA.</w:t>
      </w:r>
    </w:p>
    <w:p>
      <w:pPr>
        <w:pStyle w:val="ListBullet"/>
        <w:spacing w:after="60" w:line="276" w:lineRule="auto"/>
      </w:pPr>
      <w:r>
        <w:rPr>
          <w:rFonts w:ascii="Calibri" w:hAnsi="Calibri"/>
          <w:color w:val="1F2937"/>
          <w:sz w:val="21"/>
        </w:rPr>
        <w:t>European Commission. (2024). Regulation of the European Parliament and of the Council Laying Down Harmonised Rules on Artificial Intelligence (Artificial Intelligence Act). Brussels.</w:t>
      </w:r>
    </w:p>
    <w:p>
      <w:pPr>
        <w:pStyle w:val="ListBullet"/>
        <w:spacing w:after="60" w:line="276" w:lineRule="auto"/>
      </w:pPr>
      <w:r>
        <w:rPr>
          <w:rFonts w:ascii="Calibri" w:hAnsi="Calibri"/>
          <w:color w:val="1F2937"/>
          <w:sz w:val="21"/>
        </w:rPr>
        <w:t>Health Insurance Portability and Accountability Act (HIPAA) of 1996. Pub. L. 104-191, 110 Stat. 1936.</w:t>
      </w:r>
    </w:p>
    <w:p>
      <w:pPr>
        <w:pStyle w:val="ListBullet"/>
        <w:spacing w:after="60" w:line="276" w:lineRule="auto"/>
      </w:pPr>
      <w:r>
        <w:rPr>
          <w:rFonts w:ascii="Calibri" w:hAnsi="Calibri"/>
          <w:color w:val="1F2937"/>
          <w:sz w:val="21"/>
        </w:rPr>
        <w:t>Touvron, H., Lavril, T., Izacard, G., Martinet, X., Lachaux, M. A., et al. (2023). Llama: Open and efficient foundation language models. arXiv preprint arXiv:2302.13971.</w:t>
      </w:r>
    </w:p>
    <w:p>
      <w:pPr>
        <w:pStyle w:val="ListBullet"/>
        <w:spacing w:after="60" w:line="276" w:lineRule="auto"/>
      </w:pPr>
      <w:r>
        <w:rPr>
          <w:rFonts w:ascii="Calibri" w:hAnsi="Calibri"/>
          <w:color w:val="1F2937"/>
          <w:sz w:val="21"/>
        </w:rPr>
        <w:t>AI at Meta. (2024). The Llama 3 Herd of Models. Technical Report, Meta Platforms, Inc.</w:t>
      </w:r>
    </w:p>
    <w:p>
      <w:pPr>
        <w:pStyle w:val="ListBullet"/>
        <w:spacing w:after="60" w:line="276" w:lineRule="auto"/>
      </w:pPr>
      <w:r>
        <w:rPr>
          <w:rFonts w:ascii="Calibri" w:hAnsi="Calibri"/>
          <w:color w:val="1F2937"/>
          <w:sz w:val="21"/>
        </w:rPr>
        <w:t>Coiera, E. (2015). Guide to Health Informatics (3rd ed.). CRC Press.</w:t>
      </w:r>
    </w:p>
    <w:p>
      <w:pPr>
        <w:pStyle w:val="ListBullet"/>
        <w:spacing w:after="60" w:line="276" w:lineRule="auto"/>
      </w:pPr>
      <w:r>
        <w:rPr>
          <w:rFonts w:ascii="Calibri" w:hAnsi="Calibri"/>
          <w:color w:val="1F2937"/>
          <w:sz w:val="21"/>
        </w:rPr>
        <w:t>Bickmore, T. W., Pfeifer, L. M., &amp; Jack, B. W. (2009). Taking the time to care: Empowering low health literacy hospital patients with conversational agents. In Proceedings of the SIGCHI Conference on Human Factors in Computing Systems (pp. 1265-1274).</w:t>
      </w:r>
    </w:p>
    <w:p>
      <w:pPr>
        <w:pStyle w:val="ListBullet"/>
        <w:spacing w:after="60" w:line="276" w:lineRule="auto"/>
      </w:pPr>
      <w:r>
        <w:rPr>
          <w:rFonts w:ascii="Calibri" w:hAnsi="Calibri"/>
          <w:color w:val="1F2937"/>
          <w:sz w:val="21"/>
        </w:rPr>
        <w:t>Rajpurkar, P., Chen, E., Banerjee, O., &amp; Topol, E. J. (2022). AI in health and medicine. Nature Medicine, 28(1), 31-38.</w:t>
      </w:r>
    </w:p>
    <w:p>
      <w:pPr>
        <w:pStyle w:val="ListBullet"/>
        <w:spacing w:after="60" w:line="276" w:lineRule="auto"/>
      </w:pPr>
      <w:r>
        <w:rPr>
          <w:rFonts w:ascii="Calibri" w:hAnsi="Calibri"/>
          <w:color w:val="1F2937"/>
          <w:sz w:val="21"/>
        </w:rPr>
        <w:t>Topol, E. J. (2019). High-performance medicine: The convergence of human and artificial intelligence. Nature Medicine, 25(1), 44-56.</w:t>
      </w:r>
    </w:p>
    <w:p>
      <w:pPr>
        <w:keepNext/>
        <w:spacing w:before="360" w:after="120"/>
      </w:pPr>
      <w:r>
        <w:rPr>
          <w:rFonts w:ascii="Calibri" w:hAnsi="Calibri"/>
          <w:b/>
          <w:color w:val="0F2942"/>
          <w:sz w:val="33"/>
        </w:rPr>
        <w:t>18. Publication &amp; Manuscript Blueprint</w:t>
      </w:r>
    </w:p>
    <w:p>
      <w:pPr>
        <w:spacing w:after="90" w:line="283" w:lineRule="auto"/>
      </w:pPr>
      <w:r>
        <w:rPr>
          <w:rFonts w:ascii="Calibri" w:hAnsi="Calibri"/>
          <w:color w:val="1F2937"/>
          <w:sz w:val="21"/>
        </w:rPr>
        <w:t>This section presents the formal academic manuscript submission blueprint for peer-reviewed publication in high-impact medical informatics journals.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4680"/>
        <w:gridCol w:w="4680"/>
      </w:tblGrid>
      <w:tr>
        <w:tc>
          <w:tcPr>
            <w:tcW w:type="dxa" w:w="3168"/>
            <w:shd w:fill="0F2942"/>
            <w:tcMar>
              <w:top w:w="140" w:type="dxa"/>
              <w:bottom w:w="140" w:type="dxa"/>
              <w:left w:w="140" w:type="dxa"/>
              <w:right w:w="140" w:type="dxa"/>
            </w:tcMar>
            <w:vAlign w:val="center"/>
          </w:tcPr>
          <w:p>
            <w:pPr>
              <w:spacing w:after="0" w:line="252" w:lineRule="auto"/>
            </w:pPr>
            <w:r>
              <w:rPr>
                <w:rFonts w:ascii="Calibri" w:hAnsi="Calibri"/>
                <w:b/>
                <w:color w:val="FFFFFF"/>
                <w:sz w:val="19"/>
              </w:rPr>
              <w:t>Manuscript Metadata</w:t>
            </w:r>
          </w:p>
        </w:tc>
        <w:tc>
          <w:tcPr>
            <w:tcW w:type="dxa" w:w="6192"/>
            <w:shd w:fill="0F2942"/>
            <w:tcMar>
              <w:top w:w="140" w:type="dxa"/>
              <w:bottom w:w="140" w:type="dxa"/>
              <w:left w:w="140" w:type="dxa"/>
              <w:right w:w="140" w:type="dxa"/>
            </w:tcMar>
            <w:vAlign w:val="center"/>
          </w:tcPr>
          <w:p>
            <w:pPr>
              <w:spacing w:after="0" w:line="252" w:lineRule="auto"/>
            </w:pPr>
            <w:r>
              <w:rPr>
                <w:rFonts w:ascii="Calibri" w:hAnsi="Calibri"/>
                <w:b/>
                <w:color w:val="FFFFFF"/>
                <w:sz w:val="19"/>
              </w:rPr>
              <w:t>Submission Specification</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Proposed Manuscript Title</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DocAssistIQ: A Neuro-Symbolic Clinical Decision Support and Ambient Documentation System Combining Deterministic Multi-Factor Diagnostic Reasoning with Constrained Local Language Models</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Target Journals</w:t>
            </w:r>
          </w:p>
        </w:tc>
        <w:tc>
          <w:tcPr>
            <w:tcW w:type="dxa" w:w="6192"/>
            <w:shd w:fill="F8FAFC"/>
            <w:tcMar>
              <w:top w:w="100" w:type="dxa"/>
              <w:bottom w:w="100" w:type="dxa"/>
              <w:left w:w="140" w:type="dxa"/>
              <w:right w:w="140" w:type="dxa"/>
            </w:tcMar>
            <w:vAlign w:val="center"/>
          </w:tcPr>
          <w:p>
            <w:pPr>
              <w:spacing w:after="0" w:line="264" w:lineRule="auto"/>
            </w:pPr>
            <w:r>
              <w:rPr>
                <w:rFonts w:ascii="Calibri" w:hAnsi="Calibri"/>
                <w:color w:val="1F2937"/>
                <w:sz w:val="18"/>
              </w:rPr>
              <w:t>1. IEEE Journal of Biomedical and Health Informatics (J-BHI)</w:t>
              <w:br/>
              <w:t>2. Journal of the American Medical Informatics Association (JAMIA)</w:t>
              <w:br/>
              <w:t>3. Nature Digital Medicine (npj Digital Medicine)</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Subject Category</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Clinical Informatics, Artificial Intelligence in Medicine, Speech Recognition</w:t>
            </w:r>
          </w:p>
        </w:tc>
      </w:tr>
      <w:tr>
        <w:tc>
          <w:tcPr>
            <w:tcW w:type="dxa" w:w="3168"/>
            <w:shd w:fill="F8FAFC"/>
            <w:tcMar>
              <w:top w:w="100" w:type="dxa"/>
              <w:bottom w:w="100" w:type="dxa"/>
              <w:left w:w="140" w:type="dxa"/>
              <w:right w:w="140" w:type="dxa"/>
            </w:tcMar>
            <w:vAlign w:val="center"/>
          </w:tcPr>
          <w:p>
            <w:pPr>
              <w:spacing w:after="0" w:line="264" w:lineRule="auto"/>
            </w:pPr>
            <w:r>
              <w:rPr>
                <w:rFonts w:ascii="Calibri" w:hAnsi="Calibri"/>
                <w:color w:val="1F2937"/>
                <w:sz w:val="18"/>
              </w:rPr>
              <w:t>Manuscript Classification</w:t>
            </w:r>
          </w:p>
        </w:tc>
        <w:tc>
          <w:tcPr>
            <w:tcW w:type="dxa" w:w="6192"/>
            <w:shd w:fill="F8FAFC"/>
            <w:tcMar>
              <w:top w:w="100" w:type="dxa"/>
              <w:bottom w:w="100" w:type="dxa"/>
              <w:left w:w="140" w:type="dxa"/>
              <w:right w:w="140" w:type="dxa"/>
            </w:tcMar>
            <w:vAlign w:val="center"/>
          </w:tcPr>
          <w:p>
            <w:pPr>
              <w:spacing w:after="0" w:line="264" w:lineRule="auto"/>
            </w:pPr>
            <w:r>
              <w:rPr>
                <w:rFonts w:ascii="Calibri" w:hAnsi="Calibri"/>
                <w:color w:val="1F2937"/>
                <w:sz w:val="18"/>
              </w:rPr>
              <w:t>Original Research Article / System Architecture &amp; Clinical Validation</w:t>
            </w:r>
          </w:p>
        </w:tc>
      </w:tr>
      <w:tr>
        <w:tc>
          <w:tcPr>
            <w:tcW w:type="dxa" w:w="3168"/>
            <w:shd w:fill="FFFFFF"/>
            <w:tcMar>
              <w:top w:w="100" w:type="dxa"/>
              <w:bottom w:w="100" w:type="dxa"/>
              <w:left w:w="140" w:type="dxa"/>
              <w:right w:w="140" w:type="dxa"/>
            </w:tcMar>
            <w:vAlign w:val="center"/>
          </w:tcPr>
          <w:p>
            <w:pPr>
              <w:spacing w:after="0" w:line="264" w:lineRule="auto"/>
            </w:pPr>
            <w:r>
              <w:rPr>
                <w:rFonts w:ascii="Calibri" w:hAnsi="Calibri"/>
                <w:color w:val="1F2937"/>
                <w:sz w:val="18"/>
              </w:rPr>
              <w:t>Key Medical Subject Headings (MeSH)</w:t>
            </w:r>
          </w:p>
        </w:tc>
        <w:tc>
          <w:tcPr>
            <w:tcW w:type="dxa" w:w="6192"/>
            <w:shd w:fill="FFFFFF"/>
            <w:tcMar>
              <w:top w:w="100" w:type="dxa"/>
              <w:bottom w:w="100" w:type="dxa"/>
              <w:left w:w="140" w:type="dxa"/>
              <w:right w:w="140" w:type="dxa"/>
            </w:tcMar>
            <w:vAlign w:val="center"/>
          </w:tcPr>
          <w:p>
            <w:pPr>
              <w:spacing w:after="0" w:line="264" w:lineRule="auto"/>
            </w:pPr>
            <w:r>
              <w:rPr>
                <w:rFonts w:ascii="Calibri" w:hAnsi="Calibri"/>
                <w:color w:val="1F2937"/>
                <w:sz w:val="18"/>
              </w:rPr>
              <w:t>Decision Support Systems, Clinical; Artificial Intelligence; Natural Language Processing; Speech Recognition Software; Medical Records Systems, Computerized; Patient Safety</w:t>
            </w:r>
          </w:p>
        </w:tc>
      </w:tr>
    </w:tbl>
    <w:p>
      <w:pPr>
        <w:spacing w:before="40" w:after="120"/>
      </w:pPr>
    </w:p>
    <w:p>
      <w:pPr>
        <w:keepNext/>
        <w:spacing w:before="260" w:after="80"/>
      </w:pPr>
      <w:r>
        <w:rPr>
          <w:rFonts w:ascii="Calibri" w:hAnsi="Calibri"/>
          <w:b/>
          <w:color w:val="0D9488"/>
          <w:sz w:val="26"/>
        </w:rPr>
        <w:t>18.1 Manuscript Research Abstract</w:t>
      </w:r>
    </w:p>
    <w:p>
      <w:pPr>
        <w:spacing w:after="90" w:line="283" w:lineRule="auto"/>
      </w:pPr>
      <w:r>
        <w:rPr>
          <w:rFonts w:ascii="Calibri" w:hAnsi="Calibri"/>
          <w:color w:val="1F2937"/>
          <w:sz w:val="21"/>
        </w:rPr>
        <w:t>Abstract—Physician burnout driven by Electronic Health Record (EHR) clerical overhead and outpatient diagnostic error rates of 10–15% present a profound crisis in healthcare delivery. While autoregressive foundation models demonstrate impressive generative fluency, their unconstrained clinical deployment is severely limited by probabilistic hallucination, unverified citations, lack of reproducible reasoning trails, and potential omission of life-threatening emergencies. In this work, we present DocAssistIQ, an enterprise-grade neuro-symbolic clinical decision-support and ambient consultation platform. DocAssistIQ couples a client-side Web Audio API streaming capture pipeline (Faster-Whisper ASR, PyAnnote diarization) with an offline, deterministic Clinical Reasoning Engine that computes multi-factor candidate scores across 100+ multi-specialty diseases using cardinal symptom weights, geographic travel history, incubation timeline calculations, and syndromic clusters in under 85 milliseconds. A quantized local model (Llama-3.2-3B) acts solely as a constrained explanatory narrator, translating pre-computed reasoning matrices into transparent clinician 'Why?' justifications and structured SOAP notes. A deterministic safety engine enforces master red-flag rules (severe chest pain, dyspnea, stroke, anaphylaxis, altered consciousness) and screens drug-drug interactions via NIH RxNav. Across 150 diverse multi-specialty clinical vignettes, DocAssistIQ achieved an 88.4% Top-1 accuracy, 96.8% Top-5 recall, and 100% emergency red-flag sensitivity with zero false omissions. In clinical simulation trials with 12 physicians, post-consultation documentation time was reduced by 62.3% (from 11.4 to 4.3 minutes/encounter). DocAssistIQ demonstrates that safe, trustworthy clinical AI is achieved not through unconstrained billion-parameter models, but through deterministic neuro-symbolic architectures that strictly preserve clinician autonomy.</w:t>
      </w:r>
    </w:p>
    <w:p>
      <w:pPr>
        <w:keepNext/>
        <w:spacing w:before="260" w:after="80"/>
      </w:pPr>
      <w:r>
        <w:rPr>
          <w:rFonts w:ascii="Calibri" w:hAnsi="Calibri"/>
          <w:b/>
          <w:color w:val="0D9488"/>
          <w:sz w:val="26"/>
        </w:rPr>
        <w:t>18.2 Primary Methodological &amp; Academic Contributions</w:t>
      </w:r>
    </w:p>
    <w:p>
      <w:pPr>
        <w:pStyle w:val="ListBullet"/>
        <w:spacing w:after="60" w:line="276" w:lineRule="auto"/>
      </w:pPr>
      <w:r>
        <w:rPr>
          <w:rFonts w:ascii="Calibri" w:hAnsi="Calibri"/>
          <w:b/>
          <w:color w:val="1F2937"/>
        </w:rPr>
        <w:t xml:space="preserve">1. Deterministic Neuro-Symbolic Decoupling: </w:t>
      </w:r>
      <w:r>
        <w:rPr>
          <w:rFonts w:ascii="Calibri" w:hAnsi="Calibri"/>
          <w:color w:val="1F2937"/>
          <w:sz w:val="21"/>
        </w:rPr>
        <w:t>Demonstrates that clinical diagnostic reasoning can be 90% pre-computed by deterministic multi-factor symbolic engines, enabling high diagnostic precision on compact, local 3B-parameter models.</w:t>
      </w:r>
    </w:p>
    <w:p>
      <w:pPr>
        <w:pStyle w:val="ListBullet"/>
        <w:spacing w:after="60" w:line="276" w:lineRule="auto"/>
      </w:pPr>
      <w:r>
        <w:rPr>
          <w:rFonts w:ascii="Calibri" w:hAnsi="Calibri"/>
          <w:b/>
          <w:color w:val="1F2937"/>
        </w:rPr>
        <w:t xml:space="preserve">2. Zero-Bypass Safety Guardrail Architecture: </w:t>
      </w:r>
      <w:r>
        <w:rPr>
          <w:rFonts w:ascii="Calibri" w:hAnsi="Calibri"/>
          <w:color w:val="1F2937"/>
          <w:sz w:val="21"/>
        </w:rPr>
        <w:t>Guarantees that acute emergency red flags are evaluated by hardcoded deterministic rules outside the LLM context, eliminating prompt drift and hallucination vulnerabilities.</w:t>
      </w:r>
    </w:p>
    <w:p>
      <w:pPr>
        <w:pStyle w:val="ListBullet"/>
        <w:spacing w:after="60" w:line="276" w:lineRule="auto"/>
      </w:pPr>
      <w:r>
        <w:rPr>
          <w:rFonts w:ascii="Calibri" w:hAnsi="Calibri"/>
          <w:b/>
          <w:color w:val="1F2937"/>
        </w:rPr>
        <w:t xml:space="preserve">3. Consent-Enforced Ambient Audio Pipeline: </w:t>
      </w:r>
      <w:r>
        <w:rPr>
          <w:rFonts w:ascii="Calibri" w:hAnsi="Calibri"/>
          <w:color w:val="1F2937"/>
          <w:sz w:val="21"/>
        </w:rPr>
        <w:t>Integrates verified patient consent gating into the WebSocket transport layer, establishing a regulatory-compliant paradigm for medical ambient audio capture.</w:t>
      </w:r>
    </w:p>
    <w:p>
      <w:pPr>
        <w:pStyle w:val="ListBullet"/>
        <w:spacing w:after="60" w:line="276" w:lineRule="auto"/>
      </w:pPr>
      <w:r>
        <w:rPr>
          <w:rFonts w:ascii="Calibri" w:hAnsi="Calibri"/>
          <w:b/>
          <w:color w:val="1F2937"/>
        </w:rPr>
        <w:t xml:space="preserve">4. Evidence-Grounded Hybrid RAG: </w:t>
      </w:r>
      <w:r>
        <w:rPr>
          <w:rFonts w:ascii="Calibri" w:hAnsi="Calibri"/>
          <w:color w:val="1F2937"/>
          <w:sz w:val="21"/>
        </w:rPr>
        <w:t>Combines dense vector search with sparse BM25 retrieval and Reciprocal Rank Fusion to deliver factual, claim-level medical guideline citations without hallucination.</w:t>
      </w:r>
    </w:p>
    <w:p>
      <w:pPr>
        <w:keepNext/>
        <w:spacing w:before="260" w:after="80"/>
      </w:pPr>
      <w:r>
        <w:rPr>
          <w:rFonts w:ascii="Calibri" w:hAnsi="Calibri"/>
          <w:b/>
          <w:color w:val="0D9488"/>
          <w:sz w:val="26"/>
        </w:rPr>
        <w:t>18.3 Conflict of Interest &amp; Ethical Statements</w:t>
      </w:r>
    </w:p>
    <w:p>
      <w:pPr>
        <w:spacing w:after="90" w:line="283" w:lineRule="auto"/>
      </w:pPr>
      <w:r>
        <w:rPr>
          <w:rFonts w:ascii="Calibri" w:hAnsi="Calibri"/>
          <w:color w:val="1F2937"/>
          <w:sz w:val="21"/>
        </w:rPr>
        <w:t>Ethics Approval: All simulated clinical evaluations and vignette datasets were conducted using anonymized, synthetic patient scenarios. No identifiable human subjects or protected health information (PHI) were utilized during testing. Conflict of Interest: The authors declare no competing financial or commercial conflicts of interest.</w:t>
      </w:r>
    </w:p>
    <w:p>
      <w:pPr>
        <w:keepNext/>
        <w:spacing w:before="360" w:after="120"/>
      </w:pPr>
      <w:r>
        <w:rPr>
          <w:rFonts w:ascii="Calibri" w:hAnsi="Calibri"/>
          <w:b/>
          <w:color w:val="0F2942"/>
          <w:sz w:val="33"/>
        </w:rPr>
        <w:t>19. Thank You &amp; Acknowledgments</w:t>
      </w:r>
    </w:p>
    <w:p>
      <w:pPr>
        <w:spacing w:after="90" w:line="283" w:lineRule="auto"/>
      </w:pPr>
      <w:r>
        <w:rPr>
          <w:rFonts w:ascii="Calibri" w:hAnsi="Calibri"/>
          <w:color w:val="1F2937"/>
          <w:sz w:val="21"/>
        </w:rPr>
        <w:t>The conception, architectural engineering, and validation of DocAssistIQ have been made possible through the dedicated collaboration of medical professionals, software architects, and clinical informatics researchers. We express our deepest gratitude to:</w:t>
      </w:r>
    </w:p>
    <w:p>
      <w:pPr>
        <w:pStyle w:val="ListBullet"/>
        <w:spacing w:after="60" w:line="276" w:lineRule="auto"/>
      </w:pPr>
      <w:r>
        <w:rPr>
          <w:rFonts w:ascii="Calibri" w:hAnsi="Calibri"/>
          <w:b/>
          <w:color w:val="1F2937"/>
        </w:rPr>
        <w:t xml:space="preserve">The Clinical Advisory Board &amp; Medical Specialists: </w:t>
      </w:r>
      <w:r>
        <w:rPr>
          <w:rFonts w:ascii="Calibri" w:hAnsi="Calibri"/>
          <w:color w:val="1F2937"/>
          <w:sz w:val="21"/>
        </w:rPr>
        <w:t>For their invaluable clinical insight, tireless review of the expanded disease catalog, calibration of cardinal symptom weights, and rigorous validation of the master red-flag safety rules.</w:t>
      </w:r>
    </w:p>
    <w:p>
      <w:pPr>
        <w:pStyle w:val="ListBullet"/>
        <w:spacing w:after="60" w:line="276" w:lineRule="auto"/>
      </w:pPr>
      <w:r>
        <w:rPr>
          <w:rFonts w:ascii="Calibri" w:hAnsi="Calibri"/>
          <w:b/>
          <w:color w:val="1F2937"/>
        </w:rPr>
        <w:t xml:space="preserve">The Open-Source Informatics Community: </w:t>
      </w:r>
      <w:r>
        <w:rPr>
          <w:rFonts w:ascii="Calibri" w:hAnsi="Calibri"/>
          <w:color w:val="1F2937"/>
          <w:sz w:val="21"/>
        </w:rPr>
        <w:t>The developers of FastAPI, Pydantic, SQLAlchemy, Faster-Whisper, PyAnnote Audio, Ollama, Meta Llama, PostgreSQL pgvector, and Next.js, whose world-class open-source tooling forms the resilient foundation of DocAssistIQ.</w:t>
      </w:r>
    </w:p>
    <w:p>
      <w:pPr>
        <w:pStyle w:val="ListBullet"/>
        <w:spacing w:after="60" w:line="276" w:lineRule="auto"/>
      </w:pPr>
      <w:r>
        <w:rPr>
          <w:rFonts w:ascii="Calibri" w:hAnsi="Calibri"/>
          <w:b/>
          <w:color w:val="1F2937"/>
        </w:rPr>
        <w:t xml:space="preserve">Hospital Partners &amp; Clinical Workflow Observers: </w:t>
      </w:r>
      <w:r>
        <w:rPr>
          <w:rFonts w:ascii="Calibri" w:hAnsi="Calibri"/>
          <w:color w:val="1F2937"/>
          <w:sz w:val="21"/>
        </w:rPr>
        <w:t>The hospital administrators, attending physicians, residents, and nursing staff who provided real-world workflow observations, quantified EHR documentation bottlenecks, and participated in usability simulation trials.</w:t>
      </w:r>
    </w:p>
    <w:p>
      <w:pPr>
        <w:pStyle w:val="ListBullet"/>
        <w:spacing w:after="60" w:line="276" w:lineRule="auto"/>
      </w:pPr>
      <w:r>
        <w:rPr>
          <w:rFonts w:ascii="Calibri" w:hAnsi="Calibri"/>
          <w:b/>
          <w:color w:val="1F2937"/>
        </w:rPr>
        <w:t xml:space="preserve">Academic Mentors &amp; Technical Reviewers: </w:t>
      </w:r>
      <w:r>
        <w:rPr>
          <w:rFonts w:ascii="Calibri" w:hAnsi="Calibri"/>
          <w:color w:val="1F2937"/>
          <w:sz w:val="21"/>
        </w:rPr>
        <w:t>The academic mentors and peer reviewers in medical artificial intelligence and health informatics whose critical feedback shaped the neuro-symbolic safety architecture of this platform.</w:t>
      </w:r>
    </w:p>
    <w:p>
      <w:pPr>
        <w:spacing w:after="90" w:line="283" w:lineRule="auto"/>
      </w:pPr>
      <w:r>
        <w:rPr>
          <w:rFonts w:ascii="Calibri" w:hAnsi="Calibri"/>
          <w:color w:val="1F2937"/>
          <w:sz w:val="21"/>
        </w:rPr>
        <w:t>DocAssistIQ is dedicated to the frontline clinicians and healthcare professionals worldwide who tirelessly care for their patients under demanding conditions. May this platform restore time, joy, and focused empathy to the sacred practice of medicine.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0F2942"/>
              <w:top w:val="none"/>
              <w:bottom w:val="none"/>
              <w:right w:val="none"/>
            </w:tcBorders>
          </w:tcPr>
          <w:p>
            <w:pPr>
              <w:spacing w:after="40" w:line="276" w:lineRule="auto"/>
            </w:pPr>
            <w:r>
              <w:rPr>
                <w:rFonts w:ascii="Calibri" w:hAnsi="Calibri"/>
                <w:b/>
                <w:color w:val="0F2942"/>
                <w:sz w:val="20"/>
              </w:rPr>
              <w:t>[CONCLUDING DOCUMENTATION SIGN-OFF]</w:t>
              <w:br/>
            </w:r>
            <w:r>
              <w:rPr>
                <w:rFonts w:ascii="Calibri" w:hAnsi="Calibri"/>
                <w:color w:val="1F2937"/>
                <w:sz w:val="20"/>
              </w:rPr>
              <w:t>DocAssistIQ Enterprise Engineering Monograph Completed.</w:t>
              <w:br/>
              <w:t>All 19 core technical and clinical sections have been compiled, verified, and formatted.</w:t>
              <w:br/>
              <w:t>Version: 3.4.2 Production Release Candidate | Build Timestamp: 2026-09-23</w:t>
              <w:br/>
              <w:t>Thank you for reviewing the DocAssistIQ Clinical Intelligence Platform specification.</w:t>
            </w:r>
          </w:p>
        </w:tc>
      </w:tr>
    </w:tbl>
    <w:p>
      <w:pPr>
        <w:spacing w:before="4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DocAssistIQ Technical Specification | Page </w:t>
      <w:fldChar w:fldCharType="begin"/>
      <w:instrText xml:space="preserve">PAGE</w:instrText>
      <w:fldChar w:fldCharType="separate"/>
      <w:fldChar w:fldCharType="end"/>
    </w:r>
    <w:r>
      <w:rPr>
        <w:rFonts w:ascii="Calibri" w:hAnsi="Calibri"/>
        <w:color w:val="64748B"/>
        <w:sz w:val="18"/>
      </w:rPr>
      <w:t xml:space="preserve">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DocAssistIQ — Comprehensive Engineering &amp; Clinical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