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 SCREENSHOT: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1.FIBONACCI SERIES: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2.FACTORIAL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1" style="width:447.450000pt;height:25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3.PRIME NUMBER OR NOT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2" style="width:447.450000pt;height:25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4.GCD OF TWO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3" style="width:447.450000pt;height:252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5.ARMSTRONG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4" style="width:447.450000pt;height:25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6.LARGEST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5" style="width:447.450000pt;height:25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7.BUBBLE SORT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6" style="width:447.450000pt;height:25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8.MULTIPLY TWO MATRIX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7" style="width:447.450000pt;height:252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9.PALINDROME OR NOT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8" style="width:447.450000pt;height:252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10.SELECTION SORT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9" style="width:447.450000pt;height:252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11.COPY ONE STRING TO ANOTHER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0" style="width:442.400000pt;height:249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12.BINARY SEARCH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1" style="width:442.400000pt;height:249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13.REVERSED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2" style="width:442.400000pt;height:249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14.LENGTH OF A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3" style="width:442.400000pt;height:249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15.MATRIX MULTIPLICATION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4" style="width:442.400000pt;height:249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16.MERGE SORT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5" style="width:442.400000pt;height:249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17.MIN AND MAX USING DIVIDE AND CONQUER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6" style="width:442.400000pt;height:249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18.PRIMES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7" style="width:442.400000pt;height:24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19.KNAPSACK PROBLEM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8" style="width:442.400000pt;height:249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20.MINIMUM SPANNING TREE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19" style="width:442.400000pt;height:249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21.OPTIMAL BINARY SEARCH TREE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20" style="width:442.400000pt;height:249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22.BINOMIAL COEFFICIENT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21" style="width:442.400000pt;height:249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23.REVERSE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22" style="width:437.350000pt;height:246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