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F3864"/>
          <w:sz w:val="44"/>
          <w:szCs w:val="44"/>
        </w:rPr>
        <w:t xml:space="preserve">SOP Compliance Intelligence Platform</w:t>
      </w:r>
    </w:p>
    <w:p>
      <w:pPr>
        <w:spacing w:after="40"/>
      </w:pPr>
      <w:r>
        <w:rPr>
          <w:b/>
          <w:bCs/>
          <w:color w:val="444444"/>
          <w:sz w:val="28"/>
          <w:szCs w:val="28"/>
        </w:rPr>
        <w:t xml:space="preserve">Production System Requirements &amp; Architecture Specification</w:t>
      </w:r>
    </w:p>
    <w:p>
      <w:pPr>
        <w:spacing w:after="300"/>
      </w:pPr>
      <w:r>
        <w:rPr>
          <w:color w:val="666666"/>
          <w:sz w:val="22"/>
          <w:szCs w:val="22"/>
        </w:rPr>
        <w:t xml:space="preserve">Multi-Site SOP Compliance, Gap Analysis &amp; Requirement Traceability for Sterile / Injectable Manufacturing</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tcPr>
          <w:p>
            <w:r>
              <w:rPr>
                <w:b/>
                <w:bCs/>
                <w:color w:val="FFFFFF"/>
                <w:sz w:val="18"/>
                <w:szCs w:val="18"/>
              </w:rPr>
              <w:t xml:space="preserve">Field</w:t>
            </w:r>
          </w:p>
        </w:tc>
        <w:tc>
          <w:tcPr>
            <w:tcW w:type="dxa" w:w="6600"/>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tcPr>
          <w:p>
            <w:r>
              <w:rPr>
                <w:b/>
                <w:bCs/>
                <w:color w:val="FFFFFF"/>
                <w:sz w:val="18"/>
                <w:szCs w:val="18"/>
              </w:rPr>
              <w:t xml:space="preserve">Value</w:t>
            </w:r>
          </w:p>
        </w:tc>
      </w:tr>
      <w:tr>
        <w:tc>
          <w:tcPr>
            <w:tcW w:type="dxa" w:w="30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Document Owner</w:t>
            </w:r>
          </w:p>
        </w:tc>
        <w:tc>
          <w:tcPr>
            <w:tcW w:type="dxa" w:w="66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SOP Compliance Project</w:t>
            </w:r>
          </w:p>
        </w:tc>
      </w:tr>
      <w:tr>
        <w:tc>
          <w:tcPr>
            <w:tcW w:type="dxa" w:w="30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Prepared for</w:t>
            </w:r>
          </w:p>
        </w:tc>
        <w:tc>
          <w:tcPr>
            <w:tcW w:type="dxa" w:w="66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IT / Engineering &amp; Quality Systems teams</w:t>
            </w:r>
          </w:p>
        </w:tc>
      </w:tr>
      <w:tr>
        <w:tc>
          <w:tcPr>
            <w:tcW w:type="dxa" w:w="30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Version</w:t>
            </w:r>
          </w:p>
        </w:tc>
        <w:tc>
          <w:tcPr>
            <w:tcW w:type="dxa" w:w="66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1.0 (Draft for review)</w:t>
            </w:r>
          </w:p>
        </w:tc>
      </w:tr>
      <w:tr>
        <w:tc>
          <w:tcPr>
            <w:tcW w:type="dxa" w:w="30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Date</w:t>
            </w:r>
          </w:p>
        </w:tc>
        <w:tc>
          <w:tcPr>
            <w:tcW w:type="dxa" w:w="66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21 July 2026</w:t>
            </w:r>
          </w:p>
        </w:tc>
      </w:tr>
      <w:tr>
        <w:tc>
          <w:tcPr>
            <w:tcW w:type="dxa" w:w="30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Regulatory Scope</w:t>
            </w:r>
          </w:p>
        </w:tc>
        <w:tc>
          <w:tcPr>
            <w:tcW w:type="dxa" w:w="66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US FDA 21 CFR 210/211, EU GMP Annex 1 (2022), ICH Q7/Q9/Q10, WHO GMP TRS 1044 Annex 2</w:t>
            </w:r>
          </w:p>
        </w:tc>
      </w:tr>
      <w:tr>
        <w:tc>
          <w:tcPr>
            <w:tcW w:type="dxa" w:w="30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Intended Deployment Scale</w:t>
            </w:r>
          </w:p>
        </w:tc>
        <w:tc>
          <w:tcPr>
            <w:tcW w:type="dxa" w:w="66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Medium — QA team across multiple sites (~5-15 sites, hundreds of SOPs)</w:t>
            </w:r>
          </w:p>
        </w:tc>
      </w:tr>
    </w:tbl>
    <w:p>
      <w:r>
        <w:br w:type="page"/>
      </w:r>
    </w:p>
    <w:p>
      <w:pPr>
        <w:pStyle w:val="Heading1"/>
      </w:pPr>
      <w:r>
        <w:t xml:space="preserve">1. Executive Summary</w:t>
      </w:r>
    </w:p>
    <w:p>
      <w:pPr>
        <w:spacing w:after="140"/>
      </w:pPr>
      <w:r>
        <w:t xml:space="preserve">This document specifies a production-grade application to be built (in-house or by a vendor) that gives Quality and Regulatory Affairs teams a single system to manage SOP compliance across all sterile/injectable manufacturing sites. The system replaces manual, spreadsheet-based SOP audits with a managed workflow that:</w:t>
      </w:r>
    </w:p>
    <w:p>
      <w:pPr>
        <w:pStyle w:val="ListParagraph"/>
        <w:numPr>
          <w:ilvl w:val="0"/>
          <w:numId w:val="1"/>
        </w:numPr>
        <w:spacing w:after="80"/>
      </w:pPr>
      <w:r>
        <w:t xml:space="preserve">Ingests SOPs from every site into a controlled repository.</w:t>
      </w:r>
    </w:p>
    <w:p>
      <w:pPr>
        <w:pStyle w:val="ListParagraph"/>
        <w:numPr>
          <w:ilvl w:val="0"/>
          <w:numId w:val="1"/>
        </w:numPr>
        <w:spacing w:after="80"/>
      </w:pPr>
      <w:r>
        <w:t xml:space="preserve">Uses an AI-assisted engine to map each regulatory requirement (FDA, EU, ICH, WHO) to the SOP(s) that address it, per site, and maintains this as a live Requirement Traceability Matrix (RTM).</w:t>
      </w:r>
    </w:p>
    <w:p>
      <w:pPr>
        <w:pStyle w:val="ListParagraph"/>
        <w:numPr>
          <w:ilvl w:val="0"/>
          <w:numId w:val="1"/>
        </w:numPr>
        <w:spacing w:after="80"/>
      </w:pPr>
      <w:r>
        <w:t xml:space="preserve">Automatically compares equivalent SOPs across sites and flags process differences, classifying each as having no regulatory impact, a best-practice divergence, or a compliance-relevant divergence.</w:t>
      </w:r>
    </w:p>
    <w:p>
      <w:pPr>
        <w:pStyle w:val="ListParagraph"/>
        <w:numPr>
          <w:ilvl w:val="0"/>
          <w:numId w:val="1"/>
        </w:numPr>
        <w:spacing w:after="80"/>
      </w:pPr>
      <w:r>
        <w:t xml:space="preserve">Identifies gaps — partial coverage, missing coverage, or entirely missing SOPs — and risk-scores them.</w:t>
      </w:r>
    </w:p>
    <w:p>
      <w:pPr>
        <w:pStyle w:val="ListParagraph"/>
        <w:numPr>
          <w:ilvl w:val="0"/>
          <w:numId w:val="1"/>
        </w:numPr>
        <w:spacing w:after="80"/>
      </w:pPr>
      <w:r>
        <w:t xml:space="preserve">Generates draft SOP revisions with Word-native Track Changes to close identified gaps, together with a one-page Change Summary tying every edit to the regulatory clause it satisfies.</w:t>
      </w:r>
    </w:p>
    <w:p>
      <w:pPr>
        <w:pStyle w:val="ListParagraph"/>
        <w:numPr>
          <w:ilvl w:val="0"/>
          <w:numId w:val="1"/>
        </w:numPr>
        <w:spacing w:after="80"/>
      </w:pPr>
      <w:r>
        <w:t xml:space="preserve">Routes revisions through a controlled, electronically signed review and approval workflow, with a full audit trail.</w:t>
      </w:r>
    </w:p>
    <w:p>
      <w:pPr>
        <w:spacing w:after="140"/>
      </w:pPr>
      <w:r>
        <w:t xml:space="preserve">The system is built as GxP-relevant software: every AI-generated output (mapping, gap finding, or SOP redline) is treated as a proposal requiring human review and electronic sign-off — the AI never auto-approves or auto-releases a controlled document. This is a deliberate design constraint driven by current FDA expectations for AI use in regulated manufacturing (Section 6).</w:t>
      </w:r>
    </w:p>
    <w:p>
      <w:pPr>
        <w:pStyle w:val="Heading1"/>
      </w:pPr>
      <w:r>
        <w:t xml:space="preserve">2. Business Objectives &amp; Success Criteria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200"/>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tcPr>
          <w:p>
            <w:r>
              <w:rPr>
                <w:b/>
                <w:bCs/>
                <w:color w:val="FFFFFF"/>
                <w:sz w:val="18"/>
                <w:szCs w:val="18"/>
              </w:rPr>
              <w:t xml:space="preserve">Objective</w:t>
            </w:r>
          </w:p>
        </w:tc>
        <w:tc>
          <w:tcPr>
            <w:tcW w:type="dxa" w:w="5400"/>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tcPr>
          <w:p>
            <w:r>
              <w:rPr>
                <w:b/>
                <w:bCs/>
                <w:color w:val="FFFFFF"/>
                <w:sz w:val="18"/>
                <w:szCs w:val="18"/>
              </w:rPr>
              <w:t xml:space="preserve">Success Criteria</w:t>
            </w:r>
          </w:p>
        </w:tc>
      </w:tr>
      <w:tr>
        <w:tc>
          <w:tcPr>
            <w:tcW w:type="dxa" w:w="42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Eliminate blind spots in SOP-to-regulation coverage</w:t>
            </w:r>
          </w:p>
        </w:tc>
        <w:tc>
          <w:tcPr>
            <w:tcW w:type="dxa" w:w="54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100% of applicable regulatory clauses have a documented coverage status (Covered / Partial / Not Covered / Missing) for every site, visible in one dashboard</w:t>
            </w:r>
          </w:p>
        </w:tc>
      </w:tr>
      <w:tr>
        <w:tc>
          <w:tcPr>
            <w:tcW w:type="dxa" w:w="42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Reduce time to identify cross-site inconsistencies</w:t>
            </w:r>
          </w:p>
        </w:tc>
        <w:tc>
          <w:tcPr>
            <w:tcW w:type="dxa" w:w="54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Site comparison run completes and is reviewable within hours of SOP upload, not weeks of manual cross-reading</w:t>
            </w:r>
          </w:p>
        </w:tc>
      </w:tr>
      <w:tr>
        <w:tc>
          <w:tcPr>
            <w:tcW w:type="dxa" w:w="42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Shorten SOP remediation cycle time</w:t>
            </w:r>
          </w:p>
        </w:tc>
        <w:tc>
          <w:tcPr>
            <w:tcW w:type="dxa" w:w="54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Draft tracked-change SOP revision available within 1 business day of a gap being confirmed</w:t>
            </w:r>
          </w:p>
        </w:tc>
      </w:tr>
      <w:tr>
        <w:tc>
          <w:tcPr>
            <w:tcW w:type="dxa" w:w="42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Maintain audit-readiness</w:t>
            </w:r>
          </w:p>
        </w:tc>
        <w:tc>
          <w:tcPr>
            <w:tcW w:type="dxa" w:w="54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Every requirement, gap, decision, and SOP version change is traceable with timestamp and user identity, exportable on demand for an inspection</w:t>
            </w:r>
          </w:p>
        </w:tc>
      </w:tr>
      <w:tr>
        <w:tc>
          <w:tcPr>
            <w:tcW w:type="dxa" w:w="42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Preserve human accountability for compliance decisions</w:t>
            </w:r>
          </w:p>
        </w:tc>
        <w:tc>
          <w:tcPr>
            <w:tcW w:type="dxa" w:w="54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No coverage status, gap closure, or SOP version is ever marked final without a named human approver's electronic signature</w:t>
            </w:r>
          </w:p>
        </w:tc>
      </w:tr>
    </w:tbl>
    <w:p>
      <w:pPr>
        <w:pStyle w:val="Heading1"/>
      </w:pPr>
      <w:r>
        <w:t xml:space="preserve">3. Users &amp; Roles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200"/>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tcPr>
          <w:p>
            <w:r>
              <w:rPr>
                <w:b/>
                <w:bCs/>
                <w:color w:val="FFFFFF"/>
                <w:sz w:val="18"/>
                <w:szCs w:val="18"/>
              </w:rPr>
              <w:t xml:space="preserve">Role</w:t>
            </w:r>
          </w:p>
        </w:tc>
        <w:tc>
          <w:tcPr>
            <w:tcW w:type="dxa" w:w="4200"/>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tcPr>
          <w:p>
            <w:r>
              <w:rPr>
                <w:b/>
                <w:bCs/>
                <w:color w:val="FFFFFF"/>
                <w:sz w:val="18"/>
                <w:szCs w:val="18"/>
              </w:rPr>
              <w:t xml:space="preserve">Description</w:t>
            </w:r>
          </w:p>
        </w:tc>
        <w:tc>
          <w:tcPr>
            <w:tcW w:type="dxa" w:w="3200"/>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tcPr>
          <w:p>
            <w:r>
              <w:rPr>
                <w:b/>
                <w:bCs/>
                <w:color w:val="FFFFFF"/>
                <w:sz w:val="18"/>
                <w:szCs w:val="18"/>
              </w:rPr>
              <w:t xml:space="preserve">Key Permissions</w:t>
            </w:r>
          </w:p>
        </w:tc>
      </w:tr>
      <w:tr>
        <w:tc>
          <w:tcPr>
            <w:tcW w:type="dxa" w:w="22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System Administrator</w:t>
            </w:r>
          </w:p>
        </w:tc>
        <w:tc>
          <w:tcPr>
            <w:tcW w:type="dxa" w:w="42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IT-owned role; manages users, sites, and regulatory library configuration</w:t>
            </w:r>
          </w:p>
        </w:tc>
        <w:tc>
          <w:tcPr>
            <w:tcW w:type="dxa" w:w="32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User/role management, regulation library upload, system configuration, no content approval rights</w:t>
            </w:r>
          </w:p>
        </w:tc>
      </w:tr>
      <w:tr>
        <w:tc>
          <w:tcPr>
            <w:tcW w:type="dxa" w:w="22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Regulatory/Quality Analyst</w:t>
            </w:r>
          </w:p>
        </w:tc>
        <w:tc>
          <w:tcPr>
            <w:tcW w:type="dxa" w:w="42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Maintains the regulatory requirement library and reviews AI-proposed requirement-to-SOP mappings</w:t>
            </w:r>
          </w:p>
        </w:tc>
        <w:tc>
          <w:tcPr>
            <w:tcW w:type="dxa" w:w="32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Edit RTM, run comparison &amp; gap analysis, edit regulation library, cannot approve SOP release</w:t>
            </w:r>
          </w:p>
        </w:tc>
      </w:tr>
      <w:tr>
        <w:tc>
          <w:tcPr>
            <w:tcW w:type="dxa" w:w="22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Site SOP Owner / Author</w:t>
            </w:r>
          </w:p>
        </w:tc>
        <w:tc>
          <w:tcPr>
            <w:tcW w:type="dxa" w:w="42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Owns SOPs for their site; reviews AI-drafted redlines and accepts/rejects edits</w:t>
            </w:r>
          </w:p>
        </w:tc>
        <w:tc>
          <w:tcPr>
            <w:tcW w:type="dxa" w:w="32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View RTM for own site, upload SOPs, edit/accept AI-drafted redlines, submit for approval</w:t>
            </w:r>
          </w:p>
        </w:tc>
      </w:tr>
      <w:tr>
        <w:tc>
          <w:tcPr>
            <w:tcW w:type="dxa" w:w="22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Site QA Reviewer</w:t>
            </w:r>
          </w:p>
        </w:tc>
        <w:tc>
          <w:tcPr>
            <w:tcW w:type="dxa" w:w="42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Reviews and electronically signs SOP revisions before release</w:t>
            </w:r>
          </w:p>
        </w:tc>
        <w:tc>
          <w:tcPr>
            <w:tcW w:type="dxa" w:w="32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Approve/reject SOP revisions, electronic signature, cannot self-approve own authored changes</w:t>
            </w:r>
          </w:p>
        </w:tc>
      </w:tr>
      <w:tr>
        <w:tc>
          <w:tcPr>
            <w:tcW w:type="dxa" w:w="22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Global Quality / Compliance Lead</w:t>
            </w:r>
          </w:p>
        </w:tc>
        <w:tc>
          <w:tcPr>
            <w:tcW w:type="dxa" w:w="42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Cross-site oversight; owns the master RTM and Site Comparison outputs</w:t>
            </w:r>
          </w:p>
        </w:tc>
        <w:tc>
          <w:tcPr>
            <w:tcW w:type="dxa" w:w="32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Full read access across all sites, dashboard/reporting, escalation and risk sign-off</w:t>
            </w:r>
          </w:p>
        </w:tc>
      </w:tr>
      <w:tr>
        <w:tc>
          <w:tcPr>
            <w:tcW w:type="dxa" w:w="22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Auditor (read-only)</w:t>
            </w:r>
          </w:p>
        </w:tc>
        <w:tc>
          <w:tcPr>
            <w:tcW w:type="dxa" w:w="42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Internal audit or external inspector access</w:t>
            </w:r>
          </w:p>
        </w:tc>
        <w:tc>
          <w:tcPr>
            <w:tcW w:type="dxa" w:w="32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Read-only access to RTM, audit trail, and approved document history; time-boxed access grant</w:t>
            </w:r>
          </w:p>
        </w:tc>
      </w:tr>
    </w:tbl>
    <w:p>
      <w:r>
        <w:br w:type="page"/>
      </w:r>
    </w:p>
    <w:p>
      <w:pPr>
        <w:pStyle w:val="Heading1"/>
      </w:pPr>
      <w:r>
        <w:t xml:space="preserve">4. Functional Requirements</w:t>
      </w:r>
    </w:p>
    <w:p>
      <w:pPr>
        <w:pStyle w:val="Heading2"/>
      </w:pPr>
      <w:r>
        <w:t xml:space="preserve">4.1 SOP Repository &amp; Ingestion</w:t>
      </w:r>
    </w:p>
    <w:p>
      <w:pPr>
        <w:pStyle w:val="ListParagraph"/>
        <w:numPr>
          <w:ilvl w:val="0"/>
          <w:numId w:val="1"/>
        </w:numPr>
        <w:spacing w:after="80"/>
      </w:pPr>
      <w:r>
        <w:t xml:space="preserve">Support upload of SOPs in .docx (primary) and PDF (reference-only, flagged as non-editable) formats, tagged with site, SOP number, title, version, effective date, and process area.</w:t>
      </w:r>
    </w:p>
    <w:p>
      <w:pPr>
        <w:pStyle w:val="ListParagraph"/>
        <w:numPr>
          <w:ilvl w:val="0"/>
          <w:numId w:val="1"/>
        </w:numPr>
        <w:spacing w:after="80"/>
      </w:pPr>
      <w:r>
        <w:t xml:space="preserve">Automatic text extraction and structural parsing (headings, numbered steps, tables, revision history) on upload, with a manual-correction step for parsing errors before the SOP is used in analysis.</w:t>
      </w:r>
    </w:p>
    <w:p>
      <w:pPr>
        <w:pStyle w:val="ListParagraph"/>
        <w:numPr>
          <w:ilvl w:val="0"/>
          <w:numId w:val="1"/>
        </w:numPr>
        <w:spacing w:after="80"/>
      </w:pPr>
      <w:r>
        <w:t xml:space="preserve">Version control: every upload of an existing SOP number creates a new version; prior versions remain retrievable but are locked from editing.</w:t>
      </w:r>
    </w:p>
    <w:p>
      <w:pPr>
        <w:pStyle w:val="ListParagraph"/>
        <w:numPr>
          <w:ilvl w:val="0"/>
          <w:numId w:val="1"/>
        </w:numPr>
        <w:spacing w:after="80"/>
      </w:pPr>
      <w:r>
        <w:t xml:space="preserve">Bulk import (zip / folder upload, or connector to an existing document management system — see Section 10) to onboard a site's full SOP set in one operation.</w:t>
      </w:r>
    </w:p>
    <w:p>
      <w:pPr>
        <w:pStyle w:val="Heading2"/>
      </w:pPr>
      <w:r>
        <w:t xml:space="preserve">4.2 Regulatory Requirement Library</w:t>
      </w:r>
    </w:p>
    <w:p>
      <w:pPr>
        <w:pStyle w:val="ListParagraph"/>
        <w:numPr>
          <w:ilvl w:val="0"/>
          <w:numId w:val="1"/>
        </w:numPr>
        <w:spacing w:after="80"/>
      </w:pPr>
      <w:r>
        <w:t xml:space="preserve">A maintained, versioned library of regulatory clauses (FDA 21 CFR 210/211, EU GMP Annex 1, ICH Q7/Q9/Q10, WHO GMP TRS 1044 Annex 2 at launch; extensible to national/regional guidance).</w:t>
      </w:r>
    </w:p>
    <w:p>
      <w:pPr>
        <w:pStyle w:val="ListParagraph"/>
        <w:numPr>
          <w:ilvl w:val="0"/>
          <w:numId w:val="1"/>
        </w:numPr>
        <w:spacing w:after="80"/>
      </w:pPr>
      <w:r>
        <w:t xml:space="preserve">Each clause entry: source, clause/section reference, process area, full requirement text, and a system-generated "required SOP category" tag.</w:t>
      </w:r>
    </w:p>
    <w:p>
      <w:pPr>
        <w:pStyle w:val="ListParagraph"/>
        <w:numPr>
          <w:ilvl w:val="0"/>
          <w:numId w:val="1"/>
        </w:numPr>
        <w:spacing w:after="80"/>
      </w:pPr>
      <w:r>
        <w:t xml:space="preserve">Library updates (e.g. a regulation revision) are versioned; the system flags previously-"Covered" requirements for re-review when the underlying clause text changes.</w:t>
      </w:r>
    </w:p>
    <w:p>
      <w:pPr>
        <w:pStyle w:val="ListParagraph"/>
        <w:numPr>
          <w:ilvl w:val="0"/>
          <w:numId w:val="1"/>
        </w:numPr>
        <w:spacing w:after="80"/>
      </w:pPr>
      <w:r>
        <w:t xml:space="preserve">Admin/Analyst-only edit rights; all edits logged with before/after diff.</w:t>
      </w:r>
    </w:p>
    <w:p>
      <w:pPr>
        <w:pStyle w:val="Heading2"/>
      </w:pPr>
      <w:r>
        <w:t xml:space="preserve">4.3 AI-Assisted Requirement-to-SOP Mapping (RTM Engine)</w:t>
      </w:r>
    </w:p>
    <w:p>
      <w:pPr>
        <w:pStyle w:val="ListParagraph"/>
        <w:numPr>
          <w:ilvl w:val="0"/>
          <w:numId w:val="1"/>
        </w:numPr>
        <w:spacing w:after="80"/>
      </w:pPr>
      <w:r>
        <w:t xml:space="preserve">For each site, the system proposes which SOP(s) address each regulatory requirement, using semantic matching between the requirement text and SOP content (architecture in Section 6) — not simple keyword search, so that differently-worded but equivalent SOP language is still matched.</w:t>
      </w:r>
    </w:p>
    <w:p>
      <w:pPr>
        <w:pStyle w:val="ListParagraph"/>
        <w:numPr>
          <w:ilvl w:val="0"/>
          <w:numId w:val="1"/>
        </w:numPr>
        <w:spacing w:after="80"/>
      </w:pPr>
      <w:r>
        <w:t xml:space="preserve">Each proposed mapping includes an AI-generated coverage assessment (Covered / Partially Covered / Not Covered) with a plain-language rationale and the specific SOP section/line referenced, so a human reviewer can verify quickly rather than re-reading the whole SOP.</w:t>
      </w:r>
    </w:p>
    <w:p>
      <w:pPr>
        <w:pStyle w:val="ListParagraph"/>
        <w:numPr>
          <w:ilvl w:val="0"/>
          <w:numId w:val="1"/>
        </w:numPr>
        <w:spacing w:after="80"/>
      </w:pPr>
      <w:r>
        <w:t xml:space="preserve">A human reviewer (Regulatory/Quality Analyst) confirms, edits, or overrides every AI-proposed mapping before it is marked final in the RTM. Overrides are logged with reason.</w:t>
      </w:r>
    </w:p>
    <w:p>
      <w:pPr>
        <w:pStyle w:val="ListParagraph"/>
        <w:numPr>
          <w:ilvl w:val="0"/>
          <w:numId w:val="1"/>
        </w:numPr>
        <w:spacing w:after="80"/>
      </w:pPr>
      <w:r>
        <w:t xml:space="preserve">Requirements with no proposed SOP match at all are surfaced immediately as candidate "SOP Missing" gaps.</w:t>
      </w:r>
    </w:p>
    <w:p>
      <w:pPr>
        <w:pStyle w:val="Heading2"/>
      </w:pPr>
      <w:r>
        <w:t xml:space="preserve">4.4 Site-to-Site Comparison Engine</w:t>
      </w:r>
    </w:p>
    <w:p>
      <w:pPr>
        <w:pStyle w:val="ListParagraph"/>
        <w:numPr>
          <w:ilvl w:val="0"/>
          <w:numId w:val="1"/>
        </w:numPr>
        <w:spacing w:after="80"/>
      </w:pPr>
      <w:r>
        <w:t xml:space="preserve">For SOP categories present at more than one site, the system extracts comparable process steps and parameters (sequence, critical parameters, acceptance criteria, frequencies, documentation requirements) and aligns them side by side.</w:t>
      </w:r>
    </w:p>
    <w:p>
      <w:pPr>
        <w:pStyle w:val="ListParagraph"/>
        <w:numPr>
          <w:ilvl w:val="0"/>
          <w:numId w:val="1"/>
        </w:numPr>
        <w:spacing w:after="80"/>
      </w:pPr>
      <w:r>
        <w:t xml:space="preserve">Differences are auto-classified (AI-proposed, human-confirmed) as: no regulatory impact / best-practice divergence / compliance-relevant divergence, per the methodology already defined for this program.</w:t>
      </w:r>
    </w:p>
    <w:p>
      <w:pPr>
        <w:pStyle w:val="ListParagraph"/>
        <w:numPr>
          <w:ilvl w:val="0"/>
          <w:numId w:val="1"/>
        </w:numPr>
        <w:spacing w:after="80"/>
      </w:pPr>
      <w:r>
        <w:t xml:space="preserve">Compliance-relevant divergences automatically create a linked gap record against the relevant RTM requirement(s).</w:t>
      </w:r>
    </w:p>
    <w:p>
      <w:pPr>
        <w:pStyle w:val="ListParagraph"/>
        <w:numPr>
          <w:ilvl w:val="0"/>
          <w:numId w:val="1"/>
        </w:numPr>
        <w:spacing w:after="80"/>
      </w:pPr>
      <w:r>
        <w:t xml:space="preserve">Output is browsable per SOP category and exportable as a comparison report.</w:t>
      </w:r>
    </w:p>
    <w:p>
      <w:pPr>
        <w:pStyle w:val="Heading2"/>
      </w:pPr>
      <w:r>
        <w:t xml:space="preserve">4.5 Gap Analysis &amp; Risk Scoring</w:t>
      </w:r>
    </w:p>
    <w:p>
      <w:pPr>
        <w:pStyle w:val="ListParagraph"/>
        <w:numPr>
          <w:ilvl w:val="0"/>
          <w:numId w:val="1"/>
        </w:numPr>
        <w:spacing w:after="80"/>
      </w:pPr>
      <w:r>
        <w:t xml:space="preserve">Every non-"Covered" RTM entry becomes a tracked gap record with: requirement reference, site, current coverage status, description, risk level (Critical / Major / Minor), owner, and target close date.</w:t>
      </w:r>
    </w:p>
    <w:p>
      <w:pPr>
        <w:pStyle w:val="ListParagraph"/>
        <w:numPr>
          <w:ilvl w:val="0"/>
          <w:numId w:val="1"/>
        </w:numPr>
        <w:spacing w:after="80"/>
      </w:pPr>
      <w:r>
        <w:t xml:space="preserve">Risk level defaults from an AI-proposed rating based on patient-safety/sterility-assurance relevance of the clause, editable by the Quality/Compliance Lead.</w:t>
      </w:r>
    </w:p>
    <w:p>
      <w:pPr>
        <w:pStyle w:val="ListParagraph"/>
        <w:numPr>
          <w:ilvl w:val="0"/>
          <w:numId w:val="1"/>
        </w:numPr>
        <w:spacing w:after="80"/>
      </w:pPr>
      <w:r>
        <w:t xml:space="preserve">Configurable SLA/escalation rules by risk level (e.g. Critical gaps flagged to the Global Quality Lead if not actioned within N days).</w:t>
      </w:r>
    </w:p>
    <w:p>
      <w:pPr>
        <w:pStyle w:val="Heading2"/>
      </w:pPr>
      <w:r>
        <w:t xml:space="preserve">4.6 AI-Assisted SOP Redlining (Track Changes)</w:t>
      </w:r>
    </w:p>
    <w:p>
      <w:pPr>
        <w:pStyle w:val="ListParagraph"/>
        <w:numPr>
          <w:ilvl w:val="0"/>
          <w:numId w:val="1"/>
        </w:numPr>
        <w:spacing w:after="80"/>
      </w:pPr>
      <w:r>
        <w:t xml:space="preserve">For a confirmed gap, the system generates a draft SOP revision as a .docx with native Word Track Changes — insertions/deletions attributed to a system "AI Draft" author, never merged into clean text automatically.</w:t>
      </w:r>
    </w:p>
    <w:p>
      <w:pPr>
        <w:pStyle w:val="ListParagraph"/>
        <w:numPr>
          <w:ilvl w:val="0"/>
          <w:numId w:val="1"/>
        </w:numPr>
        <w:spacing w:after="80"/>
      </w:pPr>
      <w:r>
        <w:t xml:space="preserve">Each proposed edit is scoped strictly to closing the identified gap(s) for that revision cycle; the system flags (and blocks by default) any proposed edit outside the linked gap's scope.</w:t>
      </w:r>
    </w:p>
    <w:p>
      <w:pPr>
        <w:pStyle w:val="ListParagraph"/>
        <w:numPr>
          <w:ilvl w:val="0"/>
          <w:numId w:val="1"/>
        </w:numPr>
        <w:spacing w:after="80"/>
      </w:pPr>
      <w:r>
        <w:t xml:space="preserve">Revision history table within the SOP is auto-updated as part of the same tracked edit (version, date, reason, requirement reference).</w:t>
      </w:r>
    </w:p>
    <w:p>
      <w:pPr>
        <w:pStyle w:val="ListParagraph"/>
        <w:numPr>
          <w:ilvl w:val="0"/>
          <w:numId w:val="1"/>
        </w:numPr>
        <w:spacing w:after="80"/>
      </w:pPr>
      <w:r>
        <w:t xml:space="preserve">The SOP Owner reviews the redline directly in Word (round-trip: download, edit/accept-reject, re-upload) or via an in-app redline viewer for read-only review before download.</w:t>
      </w:r>
    </w:p>
    <w:p>
      <w:pPr>
        <w:pStyle w:val="Heading2"/>
      </w:pPr>
      <w:r>
        <w:t xml:space="preserve">4.7 Change Summary Generation</w:t>
      </w:r>
    </w:p>
    <w:p>
      <w:pPr>
        <w:pStyle w:val="ListParagraph"/>
        <w:numPr>
          <w:ilvl w:val="0"/>
          <w:numId w:val="1"/>
        </w:numPr>
        <w:spacing w:after="80"/>
      </w:pPr>
      <w:r>
        <w:t xml:space="preserve">For every SOP revision, the system auto-generates a one-page Change Summary (using the established template): SOP identification, version change, a plain-language list of changes each mapped to its regulatory requirement, and a sign-off block.</w:t>
      </w:r>
    </w:p>
    <w:p>
      <w:pPr>
        <w:pStyle w:val="ListParagraph"/>
        <w:numPr>
          <w:ilvl w:val="0"/>
          <w:numId w:val="1"/>
        </w:numPr>
        <w:spacing w:after="80"/>
      </w:pPr>
      <w:r>
        <w:t xml:space="preserve">Change Summary is regenerated automatically if the redline is edited before approval, so it always matches the current draft.</w:t>
      </w:r>
    </w:p>
    <w:p>
      <w:pPr>
        <w:pStyle w:val="Heading2"/>
      </w:pPr>
      <w:r>
        <w:t xml:space="preserve">4.8 Review, Approval &amp; Electronic Signature Workflow</w:t>
      </w:r>
    </w:p>
    <w:p>
      <w:pPr>
        <w:pStyle w:val="ListParagraph"/>
        <w:numPr>
          <w:ilvl w:val="0"/>
          <w:numId w:val="1"/>
        </w:numPr>
        <w:spacing w:after="80"/>
      </w:pPr>
      <w:r>
        <w:t xml:space="preserve">Configurable multi-step workflow (default: Author → Site QA Reviewer → optional Global Quality sign-off for Critical-risk gaps).</w:t>
      </w:r>
    </w:p>
    <w:p>
      <w:pPr>
        <w:pStyle w:val="ListParagraph"/>
        <w:numPr>
          <w:ilvl w:val="0"/>
          <w:numId w:val="1"/>
        </w:numPr>
        <w:spacing w:after="80"/>
      </w:pPr>
      <w:r>
        <w:t xml:space="preserve">21 CFR Part 11 / EU Annex 11 compliant electronic signatures at each step (see Section 9), applied to both the SOP revision and its Change Summary.</w:t>
      </w:r>
    </w:p>
    <w:p>
      <w:pPr>
        <w:pStyle w:val="ListParagraph"/>
        <w:numPr>
          <w:ilvl w:val="0"/>
          <w:numId w:val="1"/>
        </w:numPr>
        <w:spacing w:after="80"/>
      </w:pPr>
      <w:r>
        <w:t xml:space="preserve">On final approval: SOP version is locked, RTM entry updated to "Covered" with the new SOP version reference, gap record closed, and the released SOP becomes the new baseline for future comparisons.</w:t>
      </w:r>
    </w:p>
    <w:p>
      <w:pPr>
        <w:pStyle w:val="ListParagraph"/>
        <w:numPr>
          <w:ilvl w:val="0"/>
          <w:numId w:val="1"/>
        </w:numPr>
        <w:spacing w:after="80"/>
      </w:pPr>
      <w:r>
        <w:t xml:space="preserve">Rejection/rework loops the SOP back to the author with the reviewer's comments attached.</w:t>
      </w:r>
    </w:p>
    <w:p>
      <w:pPr>
        <w:pStyle w:val="Heading2"/>
      </w:pPr>
      <w:r>
        <w:t xml:space="preserve">4.9 RTM Dashboard &amp; Reporting</w:t>
      </w:r>
    </w:p>
    <w:p>
      <w:pPr>
        <w:pStyle w:val="ListParagraph"/>
        <w:numPr>
          <w:ilvl w:val="0"/>
          <w:numId w:val="1"/>
        </w:numPr>
        <w:spacing w:after="80"/>
      </w:pPr>
      <w:r>
        <w:t xml:space="preserve">Live dashboard: coverage % by site, by regulatory source, by process area; open-gap counts by risk level; aging report on open gaps vs. target close dates.</w:t>
      </w:r>
    </w:p>
    <w:p>
      <w:pPr>
        <w:pStyle w:val="ListParagraph"/>
        <w:numPr>
          <w:ilvl w:val="0"/>
          <w:numId w:val="1"/>
        </w:numPr>
        <w:spacing w:after="80"/>
      </w:pPr>
      <w:r>
        <w:t xml:space="preserve">Filterable/exportable RTM (Excel and PDF) matching the structure of the existing RTM template, so the transition from the current spreadsheet-based process is seamless.</w:t>
      </w:r>
    </w:p>
    <w:p>
      <w:pPr>
        <w:pStyle w:val="ListParagraph"/>
        <w:numPr>
          <w:ilvl w:val="0"/>
          <w:numId w:val="1"/>
        </w:numPr>
        <w:spacing w:after="80"/>
      </w:pPr>
      <w:r>
        <w:t xml:space="preserve">Site Comparison report export, Gap Analysis report export, per-site or all-site.</w:t>
      </w:r>
    </w:p>
    <w:p>
      <w:pPr>
        <w:pStyle w:val="Heading2"/>
      </w:pPr>
      <w:r>
        <w:t xml:space="preserve">4.10 Audit Trail</w:t>
      </w:r>
    </w:p>
    <w:p>
      <w:pPr>
        <w:pStyle w:val="ListParagraph"/>
        <w:numPr>
          <w:ilvl w:val="0"/>
          <w:numId w:val="1"/>
        </w:numPr>
        <w:spacing w:after="80"/>
      </w:pPr>
      <w:r>
        <w:t xml:space="preserve">Immutable, timestamped log of every create/update/approve/reject/override action, with user identity, across SOPs, RTM entries, gap records, and regulatory library changes.</w:t>
      </w:r>
    </w:p>
    <w:p>
      <w:pPr>
        <w:pStyle w:val="ListParagraph"/>
        <w:numPr>
          <w:ilvl w:val="0"/>
          <w:numId w:val="1"/>
        </w:numPr>
        <w:spacing w:after="80"/>
      </w:pPr>
      <w:r>
        <w:t xml:space="preserve">AI-generated content is distinctly tagged in the audit trail as machine-proposed vs. human-confirmed at every step.</w:t>
      </w:r>
    </w:p>
    <w:p>
      <w:pPr>
        <w:pStyle w:val="ListParagraph"/>
        <w:numPr>
          <w:ilvl w:val="0"/>
          <w:numId w:val="1"/>
        </w:numPr>
        <w:spacing w:after="80"/>
      </w:pPr>
      <w:r>
        <w:t xml:space="preserve">Exportable audit trail for a given SOP, site, or date range, for inspection readiness.</w:t>
      </w:r>
    </w:p>
    <w:p>
      <w:r>
        <w:br w:type="page"/>
      </w:r>
    </w:p>
    <w:p>
      <w:pPr>
        <w:pStyle w:val="Heading1"/>
      </w:pPr>
      <w:r>
        <w:t xml:space="preserve">5. Data Model (Core Entities)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tcPr>
          <w:p>
            <w:r>
              <w:rPr>
                <w:b/>
                <w:bCs/>
                <w:color w:val="FFFFFF"/>
                <w:sz w:val="18"/>
                <w:szCs w:val="18"/>
              </w:rPr>
              <w:t xml:space="preserve">Entity</w:t>
            </w:r>
          </w:p>
        </w:tc>
        <w:tc>
          <w:tcPr>
            <w:tcW w:type="dxa" w:w="4200"/>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tcPr>
          <w:p>
            <w:r>
              <w:rPr>
                <w:b/>
                <w:bCs/>
                <w:color w:val="FFFFFF"/>
                <w:sz w:val="18"/>
                <w:szCs w:val="18"/>
              </w:rPr>
              <w:t xml:space="preserve">Key Attributes</w:t>
            </w:r>
          </w:p>
        </w:tc>
        <w:tc>
          <w:tcPr>
            <w:tcW w:type="dxa" w:w="3000"/>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tcPr>
          <w:p>
            <w:r>
              <w:rPr>
                <w:b/>
                <w:bCs/>
                <w:color w:val="FFFFFF"/>
                <w:sz w:val="18"/>
                <w:szCs w:val="18"/>
              </w:rPr>
              <w:t xml:space="preserve">Relationships</w:t>
            </w:r>
          </w:p>
        </w:tc>
      </w:tr>
      <w:tr>
        <w:tc>
          <w:tcPr>
            <w:tcW w:type="dxa" w:w="24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Site</w:t>
            </w:r>
          </w:p>
        </w:tc>
        <w:tc>
          <w:tcPr>
            <w:tcW w:type="dxa" w:w="42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code, name, location, product type, sterilization method, markets supplied</w:t>
            </w:r>
          </w:p>
        </w:tc>
        <w:tc>
          <w:tcPr>
            <w:tcW w:type="dxa" w:w="30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has many SOPs; has many RTM entries</w:t>
            </w:r>
          </w:p>
        </w:tc>
      </w:tr>
      <w:tr>
        <w:tc>
          <w:tcPr>
            <w:tcW w:type="dxa" w:w="24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RegulatorySource</w:t>
            </w:r>
          </w:p>
        </w:tc>
        <w:tc>
          <w:tcPr>
            <w:tcW w:type="dxa" w:w="42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name (e.g. FDA 21 CFR 211), version/effective date</w:t>
            </w:r>
          </w:p>
        </w:tc>
        <w:tc>
          <w:tcPr>
            <w:tcW w:type="dxa" w:w="30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has many RequirementClauses</w:t>
            </w:r>
          </w:p>
        </w:tc>
      </w:tr>
      <w:tr>
        <w:tc>
          <w:tcPr>
            <w:tcW w:type="dxa" w:w="24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RequirementClause</w:t>
            </w:r>
          </w:p>
        </w:tc>
        <w:tc>
          <w:tcPr>
            <w:tcW w:type="dxa" w:w="42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clause ref, process area, requirement text, required SOP category, version</w:t>
            </w:r>
          </w:p>
        </w:tc>
        <w:tc>
          <w:tcPr>
            <w:tcW w:type="dxa" w:w="30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mapped to many RTMEntries</w:t>
            </w:r>
          </w:p>
        </w:tc>
      </w:tr>
      <w:tr>
        <w:tc>
          <w:tcPr>
            <w:tcW w:type="dxa" w:w="24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SOP</w:t>
            </w:r>
          </w:p>
        </w:tc>
        <w:tc>
          <w:tcPr>
            <w:tcW w:type="dxa" w:w="42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SOP number, title, site, version, status, process area, file (docx), extracted structure</w:t>
            </w:r>
          </w:p>
        </w:tc>
        <w:tc>
          <w:tcPr>
            <w:tcW w:type="dxa" w:w="30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belongs to Site; has many SOPVersions; linked from RTMEntries</w:t>
            </w:r>
          </w:p>
        </w:tc>
      </w:tr>
      <w:tr>
        <w:tc>
          <w:tcPr>
            <w:tcW w:type="dxa" w:w="24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SOPVersion</w:t>
            </w:r>
          </w:p>
        </w:tc>
        <w:tc>
          <w:tcPr>
            <w:tcW w:type="dxa" w:w="42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version no., file, uploaded by, uploaded date, change summary link</w:t>
            </w:r>
          </w:p>
        </w:tc>
        <w:tc>
          <w:tcPr>
            <w:tcW w:type="dxa" w:w="30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belongs to SOP</w:t>
            </w:r>
          </w:p>
        </w:tc>
      </w:tr>
      <w:tr>
        <w:tc>
          <w:tcPr>
            <w:tcW w:type="dxa" w:w="24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RTMEntry</w:t>
            </w:r>
          </w:p>
        </w:tc>
        <w:tc>
          <w:tcPr>
            <w:tcW w:type="dxa" w:w="42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requirement, site, SOP+version reference, coverage status, rationale, AI-proposed flag, confirmed-by/date</w:t>
            </w:r>
          </w:p>
        </w:tc>
        <w:tc>
          <w:tcPr>
            <w:tcW w:type="dxa" w:w="30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links Site + RequirementClause + SOP</w:t>
            </w:r>
          </w:p>
        </w:tc>
      </w:tr>
      <w:tr>
        <w:tc>
          <w:tcPr>
            <w:tcW w:type="dxa" w:w="24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ComparisonFinding</w:t>
            </w:r>
          </w:p>
        </w:tc>
        <w:tc>
          <w:tcPr>
            <w:tcW w:type="dxa" w:w="42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SOP category, process step, sites compared, difference description, classification, linked requirement(s)</w:t>
            </w:r>
          </w:p>
        </w:tc>
        <w:tc>
          <w:tcPr>
            <w:tcW w:type="dxa" w:w="30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links multiple Sites + SOPs</w:t>
            </w:r>
          </w:p>
        </w:tc>
      </w:tr>
      <w:tr>
        <w:tc>
          <w:tcPr>
            <w:tcW w:type="dxa" w:w="24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GapRecord</w:t>
            </w:r>
          </w:p>
        </w:tc>
        <w:tc>
          <w:tcPr>
            <w:tcW w:type="dxa" w:w="42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linked RTMEntry/ComparisonFinding, risk level, owner, target date, status</w:t>
            </w:r>
          </w:p>
        </w:tc>
        <w:tc>
          <w:tcPr>
            <w:tcW w:type="dxa" w:w="30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drives SOPRevision creation</w:t>
            </w:r>
          </w:p>
        </w:tc>
      </w:tr>
      <w:tr>
        <w:tc>
          <w:tcPr>
            <w:tcW w:type="dxa" w:w="24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SOPRevision</w:t>
            </w:r>
          </w:p>
        </w:tc>
        <w:tc>
          <w:tcPr>
            <w:tcW w:type="dxa" w:w="42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linked GapRecord(s), draft file (tracked changes), change summary file, workflow status, approvals</w:t>
            </w:r>
          </w:p>
        </w:tc>
        <w:tc>
          <w:tcPr>
            <w:tcW w:type="dxa" w:w="30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belongs to SOP; produces new SOPVersion on approval</w:t>
            </w:r>
          </w:p>
        </w:tc>
      </w:tr>
      <w:tr>
        <w:tc>
          <w:tcPr>
            <w:tcW w:type="dxa" w:w="24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User</w:t>
            </w:r>
          </w:p>
        </w:tc>
        <w:tc>
          <w:tcPr>
            <w:tcW w:type="dxa" w:w="42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name, role, site scope, e-signature credential</w:t>
            </w:r>
          </w:p>
        </w:tc>
        <w:tc>
          <w:tcPr>
            <w:tcW w:type="dxa" w:w="30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acts on all of the above; every action audit-logged</w:t>
            </w:r>
          </w:p>
        </w:tc>
      </w:tr>
      <w:tr>
        <w:tc>
          <w:tcPr>
            <w:tcW w:type="dxa" w:w="24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AuditLogEntry</w:t>
            </w:r>
          </w:p>
        </w:tc>
        <w:tc>
          <w:tcPr>
            <w:tcW w:type="dxa" w:w="42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actor, action, entity, before/after, timestamp, AI-vs-human flag</w:t>
            </w:r>
          </w:p>
        </w:tc>
        <w:tc>
          <w:tcPr>
            <w:tcW w:type="dxa" w:w="30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references any entity above</w:t>
            </w:r>
          </w:p>
        </w:tc>
      </w:tr>
    </w:tbl>
    <w:p>
      <w:r>
        <w:br w:type="page"/>
      </w:r>
    </w:p>
    <w:p>
      <w:pPr>
        <w:pStyle w:val="Heading1"/>
      </w:pPr>
      <w:r>
        <w:t xml:space="preserve">6. AI-Assisted Engine Design</w:t>
      </w:r>
    </w:p>
    <w:p>
      <w:pPr>
        <w:spacing w:after="140"/>
      </w:pPr>
      <w:r>
        <w:t xml:space="preserve">The core intelligence layer performs three tasks: requirement-to-SOP semantic matching, cross-site process comparison, and tracked-change SOP drafting. All three follow the same governing principle, driven directly by current FDA expectations:</w:t>
      </w:r>
    </w:p>
    <w:p>
      <w:pPr>
        <w:spacing w:after="160"/>
        <w:ind w:left="360"/>
      </w:pPr>
      <w:r>
        <w:rPr>
          <w:b/>
          <w:bCs/>
          <w:i/>
          <w:iCs/>
          <w:color w:val="1F3864"/>
          <w:sz w:val="20"/>
          <w:szCs w:val="20"/>
        </w:rPr>
        <w:t xml:space="preserve">The AI proposes; a named, qualified human disposes. No AI output changes a controlled document's status, coverage classification, or release state without an explicit, attributed human confirmation or electronic signature.</w:t>
      </w:r>
    </w:p>
    <w:p>
      <w:pPr>
        <w:spacing w:after="140"/>
      </w:pPr>
      <w:r>
        <w:t xml:space="preserve">This is not just good practice — FDA's January 2025 draft guidance on AI use in the drug/biological product lifecycle calls for a risk-based credibility assessment of any AI model influencing a regulatory or quality decision, and FDA issued its first AI-focused cGMP warning letter in 2025 specifically because a firm let an AI-influenced process operate without adequate human verification. The architecture below is designed to withstand that scrutiny.</w:t>
      </w:r>
    </w:p>
    <w:p>
      <w:pPr>
        <w:pStyle w:val="Heading2"/>
      </w:pPr>
      <w:r>
        <w:t xml:space="preserve">6.1 Architecture Pattern: Retrieval-Augmented Generation (RAG)</w:t>
      </w:r>
    </w:p>
    <w:p>
      <w:pPr>
        <w:pStyle w:val="ListParagraph"/>
        <w:numPr>
          <w:ilvl w:val="0"/>
          <w:numId w:val="1"/>
        </w:numPr>
        <w:spacing w:after="80"/>
      </w:pPr>
      <w:r>
        <w:t xml:space="preserve">Regulatory Requirement Library is chunked and embedded into a vector index (one embedding per clause, preserving full clause text and metadata).</w:t>
      </w:r>
    </w:p>
    <w:p>
      <w:pPr>
        <w:pStyle w:val="ListParagraph"/>
        <w:numPr>
          <w:ilvl w:val="0"/>
          <w:numId w:val="1"/>
        </w:numPr>
        <w:spacing w:after="80"/>
      </w:pPr>
      <w:r>
        <w:t xml:space="preserve">Uploaded SOPs are parsed into structured sections and embedded the same way.</w:t>
      </w:r>
    </w:p>
    <w:p>
      <w:pPr>
        <w:pStyle w:val="ListParagraph"/>
        <w:numPr>
          <w:ilvl w:val="0"/>
          <w:numId w:val="1"/>
        </w:numPr>
        <w:spacing w:after="80"/>
      </w:pPr>
      <w:r>
        <w:t xml:space="preserve">For requirement-to-SOP mapping: the system retrieves the SOP sections most semantically similar to a given requirement, then prompts a large language model (e.g. Claude) with the requirement text and the retrieved SOP sections, asking it to (a) assess coverage status, (b) cite the exact SOP text supporting or contradicting coverage, (c) explain its reasoning. Grounding every AI answer in retrieved source text — rather than free generation — is what makes the output auditable and reviewable.</w:t>
      </w:r>
    </w:p>
    <w:p>
      <w:pPr>
        <w:pStyle w:val="ListParagraph"/>
        <w:numPr>
          <w:ilvl w:val="0"/>
          <w:numId w:val="1"/>
        </w:numPr>
        <w:spacing w:after="80"/>
      </w:pPr>
      <w:r>
        <w:t xml:space="preserve">For site comparison: the same retrieval approach aligns equivalent sections across two or more sites' SOPs for the same process area, then the LLM is prompted to describe differences in specific, checkable terms (parameter values, frequencies, acceptance criteria) rather than vague summary language.</w:t>
      </w:r>
    </w:p>
    <w:p>
      <w:pPr>
        <w:pStyle w:val="ListParagraph"/>
        <w:numPr>
          <w:ilvl w:val="0"/>
          <w:numId w:val="1"/>
        </w:numPr>
        <w:spacing w:after="80"/>
      </w:pPr>
      <w:r>
        <w:t xml:space="preserve">For redlining: the LLM is prompted with the gap description, the relevant regulatory clause text, and the current SOP section, and asked to propose the minimum edit that closes the gap, formatted as an explicit insert/delete instruction set that the document-generation service converts into real Word tracked-change XML (not a rewritten clean paragraph).</w:t>
      </w:r>
    </w:p>
    <w:p>
      <w:pPr>
        <w:pStyle w:val="Heading2"/>
      </w:pPr>
      <w:r>
        <w:t xml:space="preserve">6.2 Model Risk Management</w:t>
      </w:r>
    </w:p>
    <w:p>
      <w:pPr>
        <w:pStyle w:val="ListParagraph"/>
        <w:numPr>
          <w:ilvl w:val="0"/>
          <w:numId w:val="1"/>
        </w:numPr>
        <w:spacing w:after="80"/>
      </w:pPr>
      <w:r>
        <w:t xml:space="preserve">Every AI-proposed output (mapping, comparison finding, redline) is stored with: model/version used, prompt version, retrieved source citations, and a confidence indicator.</w:t>
      </w:r>
    </w:p>
    <w:p>
      <w:pPr>
        <w:pStyle w:val="ListParagraph"/>
        <w:numPr>
          <w:ilvl w:val="0"/>
          <w:numId w:val="1"/>
        </w:numPr>
        <w:spacing w:after="80"/>
      </w:pPr>
      <w:r>
        <w:t xml:space="preserve">A documented, versioned prompt library is maintained under change control — prompt changes go through the same review process as any other GxP-relevant system change.</w:t>
      </w:r>
    </w:p>
    <w:p>
      <w:pPr>
        <w:pStyle w:val="ListParagraph"/>
        <w:numPr>
          <w:ilvl w:val="0"/>
          <w:numId w:val="1"/>
        </w:numPr>
        <w:spacing w:after="80"/>
      </w:pPr>
      <w:r>
        <w:t xml:space="preserve">Periodic accuracy sampling: a defined percentage of AI-confirmed mappings are independently re-reviewed by a second qualified reviewer; results tracked as a quality metric and reported to the Global Quality Lead.</w:t>
      </w:r>
    </w:p>
    <w:p>
      <w:pPr>
        <w:pStyle w:val="ListParagraph"/>
        <w:numPr>
          <w:ilvl w:val="0"/>
          <w:numId w:val="1"/>
        </w:numPr>
        <w:spacing w:after="80"/>
      </w:pPr>
      <w:r>
        <w:t xml:space="preserve">The system never calls out to a general public AI interface for actual document content — all SOP and regulatory text is processed through an access-controlled API integration under the organization's own data-handling agreement (see Section 8 for hosting/data-residency options).</w:t>
      </w:r>
    </w:p>
    <w:p>
      <w:pPr>
        <w:pStyle w:val="Heading2"/>
      </w:pPr>
      <w:r>
        <w:t xml:space="preserve">6.3 Explainability Requirement</w:t>
      </w:r>
    </w:p>
    <w:p>
      <w:pPr>
        <w:spacing w:after="140"/>
      </w:pPr>
      <w:r>
        <w:t xml:space="preserve">Every AI-generated coverage status, comparison finding, or redline must be accompanied, in the UI, by the specific source text it was grounded in (the regulatory clause and the SOP passage). A reviewer should never have to trust an unexplained AI verdict — this is both a usability requirement and a documented control supporting inspection readiness.</w:t>
      </w:r>
    </w:p>
    <w:p>
      <w:r>
        <w:br w:type="page"/>
      </w:r>
    </w:p>
    <w:p>
      <w:pPr>
        <w:pStyle w:val="Heading1"/>
      </w:pPr>
      <w:r>
        <w:t xml:space="preserve">7. System Architecture</w:t>
      </w:r>
    </w:p>
    <w:p>
      <w:pPr>
        <w:spacing w:after="140"/>
      </w:pPr>
      <w:r>
        <w:t xml:space="preserve">Recommended reference architecture (implementation-agnostic; adjust to the organization's existing standards):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tcPr>
          <w:p>
            <w:r>
              <w:rPr>
                <w:b/>
                <w:bCs/>
                <w:color w:val="FFFFFF"/>
                <w:sz w:val="18"/>
                <w:szCs w:val="18"/>
              </w:rPr>
              <w:t xml:space="preserve">Layer</w:t>
            </w:r>
          </w:p>
        </w:tc>
        <w:tc>
          <w:tcPr>
            <w:tcW w:type="dxa" w:w="4400"/>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tcPr>
          <w:p>
            <w:r>
              <w:rPr>
                <w:b/>
                <w:bCs/>
                <w:color w:val="FFFFFF"/>
                <w:sz w:val="18"/>
                <w:szCs w:val="18"/>
              </w:rPr>
              <w:t xml:space="preserve">Responsibility</w:t>
            </w:r>
          </w:p>
        </w:tc>
        <w:tc>
          <w:tcPr>
            <w:tcW w:type="dxa" w:w="2800"/>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tcPr>
          <w:p>
            <w:r>
              <w:rPr>
                <w:b/>
                <w:bCs/>
                <w:color w:val="FFFFFF"/>
                <w:sz w:val="18"/>
                <w:szCs w:val="18"/>
              </w:rPr>
              <w:t xml:space="preserve">Notes</w:t>
            </w:r>
          </w:p>
        </w:tc>
      </w:tr>
      <w:tr>
        <w:tc>
          <w:tcPr>
            <w:tcW w:type="dxa" w:w="24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Web Frontend</w:t>
            </w:r>
          </w:p>
        </w:tc>
        <w:tc>
          <w:tcPr>
            <w:tcW w:type="dxa" w:w="44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RTM dashboard, comparison viewer, redline review UI, admin console</w:t>
            </w:r>
          </w:p>
        </w:tc>
        <w:tc>
          <w:tcPr>
            <w:tcW w:type="dxa" w:w="28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Responsive web app; role-based views</w:t>
            </w:r>
          </w:p>
        </w:tc>
      </w:tr>
      <w:tr>
        <w:tc>
          <w:tcPr>
            <w:tcW w:type="dxa" w:w="24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Application/API Layer</w:t>
            </w:r>
          </w:p>
        </w:tc>
        <w:tc>
          <w:tcPr>
            <w:tcW w:type="dxa" w:w="44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Business logic, workflow engine, permissions, audit logging</w:t>
            </w:r>
          </w:p>
        </w:tc>
        <w:tc>
          <w:tcPr>
            <w:tcW w:type="dxa" w:w="28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REST/GraphQL API; stateless services</w:t>
            </w:r>
          </w:p>
        </w:tc>
      </w:tr>
      <w:tr>
        <w:tc>
          <w:tcPr>
            <w:tcW w:type="dxa" w:w="24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AI Orchestration Service</w:t>
            </w:r>
          </w:p>
        </w:tc>
        <w:tc>
          <w:tcPr>
            <w:tcW w:type="dxa" w:w="44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Embedding generation, retrieval, LLM prompting, output structuring</w:t>
            </w:r>
          </w:p>
        </w:tc>
        <w:tc>
          <w:tcPr>
            <w:tcW w:type="dxa" w:w="28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Isolated service so model/provider can be swapped without touching core app</w:t>
            </w:r>
          </w:p>
        </w:tc>
      </w:tr>
      <w:tr>
        <w:tc>
          <w:tcPr>
            <w:tcW w:type="dxa" w:w="24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Document Generation Service</w:t>
            </w:r>
          </w:p>
        </w:tc>
        <w:tc>
          <w:tcPr>
            <w:tcW w:type="dxa" w:w="44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docx parsing, tracked-change XML generation, Change Summary generation</w:t>
            </w:r>
          </w:p>
        </w:tc>
        <w:tc>
          <w:tcPr>
            <w:tcW w:type="dxa" w:w="28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Deterministic, testable — not itself AI-driven; consumes AI Orchestration output</w:t>
            </w:r>
          </w:p>
        </w:tc>
      </w:tr>
      <w:tr>
        <w:tc>
          <w:tcPr>
            <w:tcW w:type="dxa" w:w="24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Relational Database</w:t>
            </w:r>
          </w:p>
        </w:tc>
        <w:tc>
          <w:tcPr>
            <w:tcW w:type="dxa" w:w="44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Sites, Users, RTM, Requirements, Gaps, Workflow state, Audit log</w:t>
            </w:r>
          </w:p>
        </w:tc>
        <w:tc>
          <w:tcPr>
            <w:tcW w:type="dxa" w:w="28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Source of truth for all structured/compliance-relevant data</w:t>
            </w:r>
          </w:p>
        </w:tc>
      </w:tr>
      <w:tr>
        <w:tc>
          <w:tcPr>
            <w:tcW w:type="dxa" w:w="24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Vector Store</w:t>
            </w:r>
          </w:p>
        </w:tc>
        <w:tc>
          <w:tcPr>
            <w:tcW w:type="dxa" w:w="44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Embeddings for requirement clauses and SOP sections</w:t>
            </w:r>
          </w:p>
        </w:tc>
        <w:tc>
          <w:tcPr>
            <w:tcW w:type="dxa" w:w="28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Supports the RAG retrieval step; not a system of record</w:t>
            </w:r>
          </w:p>
        </w:tc>
      </w:tr>
      <w:tr>
        <w:tc>
          <w:tcPr>
            <w:tcW w:type="dxa" w:w="24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Document Storage</w:t>
            </w:r>
          </w:p>
        </w:tc>
        <w:tc>
          <w:tcPr>
            <w:tcW w:type="dxa" w:w="44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Versioned SOP files (.docx), generated redlines, Change Summaries</w:t>
            </w:r>
          </w:p>
        </w:tc>
        <w:tc>
          <w:tcPr>
            <w:tcW w:type="dxa" w:w="28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Encrypted at rest; versioned, immutable once approved</w:t>
            </w:r>
          </w:p>
        </w:tc>
      </w:tr>
      <w:tr>
        <w:tc>
          <w:tcPr>
            <w:tcW w:type="dxa" w:w="24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Identity &amp; Access</w:t>
            </w:r>
          </w:p>
        </w:tc>
        <w:tc>
          <w:tcPr>
            <w:tcW w:type="dxa" w:w="44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Authentication, SSO, role/site-scoped authorization</w:t>
            </w:r>
          </w:p>
        </w:tc>
        <w:tc>
          <w:tcPr>
            <w:tcW w:type="dxa" w:w="28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Integrate with existing corporate SSO/AD</w:t>
            </w:r>
          </w:p>
        </w:tc>
      </w:tr>
    </w:tbl>
    <w:p>
      <w:pPr>
        <w:spacing w:after="200"/>
      </w:pPr>
    </w:p>
    <w:p>
      <w:pPr>
        <w:pStyle w:val="Heading2"/>
      </w:pPr>
      <w:r>
        <w:t xml:space="preserve">7.1 Integration Points (see also Section 10)</w:t>
      </w:r>
    </w:p>
    <w:p>
      <w:pPr>
        <w:pStyle w:val="ListParagraph"/>
        <w:numPr>
          <w:ilvl w:val="0"/>
          <w:numId w:val="1"/>
        </w:numPr>
        <w:spacing w:after="80"/>
      </w:pPr>
      <w:r>
        <w:t xml:space="preserve">Existing eDMS/QMS (e.g. Veeva Vault QualityDocs, MasterControl) — for organizations with an established document management system, this platform can integrate as the intelligence/analysis layer feeding into the existing controlled-document repository, rather than replacing it.</w:t>
      </w:r>
    </w:p>
    <w:p>
      <w:pPr>
        <w:pStyle w:val="ListParagraph"/>
        <w:numPr>
          <w:ilvl w:val="0"/>
          <w:numId w:val="1"/>
        </w:numPr>
        <w:spacing w:after="80"/>
      </w:pPr>
      <w:r>
        <w:t xml:space="preserve">E-signature — either native Part-11-compliant signature capability or integration with an existing enterprise e-signature provider.</w:t>
      </w:r>
    </w:p>
    <w:p>
      <w:pPr>
        <w:pStyle w:val="ListParagraph"/>
        <w:numPr>
          <w:ilvl w:val="0"/>
          <w:numId w:val="1"/>
        </w:numPr>
        <w:spacing w:after="80"/>
      </w:pPr>
      <w:r>
        <w:t xml:space="preserve">Corporate SSO/identity provider for authentication and role provisioning.</w:t>
      </w:r>
    </w:p>
    <w:p>
      <w:r>
        <w:br w:type="page"/>
      </w:r>
    </w:p>
    <w:p>
      <w:pPr>
        <w:pStyle w:val="Heading1"/>
      </w:pPr>
      <w:r>
        <w:t xml:space="preserve">8. Non-Functional Requirements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tcPr>
          <w:p>
            <w:r>
              <w:rPr>
                <w:b/>
                <w:bCs/>
                <w:color w:val="FFFFFF"/>
                <w:sz w:val="18"/>
                <w:szCs w:val="18"/>
              </w:rPr>
              <w:t xml:space="preserve">Category</w:t>
            </w:r>
          </w:p>
        </w:tc>
        <w:tc>
          <w:tcPr>
            <w:tcW w:type="dxa" w:w="7200"/>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tcPr>
          <w:p>
            <w:r>
              <w:rPr>
                <w:b/>
                <w:bCs/>
                <w:color w:val="FFFFFF"/>
                <w:sz w:val="18"/>
                <w:szCs w:val="18"/>
              </w:rPr>
              <w:t xml:space="preserve">Requirement</w:t>
            </w:r>
          </w:p>
        </w:tc>
      </w:tr>
      <w:tr>
        <w:tc>
          <w:tcPr>
            <w:tcW w:type="dxa" w:w="24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Availability</w:t>
            </w:r>
          </w:p>
        </w:tc>
        <w:tc>
          <w:tcPr>
            <w:tcW w:type="dxa" w:w="72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Target 99.5% uptime during business hours across all site time zones; scheduled maintenance windows communicated in advance</w:t>
            </w:r>
          </w:p>
        </w:tc>
      </w:tr>
      <w:tr>
        <w:tc>
          <w:tcPr>
            <w:tcW w:type="dxa" w:w="24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Performance</w:t>
            </w:r>
          </w:p>
        </w:tc>
        <w:tc>
          <w:tcPr>
            <w:tcW w:type="dxa" w:w="72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AI-assisted requirement mapping for a newly uploaded SOP returns proposed results within minutes, not hours, for typical SOP length (~10-30 pages)</w:t>
            </w:r>
          </w:p>
        </w:tc>
      </w:tr>
      <w:tr>
        <w:tc>
          <w:tcPr>
            <w:tcW w:type="dxa" w:w="24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Scalability</w:t>
            </w:r>
          </w:p>
        </w:tc>
        <w:tc>
          <w:tcPr>
            <w:tcW w:type="dxa" w:w="72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Sized for 5-15 sites, hundreds of SOPs, dozens of concurrent users at launch, with headroom to double without architecture change</w:t>
            </w:r>
          </w:p>
        </w:tc>
      </w:tr>
      <w:tr>
        <w:tc>
          <w:tcPr>
            <w:tcW w:type="dxa" w:w="24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Data Residency</w:t>
            </w:r>
          </w:p>
        </w:tc>
        <w:tc>
          <w:tcPr>
            <w:tcW w:type="dxa" w:w="72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Hosting region(s) confirmed against company policy and the markets each site supplies (e.g. EU data residency if EU market data is in scope) — to be confirmed with IT/Legal</w:t>
            </w:r>
          </w:p>
        </w:tc>
      </w:tr>
      <w:tr>
        <w:tc>
          <w:tcPr>
            <w:tcW w:type="dxa" w:w="24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Backup &amp; Recovery</w:t>
            </w:r>
          </w:p>
        </w:tc>
        <w:tc>
          <w:tcPr>
            <w:tcW w:type="dxa" w:w="72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Daily backups of database and document storage; defined RPO/RTO agreed with IT before go-live</w:t>
            </w:r>
          </w:p>
        </w:tc>
      </w:tr>
      <w:tr>
        <w:tc>
          <w:tcPr>
            <w:tcW w:type="dxa" w:w="24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Browser/Device Support</w:t>
            </w:r>
          </w:p>
        </w:tc>
        <w:tc>
          <w:tcPr>
            <w:tcW w:type="dxa" w:w="72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Modern desktop browsers (Chrome, Edge, Firefox, Safari); redline review optimized for desktop given document review nature of the task</w:t>
            </w:r>
          </w:p>
        </w:tc>
      </w:tr>
    </w:tbl>
    <w:p>
      <w:r>
        <w:br w:type="page"/>
      </w:r>
    </w:p>
    <w:p>
      <w:pPr>
        <w:pStyle w:val="Heading1"/>
      </w:pPr>
      <w:r>
        <w:t xml:space="preserve">9. Security, Access Control &amp; Regulatory Compliance</w:t>
      </w:r>
    </w:p>
    <w:p>
      <w:pPr>
        <w:pStyle w:val="Heading2"/>
      </w:pPr>
      <w:r>
        <w:t xml:space="preserve">9.1 Access Control</w:t>
      </w:r>
    </w:p>
    <w:p>
      <w:pPr>
        <w:pStyle w:val="ListParagraph"/>
        <w:numPr>
          <w:ilvl w:val="0"/>
          <w:numId w:val="1"/>
        </w:numPr>
        <w:spacing w:after="80"/>
      </w:pPr>
      <w:r>
        <w:t xml:space="preserve">Role-based access control per Section 3, scoped additionally by site (a Site SOP Owner sees/edits only their site's SOPs by default).</w:t>
      </w:r>
    </w:p>
    <w:p>
      <w:pPr>
        <w:pStyle w:val="ListParagraph"/>
        <w:numPr>
          <w:ilvl w:val="0"/>
          <w:numId w:val="1"/>
        </w:numPr>
        <w:spacing w:after="80"/>
      </w:pPr>
      <w:r>
        <w:t xml:space="preserve">Least-privilege default; any cross-site or elevated access is an explicit grant, logged.</w:t>
      </w:r>
    </w:p>
    <w:p>
      <w:pPr>
        <w:pStyle w:val="ListParagraph"/>
        <w:numPr>
          <w:ilvl w:val="0"/>
          <w:numId w:val="1"/>
        </w:numPr>
        <w:spacing w:after="80"/>
      </w:pPr>
      <w:r>
        <w:t xml:space="preserve">Session timeout and re-authentication for signature actions, consistent with Part 11 expectations.</w:t>
      </w:r>
    </w:p>
    <w:p>
      <w:pPr>
        <w:pStyle w:val="Heading2"/>
      </w:pPr>
      <w:r>
        <w:t xml:space="preserve">9.2 21 CFR Part 11 / EU Annex 11 — Electronic Records &amp; Signatures</w:t>
      </w:r>
    </w:p>
    <w:p>
      <w:pPr>
        <w:pStyle w:val="ListParagraph"/>
        <w:numPr>
          <w:ilvl w:val="0"/>
          <w:numId w:val="1"/>
        </w:numPr>
        <w:spacing w:after="80"/>
      </w:pPr>
      <w:r>
        <w:t xml:space="preserve">Unique user identification; no shared logins.</w:t>
      </w:r>
    </w:p>
    <w:p>
      <w:pPr>
        <w:pStyle w:val="ListParagraph"/>
        <w:numPr>
          <w:ilvl w:val="0"/>
          <w:numId w:val="1"/>
        </w:numPr>
        <w:spacing w:after="80"/>
      </w:pPr>
      <w:r>
        <w:t xml:space="preserve">Electronic signatures are attributable, time-stamped, and linked to the specific record/version signed; signature meaning (e.g. "Approved", "Reviewed") is explicit and cannot be altered post-signature.</w:t>
      </w:r>
    </w:p>
    <w:p>
      <w:pPr>
        <w:pStyle w:val="ListParagraph"/>
        <w:numPr>
          <w:ilvl w:val="0"/>
          <w:numId w:val="1"/>
        </w:numPr>
        <w:spacing w:after="80"/>
      </w:pPr>
      <w:r>
        <w:t xml:space="preserve">Signed records are rendered tamper-evident — any post-signature change requires a new version and a new signature cycle.</w:t>
      </w:r>
    </w:p>
    <w:p>
      <w:pPr>
        <w:pStyle w:val="ListParagraph"/>
        <w:numPr>
          <w:ilvl w:val="0"/>
          <w:numId w:val="1"/>
        </w:numPr>
        <w:spacing w:after="80"/>
      </w:pPr>
      <w:r>
        <w:t xml:space="preserve">Full audit trail (Section 4.10) retained for the record's full lifecycle, independently reviewable.</w:t>
      </w:r>
    </w:p>
    <w:p>
      <w:pPr>
        <w:pStyle w:val="ListParagraph"/>
        <w:numPr>
          <w:ilvl w:val="0"/>
          <w:numId w:val="1"/>
        </w:numPr>
        <w:spacing w:after="80"/>
      </w:pPr>
      <w:r>
        <w:t xml:space="preserve">System access, in particular administrative and configuration changes, is itself logged and reviewable.</w:t>
      </w:r>
    </w:p>
    <w:p>
      <w:pPr>
        <w:pStyle w:val="Heading2"/>
      </w:pPr>
      <w:r>
        <w:t xml:space="preserve">9.3 Computer System Validation (CSV/CSA)</w:t>
      </w:r>
    </w:p>
    <w:p>
      <w:pPr>
        <w:pStyle w:val="ListParagraph"/>
        <w:numPr>
          <w:ilvl w:val="0"/>
          <w:numId w:val="1"/>
        </w:numPr>
        <w:spacing w:after="80"/>
      </w:pPr>
      <w:r>
        <w:t xml:space="preserve">This system is GxP-relevant (it directly informs SOP content and compliance decisions) and requires formal validation before production use, per the organization's CSV/CSA procedure.</w:t>
      </w:r>
    </w:p>
    <w:p>
      <w:pPr>
        <w:pStyle w:val="ListParagraph"/>
        <w:numPr>
          <w:ilvl w:val="0"/>
          <w:numId w:val="1"/>
        </w:numPr>
        <w:spacing w:after="80"/>
      </w:pPr>
      <w:r>
        <w:t xml:space="preserve">Recommended approach: risk-based Computer Software Assurance (CSA) aligned with GAMP 5 2nd Edition and FDA's CSA guidance — testing depth and rigor scaled to each feature's risk to product quality/patient safety, with the workflow/approval/audit-trail features (highest risk) tested most rigorously, and the AI-assisted suggestion features tested for the human-review control around them (since the AI output itself is never the final compliance decision).</w:t>
      </w:r>
    </w:p>
    <w:p>
      <w:pPr>
        <w:pStyle w:val="ListParagraph"/>
        <w:numPr>
          <w:ilvl w:val="0"/>
          <w:numId w:val="1"/>
        </w:numPr>
        <w:spacing w:after="80"/>
      </w:pPr>
      <w:r>
        <w:t xml:space="preserve">AI-specific validation additions: documented test sets with known-correct mappings/gaps to measure and record AI accuracy before go-live and periodically thereafter (ties to the model risk management program in Section 6.2).</w:t>
      </w:r>
    </w:p>
    <w:p>
      <w:pPr>
        <w:pStyle w:val="ListParagraph"/>
        <w:numPr>
          <w:ilvl w:val="0"/>
          <w:numId w:val="1"/>
        </w:numPr>
        <w:spacing w:after="80"/>
      </w:pPr>
      <w:r>
        <w:t xml:space="preserve">Validation deliverables (URS, functional/design specs — this document is a starting point for the URS — test protocols, traceability matrix of tests to requirements, summary report) per the organization's standard CSV template set.</w:t>
      </w:r>
    </w:p>
    <w:p>
      <w:pPr>
        <w:pStyle w:val="Heading2"/>
      </w:pPr>
      <w:r>
        <w:t xml:space="preserve">9.4 Data Integrity (ALCOA+)</w:t>
      </w:r>
    </w:p>
    <w:p>
      <w:pPr>
        <w:spacing w:after="140"/>
      </w:pPr>
      <w:r>
        <w:t xml:space="preserve">Every record created or modified in the system (RTM entries, gap records, SOP versions, approvals) is Attributable, Legible, Contemporaneous, Original, and Accurate, and additionally Complete, Consistent, Enduring, and Available — enforced structurally by the audit trail, versioning, and signature design described above rather than left to user discipline.</w:t>
      </w:r>
    </w:p>
    <w:p>
      <w:r>
        <w:br w:type="page"/>
      </w:r>
    </w:p>
    <w:p>
      <w:pPr>
        <w:pStyle w:val="Heading1"/>
      </w:pPr>
      <w:r>
        <w:t xml:space="preserve">10. Integration &amp; Migration Considerations</w:t>
      </w:r>
    </w:p>
    <w:p>
      <w:pPr>
        <w:pStyle w:val="ListParagraph"/>
        <w:numPr>
          <w:ilvl w:val="0"/>
          <w:numId w:val="1"/>
        </w:numPr>
        <w:spacing w:after="80"/>
      </w:pPr>
      <w:r>
        <w:t xml:space="preserve">If an eDMS/QMS is already in place for controlled document storage, confirm whether this platform should (a) operate as an add-on intelligence layer that reads from and writes back to the eDMS, or (b) serve as the system of record itself. This materially changes the architecture in Section 7 and should be resolved early with IT.</w:t>
      </w:r>
    </w:p>
    <w:p>
      <w:pPr>
        <w:pStyle w:val="ListParagraph"/>
        <w:numPr>
          <w:ilvl w:val="0"/>
          <w:numId w:val="1"/>
        </w:numPr>
        <w:spacing w:after="80"/>
      </w:pPr>
      <w:r>
        <w:t xml:space="preserve">Migration of the existing RTM spreadsheet (RTM_Sterile_Injectable_Template.xlsx, already built for this program) into the application's data model as the initial data load.</w:t>
      </w:r>
    </w:p>
    <w:p>
      <w:pPr>
        <w:pStyle w:val="ListParagraph"/>
        <w:numPr>
          <w:ilvl w:val="0"/>
          <w:numId w:val="1"/>
        </w:numPr>
        <w:spacing w:after="80"/>
      </w:pPr>
      <w:r>
        <w:t xml:space="preserve">Initial bulk ingestion of each site's current SOP set — recommend a phased, site-by-site onboarding rather than all sites at once, to validate the AI mapping quality on real documents before wide rollout.</w:t>
      </w:r>
    </w:p>
    <w:p>
      <w:pPr>
        <w:pStyle w:val="Heading1"/>
      </w:pPr>
      <w:r>
        <w:t xml:space="preserve">11. Indicative Technology Stack</w:t>
      </w:r>
    </w:p>
    <w:p>
      <w:pPr>
        <w:spacing w:after="140"/>
      </w:pPr>
      <w:r>
        <w:t xml:space="preserve">Provided as a starting recommendation for the build team; final choice should follow the organization's existing platform standards where they exist.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tcPr>
          <w:p>
            <w:r>
              <w:rPr>
                <w:b/>
                <w:bCs/>
                <w:color w:val="FFFFFF"/>
                <w:sz w:val="18"/>
                <w:szCs w:val="18"/>
              </w:rPr>
              <w:t xml:space="preserve">Component</w:t>
            </w:r>
          </w:p>
        </w:tc>
        <w:tc>
          <w:tcPr>
            <w:tcW w:type="dxa" w:w="7000"/>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tcPr>
          <w:p>
            <w:r>
              <w:rPr>
                <w:b/>
                <w:bCs/>
                <w:color w:val="FFFFFF"/>
                <w:sz w:val="18"/>
                <w:szCs w:val="18"/>
              </w:rPr>
              <w:t xml:space="preserve">Suggested Options</w:t>
            </w:r>
          </w:p>
        </w:tc>
      </w:tr>
      <w:tr>
        <w:tc>
          <w:tcPr>
            <w:tcW w:type="dxa" w:w="26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Frontend</w:t>
            </w:r>
          </w:p>
        </w:tc>
        <w:tc>
          <w:tcPr>
            <w:tcW w:type="dxa" w:w="70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React or similar modern SPA framework; component library supporting accessible data-dense dashboards</w:t>
            </w:r>
          </w:p>
        </w:tc>
      </w:tr>
      <w:tr>
        <w:tc>
          <w:tcPr>
            <w:tcW w:type="dxa" w:w="26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Backend/API</w:t>
            </w:r>
          </w:p>
        </w:tc>
        <w:tc>
          <w:tcPr>
            <w:tcW w:type="dxa" w:w="70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Node.js/TypeScript or Python (FastAPI/Django) — either fits the workflow-and-document-generation profile well</w:t>
            </w:r>
          </w:p>
        </w:tc>
      </w:tr>
      <w:tr>
        <w:tc>
          <w:tcPr>
            <w:tcW w:type="dxa" w:w="26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Database</w:t>
            </w:r>
          </w:p>
        </w:tc>
        <w:tc>
          <w:tcPr>
            <w:tcW w:type="dxa" w:w="70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PostgreSQL (relational, strong audit/versioning support)</w:t>
            </w:r>
          </w:p>
        </w:tc>
      </w:tr>
      <w:tr>
        <w:tc>
          <w:tcPr>
            <w:tcW w:type="dxa" w:w="26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Vector Store</w:t>
            </w:r>
          </w:p>
        </w:tc>
        <w:tc>
          <w:tcPr>
            <w:tcW w:type="dxa" w:w="70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pgvector (co-located with PostgreSQL) or a managed vector database, depending on scale</w:t>
            </w:r>
          </w:p>
        </w:tc>
      </w:tr>
      <w:tr>
        <w:tc>
          <w:tcPr>
            <w:tcW w:type="dxa" w:w="26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AI/LLM</w:t>
            </w:r>
          </w:p>
        </w:tc>
        <w:tc>
          <w:tcPr>
            <w:tcW w:type="dxa" w:w="70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Claude via API, run through an access-controlled, logged orchestration service — never a direct, unmonitored client-side call</w:t>
            </w:r>
          </w:p>
        </w:tc>
      </w:tr>
      <w:tr>
        <w:tc>
          <w:tcPr>
            <w:tcW w:type="dxa" w:w="26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Document Generation</w:t>
            </w:r>
          </w:p>
        </w:tc>
        <w:tc>
          <w:tcPr>
            <w:tcW w:type="dxa" w:w="70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python-docx / docx (Node) for .docx manipulation and Word-native tracked-change XML generation</w:t>
            </w:r>
          </w:p>
        </w:tc>
      </w:tr>
      <w:tr>
        <w:tc>
          <w:tcPr>
            <w:tcW w:type="dxa" w:w="26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Hosting</w:t>
            </w:r>
          </w:p>
        </w:tc>
        <w:tc>
          <w:tcPr>
            <w:tcW w:type="dxa" w:w="70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Cloud (AWS/Azure/GCP) with region selection driven by the data-residency requirement in Section 8; private/VPC deployment for GxP data</w:t>
            </w:r>
          </w:p>
        </w:tc>
      </w:tr>
      <w:tr>
        <w:tc>
          <w:tcPr>
            <w:tcW w:type="dxa" w:w="26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E-Signature</w:t>
            </w:r>
          </w:p>
        </w:tc>
        <w:tc>
          <w:tcPr>
            <w:tcW w:type="dxa" w:w="70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Native Part-11-compliant module, or integration with existing enterprise e-signature platform</w:t>
            </w:r>
          </w:p>
        </w:tc>
      </w:tr>
    </w:tbl>
    <w:p>
      <w:r>
        <w:br w:type="page"/>
      </w:r>
    </w:p>
    <w:p>
      <w:pPr>
        <w:pStyle w:val="Heading1"/>
      </w:pPr>
      <w:r>
        <w:t xml:space="preserve">12. Phased Delivery Roadmap</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600"/>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tcPr>
          <w:p>
            <w:r>
              <w:rPr>
                <w:b/>
                <w:bCs/>
                <w:color w:val="FFFFFF"/>
                <w:sz w:val="18"/>
                <w:szCs w:val="18"/>
              </w:rPr>
              <w:t xml:space="preserve">Phase</w:t>
            </w:r>
          </w:p>
        </w:tc>
        <w:tc>
          <w:tcPr>
            <w:tcW w:type="dxa" w:w="5000"/>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tcPr>
          <w:p>
            <w:r>
              <w:rPr>
                <w:b/>
                <w:bCs/>
                <w:color w:val="FFFFFF"/>
                <w:sz w:val="18"/>
                <w:szCs w:val="18"/>
              </w:rPr>
              <w:t xml:space="preserve">Scope</w:t>
            </w:r>
          </w:p>
        </w:tc>
        <w:tc>
          <w:tcPr>
            <w:tcW w:type="dxa" w:w="3000"/>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tcPr>
          <w:p>
            <w:r>
              <w:rPr>
                <w:b/>
                <w:bCs/>
                <w:color w:val="FFFFFF"/>
                <w:sz w:val="18"/>
                <w:szCs w:val="18"/>
              </w:rPr>
              <w:t xml:space="preserve">Outcome</w:t>
            </w:r>
          </w:p>
        </w:tc>
      </w:tr>
      <w:tr>
        <w:tc>
          <w:tcPr>
            <w:tcW w:type="dxa" w:w="16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Phase 0 — Foundation</w:t>
            </w:r>
          </w:p>
        </w:tc>
        <w:tc>
          <w:tcPr>
            <w:tcW w:type="dxa" w:w="50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Confirm data residency/eDMS integration decision; finalize URS from this document; select 2-3 pilot sites</w:t>
            </w:r>
          </w:p>
        </w:tc>
        <w:tc>
          <w:tcPr>
            <w:tcW w:type="dxa" w:w="30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Signed-off requirements; validation plan</w:t>
            </w:r>
          </w:p>
        </w:tc>
      </w:tr>
      <w:tr>
        <w:tc>
          <w:tcPr>
            <w:tcW w:type="dxa" w:w="16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Phase 1 — MVP</w:t>
            </w:r>
          </w:p>
        </w:tc>
        <w:tc>
          <w:tcPr>
            <w:tcW w:type="dxa" w:w="50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SOP repository, regulatory library, manual + AI-assisted RTM mapping, gap dashboard, RTM export (no e-signature yet — export-based approval)</w:t>
            </w:r>
          </w:p>
        </w:tc>
        <w:tc>
          <w:tcPr>
            <w:tcW w:type="dxa" w:w="30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RTM digitized and AI-assisted for pilot sites</w:t>
            </w:r>
          </w:p>
        </w:tc>
      </w:tr>
      <w:tr>
        <w:tc>
          <w:tcPr>
            <w:tcW w:type="dxa" w:w="16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Phase 2 — Core Workflow</w:t>
            </w:r>
          </w:p>
        </w:tc>
        <w:tc>
          <w:tcPr>
            <w:tcW w:type="dxa" w:w="50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Site comparison engine, AI-assisted redlining with Track Changes, Change Summary generation, e-signature workflow</w:t>
            </w:r>
          </w:p>
        </w:tc>
        <w:tc>
          <w:tcPr>
            <w:tcW w:type="dxa" w:w="30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End-to-end gap-to-approved-SOP cycle live for pilot sites</w:t>
            </w:r>
          </w:p>
        </w:tc>
      </w:tr>
      <w:tr>
        <w:tc>
          <w:tcPr>
            <w:tcW w:type="dxa" w:w="16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Phase 3 — Scale &amp; Harden</w:t>
            </w:r>
          </w:p>
        </w:tc>
        <w:tc>
          <w:tcPr>
            <w:tcW w:type="dxa" w:w="50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Roll out to all remaining sites, eDMS/SSO integration, full CSV/CSA validation, accuracy monitoring program live</w:t>
            </w:r>
          </w:p>
        </w:tc>
        <w:tc>
          <w:tcPr>
            <w:tcW w:type="dxa" w:w="30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Production system across full site network, formally validated</w:t>
            </w:r>
          </w:p>
        </w:tc>
      </w:tr>
    </w:tbl>
    <w:p>
      <w:pPr>
        <w:pStyle w:val="Heading1"/>
      </w:pPr>
      <w:r>
        <w:t xml:space="preserve">13. Indicative Team &amp; Resourcing</w:t>
      </w:r>
    </w:p>
    <w:p>
      <w:pPr>
        <w:pStyle w:val="ListParagraph"/>
        <w:numPr>
          <w:ilvl w:val="0"/>
          <w:numId w:val="1"/>
        </w:numPr>
        <w:spacing w:after="80"/>
      </w:pPr>
      <w:r>
        <w:t xml:space="preserve">Product owner (Quality/Regulatory side) — defines requirement library scope, workflow rules, acceptance criteria.</w:t>
      </w:r>
    </w:p>
    <w:p>
      <w:pPr>
        <w:pStyle w:val="ListParagraph"/>
        <w:numPr>
          <w:ilvl w:val="0"/>
          <w:numId w:val="1"/>
        </w:numPr>
        <w:spacing w:after="80"/>
      </w:pPr>
      <w:r>
        <w:t xml:space="preserve">Solution architect / tech lead — owns architecture decisions in Section 7 and the eDMS integration decision.</w:t>
      </w:r>
    </w:p>
    <w:p>
      <w:pPr>
        <w:pStyle w:val="ListParagraph"/>
        <w:numPr>
          <w:ilvl w:val="0"/>
          <w:numId w:val="1"/>
        </w:numPr>
        <w:spacing w:after="80"/>
      </w:pPr>
      <w:r>
        <w:t xml:space="preserve">2-3 full-stack engineers — application, workflow engine, document generation.</w:t>
      </w:r>
    </w:p>
    <w:p>
      <w:pPr>
        <w:pStyle w:val="ListParagraph"/>
        <w:numPr>
          <w:ilvl w:val="0"/>
          <w:numId w:val="1"/>
        </w:numPr>
        <w:spacing w:after="80"/>
      </w:pPr>
      <w:r>
        <w:t xml:space="preserve">1 AI/ML engineer — RAG pipeline, prompt library, model risk management program.</w:t>
      </w:r>
    </w:p>
    <w:p>
      <w:pPr>
        <w:pStyle w:val="ListParagraph"/>
        <w:numPr>
          <w:ilvl w:val="0"/>
          <w:numId w:val="1"/>
        </w:numPr>
        <w:spacing w:after="80"/>
      </w:pPr>
      <w:r>
        <w:t xml:space="preserve">QA/validation lead — CSV/CSA protocol authorship and execution.</w:t>
      </w:r>
    </w:p>
    <w:p>
      <w:pPr>
        <w:pStyle w:val="ListParagraph"/>
        <w:numPr>
          <w:ilvl w:val="0"/>
          <w:numId w:val="1"/>
        </w:numPr>
        <w:spacing w:after="80"/>
      </w:pPr>
      <w:r>
        <w:t xml:space="preserve">Site champions (1 per pilot site) — SOP data quality, UAT participation, change management.</w:t>
      </w:r>
    </w:p>
    <w:p>
      <w:pPr>
        <w:pStyle w:val="Heading1"/>
      </w:pPr>
      <w:r>
        <w:t xml:space="preserve">14. Key Risks &amp; Mitigations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tcPr>
          <w:p>
            <w:r>
              <w:rPr>
                <w:b/>
                <w:bCs/>
                <w:color w:val="FFFFFF"/>
                <w:sz w:val="18"/>
                <w:szCs w:val="18"/>
              </w:rPr>
              <w:t xml:space="preserve">Risk</w:t>
            </w:r>
          </w:p>
        </w:tc>
        <w:tc>
          <w:tcPr>
            <w:tcW w:type="dxa" w:w="6200"/>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tcPr>
          <w:p>
            <w:r>
              <w:rPr>
                <w:b/>
                <w:bCs/>
                <w:color w:val="FFFFFF"/>
                <w:sz w:val="18"/>
                <w:szCs w:val="18"/>
              </w:rPr>
              <w:t xml:space="preserve">Mitigation</w:t>
            </w:r>
          </w:p>
        </w:tc>
      </w:tr>
      <w:tr>
        <w:tc>
          <w:tcPr>
            <w:tcW w:type="dxa" w:w="34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AI mapping/redline quality is inconsistent across varied SOP writing styles</w:t>
            </w:r>
          </w:p>
        </w:tc>
        <w:tc>
          <w:tcPr>
            <w:tcW w:type="dxa" w:w="62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Mandatory human confirmation on every AI output (Section 6); phased pilot rollout with accuracy sampling before scaling</w:t>
            </w:r>
          </w:p>
        </w:tc>
      </w:tr>
      <w:tr>
        <w:tc>
          <w:tcPr>
            <w:tcW w:type="dxa" w:w="34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Regulators view AI-influenced GMP decisions with heightened scrutiny</w:t>
            </w:r>
          </w:p>
        </w:tc>
        <w:tc>
          <w:tcPr>
            <w:tcW w:type="dxa" w:w="62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Explainability requirement, model risk management program, and human-sign-off design (Section 6) built to withstand inspection; validated per CSA/GAMP 5</w:t>
            </w:r>
          </w:p>
        </w:tc>
      </w:tr>
      <w:tr>
        <w:tc>
          <w:tcPr>
            <w:tcW w:type="dxa" w:w="34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Data residency / confidentiality of proprietary SOP content sent to an AI provider</w:t>
            </w:r>
          </w:p>
        </w:tc>
        <w:tc>
          <w:tcPr>
            <w:tcW w:type="dxa" w:w="62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Access-controlled, logged AI orchestration layer under the org's own data-handling agreement; hosting region decision in Section 8 made explicitly, not by default</w:t>
            </w:r>
          </w:p>
        </w:tc>
      </w:tr>
      <w:tr>
        <w:tc>
          <w:tcPr>
            <w:tcW w:type="dxa" w:w="34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Duplication or conflict with an existing eDMS/QMS</w:t>
            </w:r>
          </w:p>
        </w:tc>
        <w:tc>
          <w:tcPr>
            <w:tcW w:type="dxa" w:w="62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Integration decision (Section 10) resolved in Phase 0 before architecture is finalized</w:t>
            </w:r>
          </w:p>
        </w:tc>
      </w:tr>
      <w:tr>
        <w:tc>
          <w:tcPr>
            <w:tcW w:type="dxa" w:w="34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User adoption — teams keep using the old spreadsheet process</w:t>
            </w:r>
          </w:p>
        </w:tc>
        <w:tc>
          <w:tcPr>
            <w:tcW w:type="dxa" w:w="62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b w:val="false"/>
                <w:bCs w:val="false"/>
                <w:sz w:val="18"/>
                <w:szCs w:val="18"/>
              </w:rPr>
              <w:t xml:space="preserve">Phase 1 MVP explicitly mirrors the existing RTM structure users already know; site champions drive pilot adoption</w:t>
            </w:r>
          </w:p>
        </w:tc>
      </w:tr>
    </w:tbl>
    <w:p>
      <w:pPr>
        <w:pStyle w:val="Heading1"/>
      </w:pPr>
      <w:r>
        <w:t xml:space="preserve">15. Open Questions for the Business (Inputs Needed to Finalize This Spec)</w:t>
      </w:r>
    </w:p>
    <w:p>
      <w:pPr>
        <w:pStyle w:val="ListParagraph"/>
        <w:numPr>
          <w:ilvl w:val="0"/>
          <w:numId w:val="1"/>
        </w:numPr>
        <w:spacing w:after="80"/>
      </w:pPr>
      <w:r>
        <w:t xml:space="preserve">Final list of sites: name, location, product type, sterilization method, and markets/regulatory destinations supplied.</w:t>
      </w:r>
    </w:p>
    <w:p>
      <w:pPr>
        <w:pStyle w:val="ListParagraph"/>
        <w:numPr>
          <w:ilvl w:val="0"/>
          <w:numId w:val="1"/>
        </w:numPr>
        <w:spacing w:after="80"/>
      </w:pPr>
      <w:r>
        <w:t xml:space="preserve">Does an eDMS/QMS already exist for controlled SOPs? If so, which one, and should this platform integrate with it or replace it for this use case?</w:t>
      </w:r>
    </w:p>
    <w:p>
      <w:pPr>
        <w:pStyle w:val="ListParagraph"/>
        <w:numPr>
          <w:ilvl w:val="0"/>
          <w:numId w:val="1"/>
        </w:numPr>
        <w:spacing w:after="80"/>
      </w:pPr>
      <w:r>
        <w:t xml:space="preserve">Data residency constraints — any requirement that data stay within a specific region/country given the markets served?</w:t>
      </w:r>
    </w:p>
    <w:p>
      <w:pPr>
        <w:pStyle w:val="ListParagraph"/>
        <w:numPr>
          <w:ilvl w:val="0"/>
          <w:numId w:val="1"/>
        </w:numPr>
        <w:spacing w:after="80"/>
      </w:pPr>
      <w:r>
        <w:t xml:space="preserve">Existing e-signature and SSO infrastructure to integrate with, if any.</w:t>
      </w:r>
    </w:p>
    <w:p>
      <w:pPr>
        <w:pStyle w:val="ListParagraph"/>
        <w:numPr>
          <w:ilvl w:val="0"/>
          <w:numId w:val="1"/>
        </w:numPr>
        <w:spacing w:after="80"/>
      </w:pPr>
      <w:r>
        <w:t xml:space="preserve">Target pilot sites and timeline for Phase 1.</w:t>
      </w:r>
    </w:p>
    <w:p>
      <w:pPr>
        <w:pStyle w:val="ListParagraph"/>
        <w:numPr>
          <w:ilvl w:val="0"/>
          <w:numId w:val="1"/>
        </w:numPr>
        <w:spacing w:after="80"/>
      </w:pPr>
      <w:r>
        <w:t xml:space="preserve">Budget/procurement path — build in-house, engage a vendor/systems integrator, or a hybrid (this platform's AI layer + an existing eDMS)?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SOP Compliance Intelligence Platform — Requirements &amp; Architecture Spec v1.0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rFonts w:ascii="Arial" w:cs="Arial" w:eastAsia="Arial" w:hAnsi="Arial"/>
      <w:b/>
      <w:bCs/>
      <w:color w:val="1F3864"/>
      <w:sz w:val="28"/>
      <w:szCs w:val="28"/>
    </w:rPr>
  </w:style>
  <w:style w:type="paragraph" w:styleId="Heading2">
    <w:name w:val="Heading 2"/>
    <w:basedOn w:val="Normal"/>
    <w:next w:val="Normal"/>
    <w:qFormat/>
    <w:pPr>
      <w:spacing w:after="110" w:before="220"/>
    </w:pPr>
    <w:rPr>
      <w:rFonts w:ascii="Arial" w:cs="Arial" w:eastAsia="Arial" w:hAnsi="Arial"/>
      <w:b/>
      <w:bCs/>
      <w:color w:val="1F3864"/>
      <w:sz w:val="24"/>
      <w:szCs w:val="24"/>
    </w:rPr>
  </w:style>
  <w:style w:type="paragraph" w:styleId="Heading3">
    <w:name w:val="Heading 3"/>
    <w:basedOn w:val="Normal"/>
    <w:next w:val="Normal"/>
    <w:qFormat/>
    <w:pPr>
      <w:spacing w:after="90" w:before="160"/>
    </w:pPr>
    <w:rPr>
      <w:rFonts w:ascii="Arial" w:cs="Arial" w:eastAsia="Arial" w:hAnsi="Arial"/>
      <w:b/>
      <w:bCs/>
      <w:color w:val="444444"/>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2026-07-22T09:22:41.256Z</dcterms:created>
  <dcterms:modified xsi:type="dcterms:W3CDTF">2026-07-22T09:22:41.269Z</dcterms:modified>
</cp:coreProperties>
</file>

<file path=docProps/custom.xml><?xml version="1.0" encoding="utf-8"?>
<Properties xmlns="http://schemas.openxmlformats.org/officeDocument/2006/custom-properties" xmlns:vt="http://schemas.openxmlformats.org/officeDocument/2006/docPropsVTypes"/>
</file>