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SOP Compliance Program</w:t>
      </w:r>
    </w:p>
    <w:p>
      <w:pPr>
        <w:spacing w:after="60"/>
      </w:pPr>
      <w:r>
        <w:rPr>
          <w:b/>
          <w:bCs/>
          <w:color w:val="444444"/>
          <w:sz w:val="26"/>
          <w:szCs w:val="26"/>
        </w:rPr>
        <w:t xml:space="preserve">Framework &amp; Methodology — Sterile / Injectable Formulation Manufacturing</w:t>
      </w:r>
    </w:p>
    <w:p>
      <w:pPr>
        <w:spacing w:after="300"/>
      </w:pPr>
      <w:r>
        <w:rPr>
          <w:i/>
          <w:iCs/>
          <w:color w:val="666666"/>
          <w:sz w:val="18"/>
          <w:szCs w:val="18"/>
        </w:rPr>
        <w:t xml:space="preserve">Prepared for: SOP Compliance Project    |    Date: 21 July 2026    |    Status: Framework (pending site &amp; SOP data)</w:t>
      </w:r>
    </w:p>
    <w:p>
      <w:pPr>
        <w:pStyle w:val="Heading1"/>
        <w:spacing w:after="150" w:before="300"/>
      </w:pPr>
      <w:r>
        <w:t xml:space="preserve">1. Purpose &amp; Scope</w:t>
      </w:r>
    </w:p>
    <w:p>
      <w:pPr>
        <w:spacing w:after="140"/>
      </w:pPr>
      <w:r>
        <w:t xml:space="preserve">This document defines the methodology used to audit Standard Operating Procedures (SOPs) across all manufacturing sites producing sterile / injectable formulations, to compare how each site executes the same process, to assess compliance against applicable regulatory guidance, to identify missing SOPs, and to manage the resulting document updates through a controlled, tracked-change revision process.</w:t>
      </w:r>
    </w:p>
    <w:p>
      <w:pPr>
        <w:spacing w:after="140"/>
      </w:pPr>
      <w:r>
        <w:t xml:space="preserve">Scope: sterile and aseptically or terminally processed injectable products. This includes formulation, component preparation, aseptic filling / terminal sterilization, environmental control, cleaning and sanitization, water systems, personnel gowning, in-process and finished product testing, and associated documentation and quality systems.</w:t>
      </w:r>
    </w:p>
    <w:p>
      <w:pPr>
        <w:spacing w:after="140"/>
      </w:pPr>
      <w:r>
        <w:t xml:space="preserve">This framework is regulation-agnostic in structure but is pre-populated for the following bodies, all of which apply given multi-market supply:</w:t>
      </w:r>
    </w:p>
    <w:p>
      <w:pPr>
        <w:pStyle w:val="ListParagraph"/>
        <w:numPr>
          <w:ilvl w:val="0"/>
          <w:numId w:val="1"/>
        </w:numPr>
        <w:spacing w:after="80"/>
      </w:pPr>
      <w:r>
        <w:t xml:space="preserve">US FDA 21 CFR Parts 210 &amp; 211 (cGMP for Finished Pharmaceuticals), including the Aseptic Processing Guidance.</w:t>
      </w:r>
    </w:p>
    <w:p>
      <w:pPr>
        <w:pStyle w:val="ListParagraph"/>
        <w:numPr>
          <w:ilvl w:val="0"/>
          <w:numId w:val="1"/>
        </w:numPr>
        <w:spacing w:after="80"/>
      </w:pPr>
      <w:r>
        <w:t xml:space="preserve">EU GMP EudraLex Volume 4, Annex 1 (2022) — Manufacture of Sterile Medicinal Products.</w:t>
      </w:r>
    </w:p>
    <w:p>
      <w:pPr>
        <w:pStyle w:val="ListParagraph"/>
        <w:numPr>
          <w:ilvl w:val="0"/>
          <w:numId w:val="1"/>
        </w:numPr>
        <w:spacing w:after="80"/>
      </w:pPr>
      <w:r>
        <w:t xml:space="preserve">ICH Q7 (GMP for APIs), Q9 (Quality Risk Management), Q10 (Pharmaceutical Quality System).</w:t>
      </w:r>
    </w:p>
    <w:p>
      <w:pPr>
        <w:pStyle w:val="ListParagraph"/>
        <w:numPr>
          <w:ilvl w:val="0"/>
          <w:numId w:val="1"/>
        </w:numPr>
        <w:spacing w:after="80"/>
      </w:pPr>
      <w:r>
        <w:t xml:space="preserve">WHO GMP, TRS 1044 Annex 2 — GMP for Sterile Pharmaceutical Products.</w:t>
      </w:r>
    </w:p>
    <w:p>
      <w:pPr>
        <w:spacing w:after="140"/>
      </w:pPr>
      <w:r>
        <w:t xml:space="preserve">Site count, plant locations, product mix (injectable vs. other sterile forms), and market/supply destinations are pending from the user and will determine which subset of the above applies most heavily per site (e.g., WHO GMP where a site supplies WHO-prequalified markets).</w:t>
      </w:r>
    </w:p>
    <w:p>
      <w:pPr>
        <w:pStyle w:val="Heading1"/>
        <w:spacing w:after="150" w:before="300"/>
      </w:pPr>
      <w:r>
        <w:t xml:space="preserve">2. Program Workflow</w:t>
      </w:r>
    </w:p>
    <w:p>
      <w:pPr>
        <w:spacing w:after="140"/>
      </w:pPr>
      <w:r>
        <w:t xml:space="preserve">The program runs in five stages. Each stage produces a defined deliverable.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Stage</w:t>
            </w:r>
          </w:p>
        </w:tc>
        <w:tc>
          <w:tcPr>
            <w:tcW w:type="dxa" w:w="4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Activity</w:t>
            </w:r>
          </w:p>
        </w:tc>
        <w:tc>
          <w:tcPr>
            <w:tcW w:type="dxa" w:w="3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Deliverable</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sz w:val="18"/>
                <w:szCs w:val="18"/>
              </w:rPr>
              <w:t xml:space="preserve">1</w:t>
            </w:r>
          </w:p>
        </w:tc>
        <w:tc>
          <w:tcPr>
            <w:tcW w:type="dxa" w:w="4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Collect SOPs from every site + confirm applicable regulation set per site (product type, markets supplied).</w:t>
            </w:r>
          </w:p>
        </w:tc>
        <w:tc>
          <w:tcPr>
            <w:tcW w:type="dxa" w:w="3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SOP inventory per site; Site Setup sheet completed</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sz w:val="18"/>
                <w:szCs w:val="18"/>
              </w:rPr>
              <w:t xml:space="preserve">2</w:t>
            </w:r>
          </w:p>
        </w:tc>
        <w:tc>
          <w:tcPr>
            <w:tcW w:type="dxa" w:w="4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Map each regulatory requirement to the SOP(s) intended to cover it, per site.</w:t>
            </w:r>
          </w:p>
        </w:tc>
        <w:tc>
          <w:tcPr>
            <w:tcW w:type="dxa" w:w="3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Populated Requirement Traceability Matrix (RTM)</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sz w:val="18"/>
                <w:szCs w:val="18"/>
              </w:rPr>
              <w:t xml:space="preserve">3</w:t>
            </w:r>
          </w:p>
        </w:tc>
        <w:tc>
          <w:tcPr>
            <w:tcW w:type="dxa" w:w="4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Compare SOPs addressing the same process across sites; log differences and whether each difference has regulatory impact.</w:t>
            </w:r>
          </w:p>
        </w:tc>
        <w:tc>
          <w:tcPr>
            <w:tcW w:type="dxa" w:w="3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Site Comparison log / report</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sz w:val="18"/>
                <w:szCs w:val="18"/>
              </w:rPr>
              <w:t xml:space="preserve">4</w:t>
            </w:r>
          </w:p>
        </w:tc>
        <w:tc>
          <w:tcPr>
            <w:tcW w:type="dxa" w:w="4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Assess each SOP against the mapped requirement(s); classify coverage; identify missing SOPs.</w:t>
            </w:r>
          </w:p>
        </w:tc>
        <w:tc>
          <w:tcPr>
            <w:tcW w:type="dxa" w:w="3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Gap Analysis report</w:t>
            </w:r>
          </w:p>
        </w:tc>
      </w:tr>
      <w:tr>
        <w:tc>
          <w:tcPr>
            <w:tcW w:type="dxa" w:w="1400"/>
            <w:tcBorders>
              <w:top w:val="single" w:color="BFBFBF" w:sz="2"/>
              <w:left w:val="single" w:color="BFBFBF" w:sz="2"/>
              <w:bottom w:val="single" w:color="BFBFBF" w:sz="2"/>
              <w:right w:val="single" w:color="BFBFBF" w:sz="2"/>
            </w:tcBorders>
            <w:shd w:fill="F2F2F2" w:val="clear"/>
            <w:tcMar>
              <w:top w:type="dxa" w:w="80"/>
              <w:left w:type="dxa" w:w="100"/>
              <w:bottom w:type="dxa" w:w="80"/>
              <w:right w:type="dxa" w:w="100"/>
            </w:tcMar>
          </w:tcPr>
          <w:p>
            <w:r>
              <w:rPr>
                <w:sz w:val="18"/>
                <w:szCs w:val="18"/>
              </w:rPr>
              <w:t xml:space="preserve">5</w:t>
            </w:r>
          </w:p>
        </w:tc>
        <w:tc>
          <w:tcPr>
            <w:tcW w:type="dxa" w:w="4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Revise SOPs in Word with tracked changes to close gaps; issue each with a one-page change summary for review.</w:t>
            </w:r>
          </w:p>
        </w:tc>
        <w:tc>
          <w:tcPr>
            <w:tcW w:type="dxa" w:w="3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Redlined SOP (.docx) + Change Summary page, per SOP</w:t>
            </w:r>
          </w:p>
        </w:tc>
      </w:tr>
    </w:tbl>
    <w:p>
      <w:pPr>
        <w:spacing w:after="200"/>
      </w:pPr>
    </w:p>
    <w:p>
      <w:pPr>
        <w:pStyle w:val="Heading1"/>
        <w:spacing w:after="150" w:before="300"/>
      </w:pPr>
      <w:r>
        <w:t xml:space="preserve">3. Site-to-Site Comparison Methodology</w:t>
      </w:r>
    </w:p>
    <w:p>
      <w:pPr>
        <w:spacing w:after="140"/>
      </w:pPr>
      <w:r>
        <w:t xml:space="preserve">For every SOP category present at more than one site (e.g. "Aseptic Filling Line Operation", "Media Fill / Aseptic Process Simulation", "Cleanroom Gowning"), the comparison is performed at the level of individual process steps and parameters, not just document titles — two SOPs with the same title can diverge materially in what they actually require.</w:t>
      </w:r>
    </w:p>
    <w:p>
      <w:pPr>
        <w:pStyle w:val="Heading2"/>
        <w:spacing w:after="100" w:before="220"/>
      </w:pPr>
      <w:r>
        <w:t xml:space="preserve">3.1 What is compared</w:t>
      </w:r>
    </w:p>
    <w:p>
      <w:pPr>
        <w:pStyle w:val="ListParagraph"/>
        <w:numPr>
          <w:ilvl w:val="0"/>
          <w:numId w:val="1"/>
        </w:numPr>
        <w:spacing w:after="80"/>
      </w:pPr>
      <w:r>
        <w:t xml:space="preserve">Process sequence and step order</w:t>
      </w:r>
    </w:p>
    <w:p>
      <w:pPr>
        <w:pStyle w:val="ListParagraph"/>
        <w:numPr>
          <w:ilvl w:val="0"/>
          <w:numId w:val="1"/>
        </w:numPr>
        <w:spacing w:after="80"/>
      </w:pPr>
      <w:r>
        <w:t xml:space="preserve">Critical process parameters (time, temperature, pressure, hold times, line speed, D-value / F0 for sterilization)</w:t>
      </w:r>
    </w:p>
    <w:p>
      <w:pPr>
        <w:pStyle w:val="ListParagraph"/>
        <w:numPr>
          <w:ilvl w:val="0"/>
          <w:numId w:val="1"/>
        </w:numPr>
        <w:spacing w:after="80"/>
      </w:pPr>
      <w:r>
        <w:t xml:space="preserve">Acceptance criteria and action/alert limits (e.g. environmental monitoring limits, media fill acceptance rate)</w:t>
      </w:r>
    </w:p>
    <w:p>
      <w:pPr>
        <w:pStyle w:val="ListParagraph"/>
        <w:numPr>
          <w:ilvl w:val="0"/>
          <w:numId w:val="1"/>
        </w:numPr>
        <w:spacing w:after="80"/>
      </w:pPr>
      <w:r>
        <w:t xml:space="preserve">Frequency of activities (e.g. media fill frequency, requalification intervals, filter integrity testing)</w:t>
      </w:r>
    </w:p>
    <w:p>
      <w:pPr>
        <w:pStyle w:val="ListParagraph"/>
        <w:numPr>
          <w:ilvl w:val="0"/>
          <w:numId w:val="1"/>
        </w:numPr>
        <w:spacing w:after="80"/>
      </w:pPr>
      <w:r>
        <w:t xml:space="preserve">Roles and responsibilities / qualification requirements for personnel performing the step</w:t>
      </w:r>
    </w:p>
    <w:p>
      <w:pPr>
        <w:pStyle w:val="ListParagraph"/>
        <w:numPr>
          <w:ilvl w:val="0"/>
          <w:numId w:val="1"/>
        </w:numPr>
        <w:spacing w:after="80"/>
      </w:pPr>
      <w:r>
        <w:t xml:space="preserve">Documentation and record-keeping requirements (what is recorded, on what form, reviewed by whom)</w:t>
      </w:r>
    </w:p>
    <w:p>
      <w:pPr>
        <w:pStyle w:val="ListParagraph"/>
        <w:numPr>
          <w:ilvl w:val="0"/>
          <w:numId w:val="1"/>
        </w:numPr>
        <w:spacing w:after="80"/>
      </w:pPr>
      <w:r>
        <w:t xml:space="preserve">Deviation handling and escalation triggers referenced within the SOP</w:t>
      </w:r>
    </w:p>
    <w:p>
      <w:pPr>
        <w:pStyle w:val="Heading2"/>
        <w:spacing w:after="100" w:before="220"/>
      </w:pPr>
      <w:r>
        <w:t xml:space="preserve">3.2 How differences are classified</w:t>
      </w:r>
    </w:p>
    <w:p>
      <w:pPr>
        <w:spacing w:after="140"/>
      </w:pPr>
      <w:r>
        <w:t xml:space="preserve">Every identified difference is logged on the Site Comparison sheet and classified as one of:</w:t>
      </w:r>
    </w:p>
    <w:p>
      <w:pPr>
        <w:pStyle w:val="ListParagraph"/>
        <w:numPr>
          <w:ilvl w:val="0"/>
          <w:numId w:val="1"/>
        </w:numPr>
        <w:spacing w:after="80"/>
      </w:pPr>
      <w:r>
        <w:t xml:space="preserve">No regulatory impact — a legitimate local variation (e.g. equipment model, room naming) that does not affect compliance or product quality; no harmonization required.</w:t>
      </w:r>
    </w:p>
    <w:p>
      <w:pPr>
        <w:pStyle w:val="ListParagraph"/>
        <w:numPr>
          <w:ilvl w:val="0"/>
          <w:numId w:val="1"/>
        </w:numPr>
        <w:spacing w:after="80"/>
      </w:pPr>
      <w:r>
        <w:t xml:space="preserve">Best-practice divergence — both approaches are compliant, but one site's approach is more robust; recommend harmonizing to the stronger approach.</w:t>
      </w:r>
    </w:p>
    <w:p>
      <w:pPr>
        <w:pStyle w:val="ListParagraph"/>
        <w:numPr>
          <w:ilvl w:val="0"/>
          <w:numId w:val="1"/>
        </w:numPr>
        <w:spacing w:after="80"/>
      </w:pPr>
      <w:r>
        <w:t xml:space="preserve">Compliance-relevant divergence — one site's approach fails to meet a mapped regulatory requirement; flagged directly into the Gap Analysis (Section 4) and RTM for correction.</w:t>
      </w:r>
    </w:p>
    <w:p>
      <w:pPr>
        <w:spacing w:after="140"/>
      </w:pPr>
      <w:r>
        <w:t xml:space="preserve">The output is a Site Comparison report (a populated version of the "Site Comparison" sheet in the RTM workbook) that a Quality/Regulatory reviewer can use to decide, category by category, whether to harmonize, and to what standard.</w:t>
      </w:r>
    </w:p>
    <w:p>
      <w:pPr>
        <w:pStyle w:val="Heading1"/>
        <w:spacing w:after="150" w:before="300"/>
      </w:pPr>
      <w:r>
        <w:t xml:space="preserve">4. Gap Analysis Methodology</w:t>
      </w:r>
    </w:p>
    <w:p>
      <w:pPr>
        <w:spacing w:after="140"/>
      </w:pPr>
      <w:r>
        <w:t xml:space="preserve">The gap analysis operates directly against the RTM (Section 5) and answers two separate questions for every mapped regulatory requirement, at every site:</w:t>
      </w:r>
    </w:p>
    <w:p>
      <w:pPr>
        <w:pStyle w:val="ListParagraph"/>
        <w:numPr>
          <w:ilvl w:val="0"/>
          <w:numId w:val="2"/>
        </w:numPr>
        <w:spacing w:after="80"/>
      </w:pPr>
      <w:r>
        <w:t xml:space="preserve">Does an SOP exist for the process area the requirement falls under?</w:t>
      </w:r>
    </w:p>
    <w:p>
      <w:pPr>
        <w:pStyle w:val="ListParagraph"/>
        <w:numPr>
          <w:ilvl w:val="0"/>
          <w:numId w:val="2"/>
        </w:numPr>
        <w:spacing w:after="80"/>
      </w:pPr>
      <w:r>
        <w:t xml:space="preserve">If yes, does that SOP's content actually satisfy the requirement, in full?</w:t>
      </w:r>
    </w:p>
    <w:p>
      <w:pPr>
        <w:spacing w:after="140"/>
      </w:pPr>
      <w:r>
        <w:t xml:space="preserve">Coverage is scored using four states, consistent with the RTM workbook's dropdown values: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Status</w:t>
            </w:r>
          </w:p>
        </w:tc>
        <w:tc>
          <w:tcPr>
            <w:tcW w:type="dxa" w:w="48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Definition</w:t>
            </w:r>
          </w:p>
        </w:tc>
        <w:tc>
          <w:tcPr>
            <w:tcW w:type="dxa" w:w="260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tcPr>
          <w:p>
            <w:r>
              <w:rPr>
                <w:b/>
                <w:bCs/>
                <w:color w:val="FFFFFF"/>
                <w:sz w:val="18"/>
                <w:szCs w:val="18"/>
              </w:rPr>
              <w:t xml:space="preserve">Typical Action</w:t>
            </w:r>
          </w:p>
        </w:tc>
      </w:tr>
      <w:tr>
        <w:tc>
          <w:tcPr>
            <w:tcW w:type="dxa" w:w="2200"/>
            <w:tcBorders>
              <w:top w:val="single" w:color="BFBFBF" w:sz="2"/>
              <w:left w:val="single" w:color="BFBFBF" w:sz="2"/>
              <w:bottom w:val="single" w:color="BFBFBF" w:sz="2"/>
              <w:right w:val="single" w:color="BFBFBF" w:sz="2"/>
            </w:tcBorders>
            <w:shd w:fill="E2EFDA" w:val="clear"/>
            <w:tcMar>
              <w:top w:type="dxa" w:w="80"/>
              <w:left w:type="dxa" w:w="100"/>
              <w:bottom w:type="dxa" w:w="80"/>
              <w:right w:type="dxa" w:w="100"/>
            </w:tcMar>
          </w:tcPr>
          <w:p>
            <w:r>
              <w:rPr>
                <w:sz w:val="18"/>
                <w:szCs w:val="18"/>
              </w:rPr>
              <w:t xml:space="preserve">Covered</w:t>
            </w:r>
          </w:p>
        </w:tc>
        <w:tc>
          <w:tcPr>
            <w:tcW w:type="dxa" w:w="4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SOP text explicitly and adequately addresses the requirement.</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None — verify at next periodic review.</w:t>
            </w:r>
          </w:p>
        </w:tc>
      </w:tr>
      <w:tr>
        <w:tc>
          <w:tcPr>
            <w:tcW w:type="dxa" w:w="2200"/>
            <w:tcBorders>
              <w:top w:val="single" w:color="BFBFBF" w:sz="2"/>
              <w:left w:val="single" w:color="BFBFBF" w:sz="2"/>
              <w:bottom w:val="single" w:color="BFBFBF" w:sz="2"/>
              <w:right w:val="single" w:color="BFBFBF" w:sz="2"/>
            </w:tcBorders>
            <w:shd w:fill="FFF2CC" w:val="clear"/>
            <w:tcMar>
              <w:top w:type="dxa" w:w="80"/>
              <w:left w:type="dxa" w:w="100"/>
              <w:bottom w:type="dxa" w:w="80"/>
              <w:right w:type="dxa" w:w="100"/>
            </w:tcMar>
          </w:tcPr>
          <w:p>
            <w:r>
              <w:rPr>
                <w:sz w:val="18"/>
                <w:szCs w:val="18"/>
              </w:rPr>
              <w:t xml:space="preserve">Partially Covered</w:t>
            </w:r>
          </w:p>
        </w:tc>
        <w:tc>
          <w:tcPr>
            <w:tcW w:type="dxa" w:w="4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Topic is addressed but missing a specific parameter, cross-reference, or acceptance criterion.</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Targeted SOP revision (tracked changes).</w:t>
            </w:r>
          </w:p>
        </w:tc>
      </w:tr>
      <w:tr>
        <w:tc>
          <w:tcPr>
            <w:tcW w:type="dxa" w:w="2200"/>
            <w:tcBorders>
              <w:top w:val="single" w:color="BFBFBF" w:sz="2"/>
              <w:left w:val="single" w:color="BFBFBF" w:sz="2"/>
              <w:bottom w:val="single" w:color="BFBFBF" w:sz="2"/>
              <w:right w:val="single" w:color="BFBFBF" w:sz="2"/>
            </w:tcBorders>
            <w:shd w:fill="FCE4E4" w:val="clear"/>
            <w:tcMar>
              <w:top w:type="dxa" w:w="80"/>
              <w:left w:type="dxa" w:w="100"/>
              <w:bottom w:type="dxa" w:w="80"/>
              <w:right w:type="dxa" w:w="100"/>
            </w:tcMar>
          </w:tcPr>
          <w:p>
            <w:r>
              <w:rPr>
                <w:sz w:val="18"/>
                <w:szCs w:val="18"/>
              </w:rPr>
              <w:t xml:space="preserve">Not Covered</w:t>
            </w:r>
          </w:p>
        </w:tc>
        <w:tc>
          <w:tcPr>
            <w:tcW w:type="dxa" w:w="4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An SOP exists for the process area but does not address this specific requirement at all.</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SOP revision — new section/procedure added.</w:t>
            </w:r>
          </w:p>
        </w:tc>
      </w:tr>
      <w:tr>
        <w:tc>
          <w:tcPr>
            <w:tcW w:type="dxa" w:w="2200"/>
            <w:tcBorders>
              <w:top w:val="single" w:color="BFBFBF" w:sz="2"/>
              <w:left w:val="single" w:color="BFBFBF" w:sz="2"/>
              <w:bottom w:val="single" w:color="BFBFBF" w:sz="2"/>
              <w:right w:val="single" w:color="BFBFBF" w:sz="2"/>
            </w:tcBorders>
            <w:shd w:fill="F4CCCC" w:val="clear"/>
            <w:tcMar>
              <w:top w:type="dxa" w:w="80"/>
              <w:left w:type="dxa" w:w="100"/>
              <w:bottom w:type="dxa" w:w="80"/>
              <w:right w:type="dxa" w:w="100"/>
            </w:tcMar>
          </w:tcPr>
          <w:p>
            <w:r>
              <w:rPr>
                <w:sz w:val="18"/>
                <w:szCs w:val="18"/>
              </w:rPr>
              <w:t xml:space="preserve">SOP Missing</w:t>
            </w:r>
          </w:p>
        </w:tc>
        <w:tc>
          <w:tcPr>
            <w:tcW w:type="dxa" w:w="48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No SOP exists at the site for the process area at all.</w:t>
            </w:r>
          </w:p>
        </w:tc>
        <w:tc>
          <w:tcPr>
            <w:tcW w:type="dxa" w:w="2600"/>
            <w:tcBorders>
              <w:top w:val="single" w:color="BFBFBF" w:sz="2"/>
              <w:left w:val="single" w:color="BFBFBF" w:sz="2"/>
              <w:bottom w:val="single" w:color="BFBFBF" w:sz="2"/>
              <w:right w:val="single" w:color="BFBFBF" w:sz="2"/>
            </w:tcBorders>
            <w:tcMar>
              <w:top w:type="dxa" w:w="80"/>
              <w:left w:type="dxa" w:w="100"/>
              <w:bottom w:type="dxa" w:w="80"/>
              <w:right w:type="dxa" w:w="100"/>
            </w:tcMar>
          </w:tcPr>
          <w:p>
            <w:r>
              <w:rPr>
                <w:sz w:val="18"/>
                <w:szCs w:val="18"/>
              </w:rPr>
              <w:t xml:space="preserve">New SOP authored from scratch, mapped back into RTM.</w:t>
            </w:r>
          </w:p>
        </w:tc>
      </w:tr>
    </w:tbl>
    <w:p>
      <w:pPr>
        <w:spacing w:after="200"/>
      </w:pPr>
    </w:p>
    <w:p>
      <w:pPr>
        <w:spacing w:after="140"/>
      </w:pPr>
      <w:r>
        <w:t xml:space="preserve">Every "Partially Covered", "Not Covered", or "SOP Missing" finding is risk-rated (Critical / Major / Minor) based on direct patient-safety and sterility-assurance impact, and assigned an owner and target close date in the RTM. Critical findings (e.g. no defined media fill acceptance criteria, no CCS, no sterility test procedure) are escalated for immediate interim risk mitigation ahead of the formal SOP revision cycle.</w:t>
      </w:r>
    </w:p>
    <w:p>
      <w:pPr>
        <w:pStyle w:val="Heading1"/>
        <w:spacing w:after="150" w:before="300"/>
      </w:pPr>
      <w:r>
        <w:t xml:space="preserve">5. Requirement Traceability Matrix (RTM)</w:t>
      </w:r>
    </w:p>
    <w:p>
      <w:pPr>
        <w:spacing w:after="140"/>
      </w:pPr>
      <w:r>
        <w:t xml:space="preserve">The RTM (companion file: RTM_Sterile_Injectable_Template.xlsx) is the single source of truth linking each regulatory clause to the SOP(s)/version(s) that cover it, at each site. It is pre-populated with the applicable requirement set (41 clauses spanning FDA 21 CFR 211, EU GMP Annex 1, ICH Q7/Q9/Q10, and WHO GMP TRS 1044 Annex 2) and contains five sheets:</w:t>
      </w:r>
    </w:p>
    <w:p>
      <w:pPr>
        <w:pStyle w:val="ListParagraph"/>
        <w:numPr>
          <w:ilvl w:val="0"/>
          <w:numId w:val="1"/>
        </w:numPr>
        <w:spacing w:after="80"/>
      </w:pPr>
      <w:r>
        <w:t xml:space="preserve">Instructions — how to use the workbook.</w:t>
      </w:r>
    </w:p>
    <w:p>
      <w:pPr>
        <w:pStyle w:val="ListParagraph"/>
        <w:numPr>
          <w:ilvl w:val="0"/>
          <w:numId w:val="1"/>
        </w:numPr>
        <w:spacing w:after="80"/>
      </w:pPr>
      <w:r>
        <w:t xml:space="preserve">Site Setup — register each plant, its product type, sterilization method, and markets supplied.</w:t>
      </w:r>
    </w:p>
    <w:p>
      <w:pPr>
        <w:pStyle w:val="ListParagraph"/>
        <w:numPr>
          <w:ilvl w:val="0"/>
          <w:numId w:val="1"/>
        </w:numPr>
        <w:spacing w:after="80"/>
      </w:pPr>
      <w:r>
        <w:t xml:space="preserve">RTM — the master matrix: one row per regulatory requirement, with SOP number/version, coverage status, gap notes, risk, owner, and target date per site.</w:t>
      </w:r>
    </w:p>
    <w:p>
      <w:pPr>
        <w:pStyle w:val="ListParagraph"/>
        <w:numPr>
          <w:ilvl w:val="0"/>
          <w:numId w:val="1"/>
        </w:numPr>
        <w:spacing w:after="80"/>
      </w:pPr>
      <w:r>
        <w:t xml:space="preserve">Site Comparison — process-level comparison log described in Section 3.</w:t>
      </w:r>
    </w:p>
    <w:p>
      <w:pPr>
        <w:pStyle w:val="ListParagraph"/>
        <w:numPr>
          <w:ilvl w:val="0"/>
          <w:numId w:val="1"/>
        </w:numPr>
        <w:spacing w:after="80"/>
      </w:pPr>
      <w:r>
        <w:t xml:space="preserve">Gap Summary — auto-calculated coverage statistics per site, pulled live from the RTM sheet.</w:t>
      </w:r>
    </w:p>
    <w:p>
      <w:pPr>
        <w:spacing w:after="140"/>
      </w:pPr>
      <w:r>
        <w:t xml:space="preserve">As real SOPs and plant data are supplied, the yellow input cells are populated site by site; the Gap Summary sheet updates automatically.</w:t>
      </w:r>
    </w:p>
    <w:p>
      <w:r>
        <w:br w:type="page"/>
      </w:r>
    </w:p>
    <w:p>
      <w:pPr>
        <w:pStyle w:val="Heading1"/>
        <w:spacing w:after="150" w:before="300"/>
      </w:pPr>
      <w:r>
        <w:t xml:space="preserve">6. SOP Revision Workflow (Tracked Changes)</w:t>
      </w:r>
    </w:p>
    <w:p>
      <w:pPr>
        <w:spacing w:after="140"/>
      </w:pPr>
      <w:r>
        <w:t xml:space="preserve">Once a gap is confirmed, the SOP is revised directly in Word using native Track Changes so that every insertion, deletion, and reformat is visible and attributable, consistent with GMP document-control expectations for controlled document revision.</w:t>
      </w:r>
    </w:p>
    <w:p>
      <w:pPr>
        <w:pStyle w:val="Heading2"/>
        <w:spacing w:after="100" w:before="220"/>
      </w:pPr>
      <w:r>
        <w:t xml:space="preserve">6.1 Revision principles</w:t>
      </w:r>
    </w:p>
    <w:p>
      <w:pPr>
        <w:pStyle w:val="ListParagraph"/>
        <w:numPr>
          <w:ilvl w:val="0"/>
          <w:numId w:val="1"/>
        </w:numPr>
        <w:spacing w:after="80"/>
      </w:pPr>
      <w:r>
        <w:t xml:space="preserve">All edits are made with Track Changes enabled — no edit is made "clean". Reviewers must be able to see exactly what changed from the previous approved version.</w:t>
      </w:r>
    </w:p>
    <w:p>
      <w:pPr>
        <w:pStyle w:val="ListParagraph"/>
        <w:numPr>
          <w:ilvl w:val="0"/>
          <w:numId w:val="1"/>
        </w:numPr>
        <w:spacing w:after="80"/>
      </w:pPr>
      <w:r>
        <w:t xml:space="preserve">Each inserted or modified passage is traceable to the specific regulatory clause (Req ID from the RTM) that drove the change.</w:t>
      </w:r>
    </w:p>
    <w:p>
      <w:pPr>
        <w:pStyle w:val="ListParagraph"/>
        <w:numPr>
          <w:ilvl w:val="0"/>
          <w:numId w:val="1"/>
        </w:numPr>
        <w:spacing w:after="80"/>
      </w:pPr>
      <w:r>
        <w:t xml:space="preserve">Version number and revision history table within the SOP are updated as part of the same tracked edit (old version → new version, reason for revision, requirement reference).</w:t>
      </w:r>
    </w:p>
    <w:p>
      <w:pPr>
        <w:pStyle w:val="ListParagraph"/>
        <w:numPr>
          <w:ilvl w:val="0"/>
          <w:numId w:val="1"/>
        </w:numPr>
        <w:spacing w:after="80"/>
      </w:pPr>
      <w:r>
        <w:t xml:space="preserve">No unrelated content is edited in the same revision cycle — scope is limited to closing the identified gap(s), to keep the redline reviewable and auditable.</w:t>
      </w:r>
    </w:p>
    <w:p>
      <w:pPr>
        <w:pStyle w:val="ListParagraph"/>
        <w:numPr>
          <w:ilvl w:val="0"/>
          <w:numId w:val="1"/>
        </w:numPr>
        <w:spacing w:after="80"/>
      </w:pPr>
      <w:r>
        <w:t xml:space="preserve">Author, reviewer, and approver identities and dates are captured per site's existing document-control / change-control procedure.</w:t>
      </w:r>
    </w:p>
    <w:p>
      <w:pPr>
        <w:pStyle w:val="Heading2"/>
        <w:spacing w:after="100" w:before="220"/>
      </w:pPr>
      <w:r>
        <w:t xml:space="preserve">6.2 Review package issued per SOP</w:t>
      </w:r>
    </w:p>
    <w:p>
      <w:pPr>
        <w:spacing w:after="140"/>
      </w:pPr>
      <w:r>
        <w:t xml:space="preserve">For every revised SOP, two files are delivered together:</w:t>
      </w:r>
    </w:p>
    <w:p>
      <w:pPr>
        <w:pStyle w:val="ListParagraph"/>
        <w:numPr>
          <w:ilvl w:val="0"/>
          <w:numId w:val="1"/>
        </w:numPr>
        <w:spacing w:after="80"/>
      </w:pPr>
      <w:r>
        <w:t xml:space="preserve">The updated SOP (.docx) with Track Changes visible, so the reviewer can accept/reject each edit inline in Word.</w:t>
      </w:r>
    </w:p>
    <w:p>
      <w:pPr>
        <w:pStyle w:val="ListParagraph"/>
        <w:numPr>
          <w:ilvl w:val="0"/>
          <w:numId w:val="1"/>
        </w:numPr>
        <w:spacing w:after="80"/>
      </w:pPr>
      <w:r>
        <w:t xml:space="preserve">A one-page Change Summary (template: SOP_Change_Summary_Template.docx) listing every change made, in plain language, each tied to the specific regulatory requirement it satisfies — so a reviewer or auditor can approve the revision without having to reverse-engineer intent from the redline alone.</w:t>
      </w:r>
    </w:p>
    <w:p>
      <w:pPr>
        <w:pStyle w:val="Heading2"/>
        <w:spacing w:after="100" w:before="220"/>
      </w:pPr>
      <w:r>
        <w:t xml:space="preserve">6.3 Review &amp; closure</w:t>
      </w:r>
    </w:p>
    <w:p>
      <w:pPr>
        <w:pStyle w:val="ListParagraph"/>
        <w:numPr>
          <w:ilvl w:val="0"/>
          <w:numId w:val="2"/>
        </w:numPr>
        <w:spacing w:after="80"/>
      </w:pPr>
      <w:r>
        <w:t xml:space="preserve">SOP owner / site Quality reviews the redlined SOP and Change Summary together.</w:t>
      </w:r>
    </w:p>
    <w:p>
      <w:pPr>
        <w:pStyle w:val="ListParagraph"/>
        <w:numPr>
          <w:ilvl w:val="0"/>
          <w:numId w:val="2"/>
        </w:numPr>
        <w:spacing w:after="80"/>
      </w:pPr>
      <w:r>
        <w:t xml:space="preserve">Reviewer accepts or requests further edits (still tracked) directly in Word.</w:t>
      </w:r>
    </w:p>
    <w:p>
      <w:pPr>
        <w:pStyle w:val="ListParagraph"/>
        <w:numPr>
          <w:ilvl w:val="0"/>
          <w:numId w:val="2"/>
        </w:numPr>
        <w:spacing w:after="80"/>
      </w:pPr>
      <w:r>
        <w:t xml:space="preserve">Once accepted, the SOP is routed through the site's normal document-approval/change-control process for formal release.</w:t>
      </w:r>
    </w:p>
    <w:p>
      <w:pPr>
        <w:pStyle w:val="ListParagraph"/>
        <w:numPr>
          <w:ilvl w:val="0"/>
          <w:numId w:val="2"/>
        </w:numPr>
        <w:spacing w:after="80"/>
      </w:pPr>
      <w:r>
        <w:t xml:space="preserve">The RTM is updated: coverage status set to "Covered", SOP version updated, gap closed.</w:t>
      </w:r>
    </w:p>
    <w:p>
      <w:pPr>
        <w:pStyle w:val="Heading1"/>
        <w:spacing w:after="150" w:before="300"/>
      </w:pPr>
      <w:r>
        <w:t xml:space="preserve">7. Next Steps</w:t>
      </w:r>
    </w:p>
    <w:p>
      <w:pPr>
        <w:spacing w:after="140"/>
      </w:pPr>
      <w:r>
        <w:t xml:space="preserve">This framework, the RTM workbook, and the Change Summary template are ready to use. To run the program end to end, the following are still needed from site teams:</w:t>
      </w:r>
    </w:p>
    <w:p>
      <w:pPr>
        <w:pStyle w:val="ListParagraph"/>
        <w:numPr>
          <w:ilvl w:val="0"/>
          <w:numId w:val="1"/>
        </w:numPr>
        <w:spacing w:after="80"/>
      </w:pPr>
      <w:r>
        <w:t xml:space="preserve">Plant/site list with location, product type (injectable vs. other sterile), sterilization method, and markets supplied — to complete the Site Setup sheet and confirm which regulatory subset applies most heavily per site.</w:t>
      </w:r>
    </w:p>
    <w:p>
      <w:pPr>
        <w:pStyle w:val="ListParagraph"/>
        <w:numPr>
          <w:ilvl w:val="0"/>
          <w:numId w:val="1"/>
        </w:numPr>
        <w:spacing w:after="80"/>
      </w:pPr>
      <w:r>
        <w:t xml:space="preserve">The actual SOP set from each site (Word files preferred, so tracked-change revision can be done directly).</w:t>
      </w:r>
    </w:p>
    <w:p>
      <w:pPr>
        <w:pStyle w:val="ListParagraph"/>
        <w:numPr>
          <w:ilvl w:val="0"/>
          <w:numId w:val="1"/>
        </w:numPr>
        <w:spacing w:after="80"/>
      </w:pPr>
      <w:r>
        <w:t xml:space="preserve">Confirmation of any additional local/regional regulatory requirements beyond the four bodies covered here (e.g. a specific national health authority guidance), if applicable.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Arial" w:cs="Arial" w:eastAsia="Arial" w:hAnsi="Arial"/>
      <w:b/>
      <w:bCs/>
      <w:color w:val="1F3864"/>
      <w:sz w:val="28"/>
      <w:szCs w:val="28"/>
    </w:rPr>
  </w:style>
  <w:style w:type="paragraph" w:styleId="Heading2">
    <w:name w:val="Heading 2"/>
    <w:basedOn w:val="Normal"/>
    <w:next w:val="Normal"/>
    <w:qFormat/>
    <w:pPr>
      <w:spacing w:after="100" w:before="22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2026-07-21T09:18:22.922Z</dcterms:created>
  <dcterms:modified xsi:type="dcterms:W3CDTF">2026-07-21T09:18:22.932Z</dcterms:modified>
</cp:coreProperties>
</file>

<file path=docProps/custom.xml><?xml version="1.0" encoding="utf-8"?>
<Properties xmlns="http://schemas.openxmlformats.org/officeDocument/2006/custom-properties" xmlns:vt="http://schemas.openxmlformats.org/officeDocument/2006/docPropsVTypes"/>
</file>