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1696F"/>
          <w:sz w:val="56"/>
          <w:szCs w:val="56"/>
        </w:rPr>
        <w:t xml:space="preserve">cNLP4QoL Tutorial Overview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8251D"/>
          <w:sz w:val="32"/>
          <w:szCs w:val="32"/>
        </w:rPr>
        <w:t xml:space="preserve">From Conversations to Quality-of-Life Insights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A7974"/>
          <w:sz w:val="22"/>
          <w:szCs w:val="22"/>
        </w:rPr>
        <w:t xml:space="preserve">ICHI 2026 Hands-On Session — June 1, 2026, 11:20–11:50 AM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7A7974"/>
          <w:sz w:val="18"/>
          <w:szCs w:val="18"/>
        </w:rPr>
        <w:t xml:space="preserve">Notebook: cNLP4Qol_tutorial_v3_2c.ipynb</w:t>
      </w:r>
    </w:p>
    <w:p>
      <w:pPr>
        <w:pBdr>
          <w:bottom w:val="single" w:color="D4D1CA" w:sz="6"/>
        </w:pBdr>
        <w:spacing w:after="8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8251D"/>
          <w:sz w:val="32"/>
          <w:szCs w:val="32"/>
        </w:rPr>
        <w:t xml:space="preserve">1. Tutorial Overview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This 30-minute hands-on session runs the complete cNLP4QoL pipeline — from raw mental-health conversations through PDSQI-9 summarisation, zero-shot and few-shot QoL tagging, four comparative metrics, and a visual dashboard. Participants work on 5 conversations per dataset (10 total: MentalChat16K and Kaggle) and explore a single central research question:</w:t>
      </w:r>
    </w:p>
    <w:p>
      <w:pPr>
        <w:spacing w:after="0" w:before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Bdr>
          <w:left w:val="single" w:color="01696F" w:sz="12"/>
        </w:pBdr>
        <w:shd w:fill="F0FAF9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0C4E54"/>
          <w:sz w:val="20"/>
          <w:szCs w:val="20"/>
        </w:rPr>
        <w:t xml:space="preserve">“Is summarisation just compression, or does it act as a domain-bridging transformation that reshapes detectable Quality-of-Life signals?”</w:t>
      </w:r>
    </w:p>
    <w:p>
      <w:pPr>
        <w:spacing w:after="0" w:before="10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1.1 Two Reference Papers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The tutorial implements methods from two papers: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Croxford et al. 2025 (JAMIA)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— PDSQI-9, a 9-attribute Likert instrument for clinical documentation quality (ICC=0.867, Cronbach α=0.879). Implemented in Steps T-2 (prompt engineering) and T-4a (compliance scoring). </w:t>
      </w:r>
      <w:hyperlink w:history="1" r:id="rIdlaiiu9whggiyamzxn1j9c">
        <w:r>
          <w:rPr>
            <w:rStyle w:val="Hyperlink"/>
            <w:rFonts w:ascii="Arial" w:cs="Arial" w:eastAsia="Arial" w:hAnsi="Arial"/>
            <w:color w:val="01696F"/>
            <w:sz w:val="20"/>
            <w:szCs w:val="20"/>
          </w:rPr>
          <w:t xml:space="preserve">[PubMed]</w:t>
        </w:r>
      </w:hyperlink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Garg et al. 2025 (Frontiers Psychiatry)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— Stylometric and fidelity framework for LLM-generated mental-health summaries (Reddit/synthetic data). Provides the 8 stylometric metrics (TTR, ASL, AWL, FPR, TPR, PVR, DTD, CD) and the raw-to-summary fidelity measure. Implemented in Steps T-4c and T-4d. </w:t>
      </w:r>
      <w:hyperlink w:history="1" r:id="rIdqt_tjhti7xu6nc7m3uys1">
        <w:r>
          <w:rPr>
            <w:rStyle w:val="Hyperlink"/>
            <w:rFonts w:ascii="Arial" w:cs="Arial" w:eastAsia="Arial" w:hAnsi="Arial"/>
            <w:color w:val="01696F"/>
            <w:sz w:val="20"/>
            <w:szCs w:val="20"/>
          </w:rPr>
          <w:t xml:space="preserve">[DOI]</w:t>
        </w:r>
      </w:hyperlink>
    </w:p>
    <w:p>
      <w:pPr>
        <w:spacing w:after="0" w:before="10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1.2 Session Schedule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20"/>
        <w:gridCol w:w="1500"/>
        <w:gridCol w:w="1500"/>
      </w:tblGrid>
      <w:tr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5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do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 cells</w:t>
            </w:r>
          </w:p>
        </w:tc>
      </w:tr>
      <w:tr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T-0</w:t>
            </w:r>
          </w:p>
        </w:tc>
        <w:tc>
          <w:tcPr>
            <w:tcW w:type="dxa" w:w="55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Setup: install deps, mount Drive, pick model (Qwen / LLaMA / GPT)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2 min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T-0a – T-0g</w:t>
            </w:r>
          </w:p>
        </w:tc>
      </w:tr>
      <w:tr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T-1</w:t>
            </w:r>
          </w:p>
        </w:tc>
        <w:tc>
          <w:tcPr>
            <w:tcW w:type="dxa" w:w="55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Load 5×2 conversations (MentalChat, Kaggle) + MultiWD few-shot bank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 min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T-1</w:t>
            </w:r>
          </w:p>
        </w:tc>
      </w:tr>
      <w:tr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T-2</w:t>
            </w:r>
          </w:p>
        </w:tc>
        <w:tc>
          <w:tcPr>
            <w:tcW w:type="dxa" w:w="55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Generate PDSQI-9 summaries (3 prompt variants A/B/C)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4 min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T-2a – T-2d</w:t>
            </w:r>
          </w:p>
        </w:tc>
      </w:tr>
      <w:tr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T-3</w:t>
            </w:r>
          </w:p>
        </w:tc>
        <w:tc>
          <w:tcPr>
            <w:tcW w:type="dxa" w:w="55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QoL tagging — zero-shot + few-shot × 3 representations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T-3a – T-3e</w:t>
            </w:r>
          </w:p>
        </w:tc>
      </w:tr>
      <w:tr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T-4</w:t>
            </w:r>
          </w:p>
        </w:tc>
        <w:tc>
          <w:tcPr>
            <w:tcW w:type="dxa" w:w="55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Comparative metrics: PDSQI-9, coverage gap, fidelity, stylometrics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4 min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T-4a – T-4d</w:t>
            </w:r>
          </w:p>
        </w:tc>
      </w:tr>
      <w:tr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T-5</w:t>
            </w:r>
          </w:p>
        </w:tc>
        <w:tc>
          <w:tcPr>
            <w:tcW w:type="dxa" w:w="55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Visual dashboard (6-panel figure)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2 min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T-5</w:t>
            </w:r>
          </w:p>
        </w:tc>
      </w:tr>
      <w:tr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T-6</w:t>
            </w:r>
          </w:p>
        </w:tc>
        <w:tc>
          <w:tcPr>
            <w:tcW w:type="dxa" w:w="55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Save results + closing discussion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3 min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T-6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1.3 Datasets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920"/>
      </w:tblGrid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style</w:t>
            </w:r>
          </w:p>
        </w:tc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 balance</w:t>
            </w:r>
          </w:p>
        </w:tc>
        <w:tc>
          <w:tcPr>
            <w:tcW w:type="dxa" w:w="29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tutorial</w:t>
            </w:r>
          </w:p>
        </w:tc>
      </w:tr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MentalChat16K</w:t>
            </w:r>
          </w:p>
        </w:tc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Structured dialogues</w:t>
            </w:r>
          </w:p>
        </w:tc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Balanced</w:t>
            </w:r>
          </w:p>
        </w:tc>
        <w:tc>
          <w:tcPr>
            <w:tcW w:type="dxa" w:w="29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Evaluation — summary + tagging</w:t>
            </w:r>
          </w:p>
        </w:tc>
      </w:tr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Kaggle</w:t>
            </w:r>
          </w:p>
        </w:tc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Reddit posts</w:t>
            </w:r>
          </w:p>
        </w:tc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Emotional-heavy (100%)</w:t>
            </w:r>
          </w:p>
        </w:tc>
        <w:tc>
          <w:tcPr>
            <w:tcW w:type="dxa" w:w="29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Evaluation — summary + tagging</w:t>
            </w:r>
          </w:p>
        </w:tc>
      </w:tr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MultiWD</w:t>
            </w:r>
          </w:p>
        </w:tc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Multi-domain dialogues</w:t>
            </w:r>
          </w:p>
        </w:tc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Most balanced (gold-labelled)</w:t>
            </w:r>
          </w:p>
        </w:tc>
        <w:tc>
          <w:tcPr>
            <w:tcW w:type="dxa" w:w="29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Few-shot source ONLY — NOT evaluated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Bdr>
          <w:left w:val="single" w:color="01696F" w:sz="12"/>
        </w:pBdr>
        <w:shd w:fill="F0FAF9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0C4E54"/>
          <w:sz w:val="20"/>
          <w:szCs w:val="20"/>
        </w:rPr>
        <w:t xml:space="preserve">MultiWD exclusion: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MultiWD serves exclusively as the source of few-shot examples (T-3b) and is never used for summary generation or QoL evaluation. This keeps the few-shot source and evaluation sets strictly separate, mirroring main-notebook Step 2b.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8251D"/>
          <w:sz w:val="32"/>
          <w:szCs w:val="32"/>
        </w:rPr>
        <w:t xml:space="preserve">2. Notebook Steps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Step T-0: Setup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T-0 installs all dependencies, mounts Google Drive, defines global constants and paths, and initialises the selected model.</w:t>
      </w:r>
    </w:p>
    <w:p>
      <w:pPr>
        <w:spacing w:after="0" w:before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T-0a: Install Dependencies</w:t>
      </w:r>
    </w:p>
    <w:p>
      <w:pPr>
        <w:spacing w:after="100" w:before="60" w:line="276" w:lineRule="auto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Installs: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transformers, accelerate, sentencepiece, peft, trl, openai, openpyxl, tqdm, datasets, bitsandbytes. Run once per Colab session.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T-0c: Paths and Constants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Key paths: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VAL_MAIN_FILE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 — Val_Datasets.xlsx (Google Drive)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FEWSHOT_PATH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 — few_shot_dataset.txt (Google Drive; 119 MultiWD-derived labeled examples)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OUT_DIR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 — tutorial_demo_v3_2/ (output folder)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LABEL_COLS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 — [Spiritual, Physical, Intellectual, Social, Vocational, Emotional]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GOLD_PREVALENCE annotated ground-truth positive rates from the full 50-sample validation set are embedded here and used in T-4b coverage gap calculations.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T-0d: Model Selection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600"/>
        <w:gridCol w:w="4420"/>
      </w:tblGrid>
      <w:tr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Params</w:t>
            </w:r>
          </w:p>
        </w:tc>
        <w:tc>
          <w:tcPr>
            <w:tcW w:type="dxa" w:w="1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Load time</w:t>
            </w:r>
          </w:p>
        </w:tc>
        <w:tc>
          <w:tcPr>
            <w:tcW w:type="dxa" w:w="44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Qwen2.5-3B-Instruct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3 B</w:t>
            </w:r>
          </w:p>
        </w:tc>
        <w:tc>
          <w:tcPr>
            <w:tcW w:type="dxa" w:w="1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~2–3 min</w:t>
            </w:r>
          </w:p>
        </w:tc>
        <w:tc>
          <w:tcPr>
            <w:tcW w:type="dxa" w:w="44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Recommended default. Runs in fp16 on T4. Ungated.</w:t>
            </w:r>
          </w:p>
        </w:tc>
      </w:tr>
      <w:tr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Llama-3.1-8B-Instruct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8 B</w:t>
            </w:r>
          </w:p>
        </w:tc>
        <w:tc>
          <w:tcPr>
            <w:tcW w:type="dxa" w:w="1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~3–4 min (4-bit)</w:t>
            </w:r>
          </w:p>
        </w:tc>
        <w:tc>
          <w:tcPr>
            <w:tcW w:type="dxa" w:w="44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Stronger reasoning. Requires HF_TOKEN + Meta license. USE_4BIT=True recommended.</w:t>
            </w:r>
          </w:p>
        </w:tc>
      </w:tr>
      <w:tr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gpt-5.4-nano (OpenAI)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&lt;1 min</w:t>
            </w:r>
          </w:p>
        </w:tc>
        <w:tc>
          <w:tcPr>
            <w:tcW w:type="dxa" w:w="44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No GPU needed. Requires openai_api_key. Data leaves device.</w:t>
            </w:r>
          </w:p>
        </w:tc>
      </w:tr>
      <w:tr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google/flan-t5-base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250 M</w:t>
            </w:r>
          </w:p>
        </w:tc>
        <w:tc>
          <w:tcPr>
            <w:tcW w:type="dxa" w:w="1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&lt;1 min</w:t>
            </w:r>
          </w:p>
        </w:tc>
        <w:tc>
          <w:tcPr>
            <w:tcW w:type="dxa" w:w="44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Very fast but weak instruction-following. For testing only.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Bdr>
          <w:left w:val="single" w:color="01696F" w:sz="12"/>
        </w:pBdr>
        <w:shd w:fill="F0FAF9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0C4E54"/>
          <w:sz w:val="20"/>
          <w:szCs w:val="20"/>
        </w:rPr>
        <w:t xml:space="preserve">LLaMA 4-bit optimization (new in v3_2c):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Setting USE_4BIT = True in T-0g enables BitsAndBytesConfig NF4 quantization. This reduces VRAM from ~16 GB to ~5–6 GB and load time from ~8–12 min to ~3–4 min on a free T4, with negligible quality loss for classification tasks. VRAM usage is printed after loading.</w:t>
      </w:r>
    </w:p>
    <w:p>
      <w:pPr>
        <w:spacing w:after="0" w:before="12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Step T-1: Load Conversations + Few-Shot Bank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Reads 5 conversations from each evaluation dataset (MentalChat, Kaggle) using a flexible standardize_text_column() helper that handles single-column, dual-column (patient/therapist), and concatenated formats. Produces all_demo_df (10 rows).</w:t>
      </w:r>
    </w:p>
    <w:p>
      <w:pPr>
        <w:spacing w:after="0" w:before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spacing w:after="100" w:before="60" w:line="276" w:lineRule="auto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Few-shot bank: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fs_df loads up to 30 MultiWD rows. These rows are passed to T-3b to build the labeled few-shot example bank. They are never summarised or evaluated.</w:t>
      </w:r>
    </w:p>
    <w:p>
      <w:pPr>
        <w:spacing w:after="0" w:before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Bdr>
          <w:left w:val="single" w:color="01696F" w:sz="12"/>
        </w:pBdr>
        <w:shd w:fill="F0FAF9" w:val="clear"/>
        <w:spacing w:after="80" w:before="80"/>
        <w:ind w:left="20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Gold-standard discussion (embedded in cell): the 50-sample annotation set yields wide margins of error for rare domains (Spiritual ±0.066, Vocational ±0.090). Margins narrow for Emotional and Social. This is a documented caveat for the 5-conversation demo, where sampling variance is even higher.</w:t>
      </w:r>
    </w:p>
    <w:p>
      <w:pPr>
        <w:spacing w:after="0" w:before="12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Step T-2: PDSQI-9 Summary Generation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Generates patient-perspective and clinician-perspective summaries for all 10 evaluation conversations using three prompt variants. MultiWD is excluded from this step.</w:t>
      </w:r>
    </w:p>
    <w:p>
      <w:pPr>
        <w:spacing w:after="0" w:before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360"/>
      </w:tblGrid>
      <w:tr>
        <w:tc>
          <w:tcPr>
            <w:tcW w:type="dxa" w:w="1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tcW w:type="dxa" w:w="39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</w:t>
            </w:r>
          </w:p>
        </w:tc>
        <w:tc>
          <w:tcPr>
            <w:tcW w:type="dxa" w:w="4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Prompt A</w:t>
            </w:r>
          </w:p>
        </w:tc>
        <w:tc>
          <w:tcPr>
            <w:tcW w:type="dxa" w:w="39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Minimal — no rules, no domain tags</w:t>
            </w:r>
          </w:p>
        </w:tc>
        <w:tc>
          <w:tcPr>
            <w:tcW w:type="dxa" w:w="4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Baseline; produced for MentalChat conv 0 only (Panel F)</w:t>
            </w:r>
          </w:p>
        </w:tc>
      </w:tr>
      <w:tr>
        <w:tc>
          <w:tcPr>
            <w:tcW w:type="dxa" w:w="1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Prompt B</w:t>
            </w:r>
          </w:p>
        </w:tc>
        <w:tc>
          <w:tcPr>
            <w:tcW w:type="dxa" w:w="39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Full 9 PDSQI-9 rules + citations + [Domain] tags</w:t>
            </w:r>
          </w:p>
        </w:tc>
        <w:tc>
          <w:tcPr>
            <w:tcW w:type="dxa" w:w="4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Main production prompt; run for all 10 evaluation conversations</w:t>
            </w:r>
          </w:p>
        </w:tc>
      </w:tr>
      <w:tr>
        <w:tc>
          <w:tcPr>
            <w:tcW w:type="dxa" w:w="1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Prompt C</w:t>
            </w:r>
          </w:p>
        </w:tc>
        <w:tc>
          <w:tcPr>
            <w:tcW w:type="dxa" w:w="39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PDSQI-9 + chain-of-thought reasoning prefix</w:t>
            </w:r>
          </w:p>
        </w:tc>
        <w:tc>
          <w:tcPr>
            <w:tcW w:type="dxa" w:w="4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Tests whether explicit reasoning improves compliance; MentalChat conv 0 only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PDSQI-9 rules encoded in Prompt B (Croxford et al. 2025):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Rule 1 ACCURATE — every claim grounded in the transcript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Rule 2 CITED — (Source: turn N) citation after every sentence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Rule 3 THOROUGH — all identified QoL domains covered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Rule 4 USEFUL — patient: first-person plain language; clinician: third-person clinical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Rule 5 ORGANIZED — [Domain] tag at the start of each sentence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Rule 6 COMPREHENSIBLE — patient: no jargon; clinician: correct terminology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Rule 7 SUCCINCT — 4–7 sentences total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Rule 8 SYNTHESIZED — merge across turns; do not copy verbatim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Rule 9 NON-STIGMATIZING — person-first language; no diagnostic labels</w:t>
      </w:r>
    </w:p>
    <w:p>
      <w:pPr>
        <w:spacing w:after="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Output: summary_df with columns dataset, conv_id, raw_text, patient_summary, clinician_summary (10 rows). Timing: 8–12 min on Qwen with T4.</w:t>
      </w:r>
    </w:p>
    <w:p>
      <w:pPr>
        <w:spacing w:after="0" w:before="12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Step T-3: QoL Tagging — Zero-Shot and Few-Shot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Tags each of the 10 conversations in three representations (raw text, patient summary, clinician summary) using two modes, producing 30 rows per mode (60 rows total in tag_df).</w:t>
      </w:r>
    </w:p>
    <w:p>
      <w:pPr>
        <w:spacing w:after="0" w:before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4120"/>
      </w:tblGrid>
      <w:tr>
        <w:tc>
          <w:tcPr>
            <w:tcW w:type="dxa" w:w="1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4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includes</w:t>
            </w:r>
          </w:p>
        </w:tc>
      </w:tr>
      <w:tr>
        <w:tc>
          <w:tcPr>
            <w:tcW w:type="dxa" w:w="1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Zero-shot (ZS)</w:t>
            </w:r>
          </w:p>
        </w:tc>
        <w:tc>
          <w:tcPr>
            <w:tcW w:type="dxa" w:w="4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No examples — model relies on domain descriptions alone</w:t>
            </w:r>
          </w:p>
        </w:tc>
        <w:tc>
          <w:tcPr>
            <w:tcW w:type="dxa" w:w="4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Task instruction only</w:t>
            </w:r>
          </w:p>
        </w:tc>
      </w:tr>
      <w:tr>
        <w:tc>
          <w:tcPr>
            <w:tcW w:type="dxa" w:w="1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Few-shot (FS)</w:t>
            </w:r>
          </w:p>
        </w:tc>
        <w:tc>
          <w:tcPr>
            <w:tcW w:type="dxa" w:w="4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 labeled MultiWD example per domain from few_shot_dataset.txt</w:t>
            </w:r>
          </w:p>
        </w:tc>
        <w:tc>
          <w:tcPr>
            <w:tcW w:type="dxa" w:w="4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Task instruction + 6 domain examples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T-3b: Few-Shot Bank (new in v3_2c)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The bank now loads from few_shot_dataset.txt (119 labeled MultiWD training examples) via load_fewshot_txt(). Domain long-form names in the file (e.g. “Physical Well-Being”, “Social Functioning”) are automatically mapped to LABEL_COLS short names via DOMAIN_NAME_MAP. For each domain, the first entry with a positive label is selected. Hand-crafted fallback examples are used only if the file is missing or a domain has no positive entry.</w:t>
      </w:r>
    </w:p>
    <w:p>
      <w:pPr>
        <w:spacing w:after="0" w:before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Bdr>
          <w:left w:val="single" w:color="01696F" w:sz="12"/>
        </w:pBdr>
        <w:shd w:fill="F0FAF9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0C4E54"/>
          <w:sz w:val="20"/>
          <w:szCs w:val="20"/>
        </w:rPr>
        <w:t xml:space="preserve">Few-shot file format: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"Example N:" blocks, each containing [PATIENT]: "&lt;text&gt;" and Response: {"qol_domains": ["Physical Well-Being", ...], ...}. The file lives at FEWSHOT_PATH = DRIVE_ROOT/few_shot_dataset.txt.</w:t>
      </w:r>
    </w:p>
    <w:p>
      <w:pPr>
        <w:spacing w:after="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T-3c – T-3e: Tagging Execution and Combination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T-3c runs zero-shot tagging across all 30 (conv, representation) pairs using call_llm() with QOL_TAGGING_SYS. T-3d repeats with FEWSHOT_BLOCK prepended to the prompt. T-3e concatenates both into tag_df with a tagging_mode column.</w:t>
      </w:r>
    </w:p>
    <w:p>
      <w:pPr>
        <w:spacing w:after="0" w:before="12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Step T-4: Comparative Metrics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3120"/>
      </w:tblGrid>
      <w:tr>
        <w:tc>
          <w:tcPr>
            <w:tcW w:type="dxa" w:w="1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</w:tr>
      <w:tr>
        <w:tc>
          <w:tcPr>
            <w:tcW w:type="dxa" w:w="1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T-4a</w:t>
            </w:r>
          </w:p>
        </w:tc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PDSQI-9 compliance</w:t>
            </w:r>
          </w:p>
        </w:tc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Croxford et al. 2025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8 Likert scales (1–5) + Non_Stigmatizing binary flag per summary</w:t>
            </w:r>
          </w:p>
        </w:tc>
      </w:tr>
      <w:tr>
        <w:tc>
          <w:tcPr>
            <w:tcW w:type="dxa" w:w="1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T-4b</w:t>
            </w:r>
          </w:p>
        </w:tc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Coverage gap</w:t>
            </w:r>
          </w:p>
        </w:tc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gold_rate − pred_rate per (dataset, rep, domain); uses annotated GOLD_PREVALENCE</w:t>
            </w:r>
          </w:p>
        </w:tc>
      </w:tr>
      <w:tr>
        <w:tc>
          <w:tcPr>
            <w:tcW w:type="dxa" w:w="1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T-4c</w:t>
            </w:r>
          </w:p>
        </w:tc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Fidelity</w:t>
            </w:r>
          </w:p>
        </w:tc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Garg et al. 2025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Fraction of raw-text domains preserved in summary (raw_to_summary_preservation)</w:t>
            </w:r>
          </w:p>
        </w:tc>
      </w:tr>
      <w:tr>
        <w:tc>
          <w:tcPr>
            <w:tcW w:type="dxa" w:w="1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T-4d</w:t>
            </w:r>
          </w:p>
        </w:tc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Stylometrics</w:t>
            </w:r>
          </w:p>
        </w:tc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Garg et al. 2025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TTR, ASL, AWL, FPR, TPR, PVR, DTD, CD per (conv_id, representation)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T-4a: PDSQI-9 Scoring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Each summary is scored against all 9 PDSQI-9 rules via LLM self-evaluation. The model returns a JSON object with 8 Likert scores (1–5) plus a Non_Stigmatizing binary flag (1 = passes Rule 9). Non_Stigmatizing uses underscore in the Python dict key, matching the main notebook Step 1b convention and the Croxford et al. attribute name.</w:t>
      </w:r>
    </w:p>
    <w:p>
      <w:pPr>
        <w:spacing w:after="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T-4b: Coverage Gap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coverage_gap = gold_rate − pred_rate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 where gold_rate comes from GOLD_PREVALENCE (annotated 50-sample validation set), NOT from the 5 demo raw-text predictions. This is the methodologically correct reference for a 5-conversation demo. Positive gap = under-prediction; negative gap = over-prediction.</w:t>
      </w:r>
    </w:p>
    <w:p>
      <w:pPr>
        <w:spacing w:after="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T-4c: Fidelity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For each (conv_id, domain, summary_rep), raw_to_summary_preservation = 1.0 if raw_pred=1 and sum_pred=1; 0.0 if raw_pred=1 and sum_pred=0; NaN if raw_pred=0. NaN entries are excluded from mean calculations. High fidelity means the summary reliably preserves QoL signals detectable in raw text.</w:t>
      </w:r>
    </w:p>
    <w:p>
      <w:pPr>
        <w:spacing w:after="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T-4d: Stylometrics (Garg et al. 2025 Table 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820"/>
      </w:tblGrid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Abbr</w:t>
            </w:r>
          </w:p>
        </w:tc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8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TTR</w:t>
            </w:r>
          </w:p>
        </w:tc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Type-Token Ratio</w:t>
            </w:r>
          </w:p>
        </w:tc>
        <w:tc>
          <w:tcPr>
            <w:tcW w:type="dxa" w:w="58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Lexical diversity (unique/total words). Raw text highest; summaries more repetitive.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ASL</w:t>
            </w:r>
          </w:p>
        </w:tc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Average Sentence Length</w:t>
            </w:r>
          </w:p>
        </w:tc>
        <w:tc>
          <w:tcPr>
            <w:tcW w:type="dxa" w:w="58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Longer sentences in patient summaries (mean ~26.9 words) than raw text (~15.8).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AWL</w:t>
            </w:r>
          </w:p>
        </w:tc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Average Word Length</w:t>
            </w:r>
          </w:p>
        </w:tc>
        <w:tc>
          <w:tcPr>
            <w:tcW w:type="dxa" w:w="58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Higher in clinician summaries (5.86 chars) vs patient (4.30) vs raw (4.13). Reflects clinical register.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FPR</w:t>
            </w:r>
          </w:p>
        </w:tc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First-Person Rate</w:t>
            </w:r>
          </w:p>
        </w:tc>
        <w:tc>
          <w:tcPr>
            <w:tcW w:type="dxa" w:w="58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I/me/my/mine per word. High in raw text (0.132) and patient summaries (0.107). Near zero in clinician.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TPR</w:t>
            </w:r>
          </w:p>
        </w:tc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Third-Person Rate</w:t>
            </w:r>
          </w:p>
        </w:tc>
        <w:tc>
          <w:tcPr>
            <w:tcW w:type="dxa" w:w="58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he/she/they per word. Low overall; slightly elevated in clinician rep (0.021).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PVR</w:t>
            </w:r>
          </w:p>
        </w:tc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Passive Voice Rate</w:t>
            </w:r>
          </w:p>
        </w:tc>
        <w:tc>
          <w:tcPr>
            <w:tcW w:type="dxa" w:w="58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Passive constructions/sentence. Higher in clinician (0.123). Zero in raw.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DTD</w:t>
            </w:r>
          </w:p>
        </w:tc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Domain-Tag Density</w:t>
            </w:r>
          </w:p>
        </w:tc>
        <w:tc>
          <w:tcPr>
            <w:tcW w:type="dxa" w:w="58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[Domain] tags/sentence. High in summaries (~0.82–0.86). Near zero in raw without PDSQI-9 rules.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CD</w:t>
            </w:r>
          </w:p>
        </w:tc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Citation Density</w:t>
            </w:r>
          </w:p>
        </w:tc>
        <w:tc>
          <w:tcPr>
            <w:tcW w:type="dxa" w:w="58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(Source:...) per sentence. High in both summaries (~0.84–0.87); zero in raw text.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Step T-5: Visual Dashboard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Renders a 2×3 panel figure. All panels aggregate across 10 evaluation conversations (5 MentalChat + 5 Kaggle).</w:t>
      </w:r>
    </w:p>
    <w:p>
      <w:pPr>
        <w:spacing w:after="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dashboard" descr="6-panel QoL pipeline results dashboard" title="Tutorial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7A7974"/>
          <w:sz w:val="16"/>
          <w:szCs w:val="16"/>
        </w:rPr>
        <w:t xml:space="preserve">Figure 1. Tutorial demo dashboard — 10-conversation results (5 MentalChat + 5 Kaggle).</w:t>
      </w:r>
    </w:p>
    <w:p>
      <w:pPr>
        <w:spacing w:after="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220"/>
      </w:tblGrid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62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look for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PDSQI-9 Scores</w:t>
            </w:r>
          </w:p>
        </w:tc>
        <w:tc>
          <w:tcPr>
            <w:tcW w:type="dxa" w:w="62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All 8 attributes scored 5/5 by the self-evaluating model — note this is a known ceiling effect (the model scores its own output). In the full 50-sample study, Cited and Organized score lower on average.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B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ZS vs FS Positive Rate</w:t>
            </w:r>
          </w:p>
        </w:tc>
        <w:tc>
          <w:tcPr>
            <w:tcW w:type="dxa" w:w="62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Few-shot shifts Intellectual and Social upward on raw text. Emotional drops slightly (ZS over-predicts at 1.0; FS=0.7). Rare domains (Spiritual) unchanged.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C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Coverage Gap: ZS vs FS</w:t>
            </w:r>
          </w:p>
        </w:tc>
        <w:tc>
          <w:tcPr>
            <w:tcW w:type="dxa" w:w="62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Vocational and Spiritual show large positive gaps (under-prediction) in both modes. Social and Intellectual: ZS under-predicts; FS narrows or reverses the gap.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D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Raw-to-Summary Fidelity</w:t>
            </w:r>
          </w:p>
        </w:tc>
        <w:tc>
          <w:tcPr>
            <w:tcW w:type="dxa" w:w="62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Fidelity = 1.0 for all observed non-NaN entries (both reps). Most fidelity entries are NaN (domain absent in raw) — expected at n=5.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E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Stylometric Profile</w:t>
            </w:r>
          </w:p>
        </w:tc>
        <w:tc>
          <w:tcPr>
            <w:tcW w:type="dxa" w:w="62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Clear separation: patient (high FPR, high CD/DTD), clinician (high AWL, high PVR), raw (high TTR, near-zero CD/DTD). Confirms PDSQI-9 Rule 4 compliance.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F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Prompt Variant Comparison</w:t>
            </w:r>
          </w:p>
        </w:tc>
        <w:tc>
          <w:tcPr>
            <w:tcW w:type="dxa" w:w="62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Side-by-side text (MentalChat conv 0). Prompt A: plain reflection, no structure. Prompt B: [Domain] tagged, cited. Prompt C: step-by-step reasoning, then final summary.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8251D"/>
          <w:sz w:val="32"/>
          <w:szCs w:val="32"/>
        </w:rPr>
        <w:t xml:space="preserve">3. Demo Run Results (10 Conversations)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Results from tutorial_demo_10conv_results.xlsx, generated by running the notebook with GPT on 5 MentalChat + 5 Kaggle conversations.</w:t>
      </w:r>
    </w:p>
    <w:p>
      <w:pPr>
        <w:spacing w:after="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3.1 PDSQI-9 Compliance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All 20 summaries (10 conversations × 2 perspectives) scored the maximum 40/40 (all 8 Likert attributes at 5/5) with Non_Stigmatizing=1 (passes Rule 9). This ceiling effect is characteristic of LLM self-evaluation — the same model scoring its own output. In the main-notebook full 50-sample validation, Cited and Organized score lower on average.</w:t>
      </w:r>
    </w:p>
    <w:p>
      <w:pPr>
        <w:spacing w:after="0" w:before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Bdr>
          <w:left w:val="single" w:color="01696F" w:sz="12"/>
        </w:pBdr>
        <w:shd w:fill="F0FAF9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0C4E54"/>
          <w:sz w:val="20"/>
          <w:szCs w:val="20"/>
        </w:rPr>
        <w:t xml:space="preserve">Ceiling effect note: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Self-evaluation inflation is a known limitation. The tutorial uses this as a discussion point (see closing questions in T-6). For rigorous evaluation, human raters or a separate judge model should be used.</w:t>
      </w:r>
    </w:p>
    <w:p>
      <w:pPr>
        <w:spacing w:after="0" w:before="12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3.2 QoL Tagging — Zero-Shot vs Few-Shot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Positive rate on raw text (mean across 10 conversations):</w:t>
      </w:r>
    </w:p>
    <w:p>
      <w:pPr>
        <w:spacing w:after="0" w:before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2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Spiritual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Intellectual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Social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Vocational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Emotional</w:t>
            </w:r>
          </w:p>
        </w:tc>
      </w:tr>
      <w:tr>
        <w:tc>
          <w:tcPr>
            <w:tcW w:type="dxa" w:w="2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Zero-shot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0.10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0.20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0.20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0.10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0.30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1.00</w:t>
            </w:r>
          </w:p>
        </w:tc>
      </w:tr>
      <w:tr>
        <w:tc>
          <w:tcPr>
            <w:tcW w:type="dxa" w:w="2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Few-shot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0.10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0.10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0.30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0.30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0.20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0.70</w:t>
            </w:r>
          </w:p>
        </w:tc>
      </w:tr>
      <w:tr>
        <w:tc>
          <w:tcPr>
            <w:tcW w:type="dxa" w:w="2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Δ (FS − ZS)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0.00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−0.10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+0.10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+0.20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−0.10</w:t>
            </w:r>
          </w:p>
        </w:tc>
        <w:tc>
          <w:tcPr>
            <w:tcW w:type="dxa" w:w="12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−0.30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Key observations: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Emotional: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ZS over-predicts at 1.00 (all 10 conversations). FS reduces to 0.70, closer to MentalChat gold rate (0.88) and Kaggle gold rate (1.00).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Social &amp; Intellectual: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Few-shot improves detection (+0.20, +0.10), reflecting the benefit of domain-specific examples.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Spiritual: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Both modes: 0.10. Very rare domain; n=5 per dataset too small for reliable estimation (MentalChat gold rate 0.04, Kaggle 0.00).</w:t>
      </w:r>
    </w:p>
    <w:p>
      <w:pPr>
        <w:spacing w:after="0" w:before="12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3.3 Coverage Gap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Mean gap (gold_rate − pred_rate) across all representations, by domain:</w:t>
      </w:r>
    </w:p>
    <w:p>
      <w:pPr>
        <w:spacing w:after="0" w:before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4"/>
        <w:gridCol w:w="1504"/>
        <w:gridCol w:w="1504"/>
        <w:gridCol w:w="1504"/>
        <w:gridCol w:w="1504"/>
      </w:tblGrid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ZS mean gap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FS mean gap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ZS gold rate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Emotional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-0.060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+0.040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ZS over, FS near-correct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0.88/1.00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ZS over-predicts; FS improves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Intellectual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-0.630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-0.597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Both over-predict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0.14/0.00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Large negative gap; model sees intellectual signal in summaries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Physical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-0.090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+0.244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ZS near-correct, FS under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0.16/0.73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Mixed; Kaggle gold=0.73 inflates gap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Social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+0.205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+0.205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Both under-predict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0.70/0.91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Consistent under-prediction of Social across modes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Spiritual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-0.447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-0.413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Both over-predict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0.04/0.00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Both modes heavily over-predict this rare domain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Vocational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-0.543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-0.477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Both over-predict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0.12/0.00</w:t>
            </w:r>
          </w:p>
        </w:tc>
        <w:tc>
          <w:tcPr>
            <w:tcW w:type="dxa" w:w="1504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Largest over-prediction; Kaggle gold=0.00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3.4 Fidelity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All observed non-NaN entries show raw_to_summary_preservation = 1.00 for both patient and clinician representations, across all domains. However, most entries are NaN because raw_pred=0 for the given (conv, domain) pair in the 5-conversation demo. Non-NaN counts: Emotional (20), Vocational (6), Physical (4), Intellectual (4), Social (2), Spiritual (2). With only 5 conversations per dataset, the model tags mostly Emotional and Vocational in raw text, leaving other domains with insufficient non-NaN cases to compute a meaningful mean.</w:t>
      </w:r>
    </w:p>
    <w:p>
      <w:pPr>
        <w:spacing w:after="0" w:before="12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3.5 Stylometrics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Mean values across 10 conversations by representation:</w:t>
      </w:r>
    </w:p>
    <w:p>
      <w:pPr>
        <w:spacing w:after="0" w:before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200"/>
        <w:gridCol w:w="1200"/>
        <w:gridCol w:w="1200"/>
        <w:gridCol w:w="1120"/>
      </w:tblGrid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TTR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ASL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AWL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FPR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TPR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PVR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DTD</w:t>
            </w:r>
          </w:p>
        </w:tc>
        <w:tc>
          <w:tcPr>
            <w:tcW w:type="dxa" w:w="1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CD</w:t>
            </w:r>
          </w:p>
        </w:tc>
      </w:tr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Raw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0.624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15.8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4.13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0.132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0.034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0.015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0.266</w:t>
            </w:r>
          </w:p>
        </w:tc>
        <w:tc>
          <w:tcPr>
            <w:tcW w:type="dxa" w:w="1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Patient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0.494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26.9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4.30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0.107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0.008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0.025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0.825</w:t>
            </w:r>
          </w:p>
        </w:tc>
        <w:tc>
          <w:tcPr>
            <w:tcW w:type="dxa" w:w="1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0.865</w:t>
            </w:r>
          </w:p>
        </w:tc>
      </w:tr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Clinician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0.563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21.0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5.86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0.021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0.123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0.816</w:t>
            </w:r>
          </w:p>
        </w:tc>
        <w:tc>
          <w:tcPr>
            <w:tcW w:type="dxa" w:w="1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0.840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Key patterns: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FPR=0.000 in clinician (strict third-person compliance, Rule 4). FPR=0.107 in patient (first-person voice).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AWL clinician (5.86) vs raw (4.13): +42% longer average word length, reflecting Latinate clinical vocabulary.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DTD and CD near zero in raw; ~0.82–0.87 in summaries: [Domain] tagging (Rule 5) and citation (Rule 2) are near-perfect.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PVR clinician (0.123) vs patient (0.025): passive constructions ~5× more frequent in clinical register.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TTR highest in raw (0.624) — summaries are more formulaic (repeated [Domain] tags and citation patterns reduce type diversity).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8251D"/>
          <w:sz w:val="32"/>
          <w:szCs w:val="32"/>
        </w:rPr>
        <w:t xml:space="preserve">4. Methodology and Design Decisions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4.1 Why Three Representations?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The controlled three-representation experiment (raw → patient summary → clinician summary) is the central contribution of cNLP4QoL. Each representation is generated from the same source text but via different prompts that encode different PDSQI-9 constraints. This isolates the effect of the transformation on downstream QoL signal detection.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Raw text: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Direct patient/Reddit language. High FPR, low formality, no imposed structure.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Patient summary: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First-person, empathetic, plain-language. High FPR, high DTD/CD.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Clinician summary: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Third-person, clinical register. High AWL, high PVR, low FPR.</w:t>
      </w:r>
    </w:p>
    <w:p>
      <w:pPr>
        <w:spacing w:after="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4.2 Relation to ClinicSum (Neupane et al. 2024)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ClinicSum (IEEE BigData 2024, PMC12412407) is the closest published work: LLM-generated clinical SOAP notes evaluated with ROUGE/BERTScore. The key differentiators of cNLP4QoL: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Asks “does summarisation transform QoL signals?” not “how good is the summary?” (no ROUGE/BERTScore).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Uses PDSQI-9 (Croxford et al.) as the quality instrument, not ROUGE metrics.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Mental health / QoL domain — three datasets from social-media to clinical spectrum.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Controlled three-representation experiment (raw / patient / clinician).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Zero-shot vs few-shot tagging comparison (not fine-tuning via QLoRA).</w:t>
      </w:r>
    </w:p>
    <w:p>
      <w:pPr>
        <w:spacing w:after="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4.3 Gold Standard Caveats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The GOLD_PREVALENCE rates come from a 50-sample manual annotation. For rare domains: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2000"/>
        <w:gridCol w:w="2040"/>
      </w:tblGrid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8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rate (MC)</w:t>
            </w:r>
          </w:p>
        </w:tc>
        <w:tc>
          <w:tcPr>
            <w:tcW w:type="dxa" w:w="18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Margin of error</w:t>
            </w:r>
          </w:p>
        </w:tc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 range</w:t>
            </w:r>
          </w:p>
        </w:tc>
        <w:tc>
          <w:tcPr>
            <w:tcW w:type="dxa" w:w="20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Emotional</w:t>
            </w:r>
          </w:p>
        </w:tc>
        <w:tc>
          <w:tcPr>
            <w:tcW w:type="dxa" w:w="18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0.88</w:t>
            </w:r>
          </w:p>
        </w:tc>
        <w:tc>
          <w:tcPr>
            <w:tcW w:type="dxa" w:w="18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±0.101</w:t>
            </w:r>
          </w:p>
        </w:tc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0.78 – 0.98</w:t>
            </w:r>
          </w:p>
        </w:tc>
        <w:tc>
          <w:tcPr>
            <w:tcW w:type="dxa" w:w="20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Reliable at n=50</w:t>
            </w:r>
          </w:p>
        </w:tc>
      </w:tr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Social</w:t>
            </w:r>
          </w:p>
        </w:tc>
        <w:tc>
          <w:tcPr>
            <w:tcW w:type="dxa" w:w="18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0.70</w:t>
            </w:r>
          </w:p>
        </w:tc>
        <w:tc>
          <w:tcPr>
            <w:tcW w:type="dxa" w:w="18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±0.127</w:t>
            </w:r>
          </w:p>
        </w:tc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0.57 – 0.83</w:t>
            </w:r>
          </w:p>
        </w:tc>
        <w:tc>
          <w:tcPr>
            <w:tcW w:type="dxa" w:w="20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Reliable at n=50</w:t>
            </w:r>
          </w:p>
        </w:tc>
      </w:tr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Physical</w:t>
            </w:r>
          </w:p>
        </w:tc>
        <w:tc>
          <w:tcPr>
            <w:tcW w:type="dxa" w:w="18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0.16</w:t>
            </w:r>
          </w:p>
        </w:tc>
        <w:tc>
          <w:tcPr>
            <w:tcW w:type="dxa" w:w="18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±0.102</w:t>
            </w:r>
          </w:p>
        </w:tc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0.06 – 0.26</w:t>
            </w:r>
          </w:p>
        </w:tc>
        <w:tc>
          <w:tcPr>
            <w:tcW w:type="dxa" w:w="20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Moderate uncertainty</w:t>
            </w:r>
          </w:p>
        </w:tc>
      </w:tr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Intellectual</w:t>
            </w:r>
          </w:p>
        </w:tc>
        <w:tc>
          <w:tcPr>
            <w:tcW w:type="dxa" w:w="18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0.14</w:t>
            </w:r>
          </w:p>
        </w:tc>
        <w:tc>
          <w:tcPr>
            <w:tcW w:type="dxa" w:w="18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±0.097</w:t>
            </w:r>
          </w:p>
        </w:tc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0.04 – 0.24</w:t>
            </w:r>
          </w:p>
        </w:tc>
        <w:tc>
          <w:tcPr>
            <w:tcW w:type="dxa" w:w="20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Wide range</w:t>
            </w:r>
          </w:p>
        </w:tc>
      </w:tr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Vocational</w:t>
            </w:r>
          </w:p>
        </w:tc>
        <w:tc>
          <w:tcPr>
            <w:tcW w:type="dxa" w:w="18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0.18</w:t>
            </w:r>
          </w:p>
        </w:tc>
        <w:tc>
          <w:tcPr>
            <w:tcW w:type="dxa" w:w="18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±0.107</w:t>
            </w:r>
          </w:p>
        </w:tc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0.07 – 0.29</w:t>
            </w:r>
          </w:p>
        </w:tc>
        <w:tc>
          <w:tcPr>
            <w:tcW w:type="dxa" w:w="20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Wide range</w:t>
            </w:r>
          </w:p>
        </w:tc>
      </w:tr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Spiritual</w:t>
            </w:r>
          </w:p>
        </w:tc>
        <w:tc>
          <w:tcPr>
            <w:tcW w:type="dxa" w:w="18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0.04</w:t>
            </w:r>
          </w:p>
        </w:tc>
        <w:tc>
          <w:tcPr>
            <w:tcW w:type="dxa" w:w="18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±0.055</w:t>
            </w:r>
          </w:p>
        </w:tc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0.00 – 0.09</w:t>
            </w:r>
          </w:p>
        </w:tc>
        <w:tc>
          <w:tcPr>
            <w:tcW w:type="dxa" w:w="20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Very wide; effectively 0–2 cases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At n=5 (the demo), sampling variance dominates entirely. Results should be interpreted as illustrative, not inferential.</w:t>
      </w:r>
    </w:p>
    <w:p>
      <w:pPr>
        <w:spacing w:after="0" w:before="12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4.4 Methodological Soundness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The methodology is sound on the following dimensions: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PDSQI-9 encoding: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all 9 rules are explicitly implemented in Prompt B with correct Non_Stigmatizing convention (underscore key, 1=passes).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Coverage gap formula: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gold_rate − pred_rate uses ANNOTATED gold rates, not 5-sample raw rates.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Few-shot / eval separation: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MultiWD rows used for few-shot bank are NEVER used for evaluation.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Fidelity NaN semantics: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NaN = domain absent in raw text, not a missing value. Excluded from means correctly.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Stylometrics: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All 8 Garg et al. Table 2 metrics implemented identically (FP_RE, TP_RE, PASS_RE, TAG_RE, CITE_RE).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8251D"/>
          <w:sz w:val="32"/>
          <w:szCs w:val="32"/>
        </w:rPr>
        <w:t xml:space="preserve">5. Closing Discussion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5.1 Model Selection Trade-offs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60"/>
        <w:gridCol w:w="3660"/>
      </w:tblGrid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6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Qwen 3B</w:t>
            </w:r>
          </w:p>
        </w:tc>
        <w:tc>
          <w:tcPr>
            <w:tcW w:type="dxa" w:w="36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LLaMA 8B / GPT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Latency</w:t>
            </w:r>
          </w:p>
        </w:tc>
        <w:tc>
          <w:tcPr>
            <w:tcW w:type="dxa" w:w="36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Fast (~1 s/conv)</w:t>
            </w:r>
          </w:p>
        </w:tc>
        <w:tc>
          <w:tcPr>
            <w:tcW w:type="dxa" w:w="36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Slow (3–10 s/conv)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Cost</w:t>
            </w:r>
          </w:p>
        </w:tc>
        <w:tc>
          <w:tcPr>
            <w:tcW w:type="dxa" w:w="36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Free / local</w:t>
            </w:r>
          </w:p>
        </w:tc>
        <w:tc>
          <w:tcPr>
            <w:tcW w:type="dxa" w:w="36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API cost or GPU cost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Privacy</w:t>
            </w:r>
          </w:p>
        </w:tc>
        <w:tc>
          <w:tcPr>
            <w:tcW w:type="dxa" w:w="36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Stays on device</w:t>
            </w:r>
          </w:p>
        </w:tc>
        <w:tc>
          <w:tcPr>
            <w:tcW w:type="dxa" w:w="36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Data leaves institution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PDSQI-9 quality</w:t>
            </w:r>
          </w:p>
        </w:tc>
        <w:tc>
          <w:tcPr>
            <w:tcW w:type="dxa" w:w="36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Moderate</w:t>
            </w:r>
          </w:p>
        </w:tc>
        <w:tc>
          <w:tcPr>
            <w:tcW w:type="dxa" w:w="36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Higher instruction-following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Fidelity</w:t>
            </w:r>
          </w:p>
        </w:tc>
        <w:tc>
          <w:tcPr>
            <w:tcW w:type="dxa" w:w="36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May miss rare domains</w:t>
            </w:r>
          </w:p>
        </w:tc>
        <w:tc>
          <w:tcPr>
            <w:tcW w:type="dxa" w:w="36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Better domain coverage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Reproducibility</w:t>
            </w:r>
          </w:p>
        </w:tc>
        <w:tc>
          <w:tcPr>
            <w:tcW w:type="dxa" w:w="36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Fully deterministic</w:t>
            </w:r>
          </w:p>
        </w:tc>
        <w:tc>
          <w:tcPr>
            <w:tcW w:type="dxa" w:w="36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Subject to API versioning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Bdr>
          <w:left w:val="single" w:color="01696F" w:sz="12"/>
        </w:pBdr>
        <w:shd w:fill="F0FAF9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0C4E54"/>
          <w:sz w:val="20"/>
          <w:szCs w:val="20"/>
        </w:rPr>
        <w:t xml:space="preserve">The simpler is better principle: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A 3B model fine-tuned on a small labelled set often outperforms a 70B model zero-shot when the task is narrow and well-defined. Summarisation is harder than classification — larger models tend to score better on Cited and Organized.</w:t>
      </w:r>
    </w:p>
    <w:p>
      <w:pPr>
        <w:spacing w:after="0" w:before="12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5.2 Discussion Questions for Participants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Questions grouped by step for use during the 30-minute session:</w:t>
      </w:r>
    </w:p>
    <w:p>
      <w:pPr>
        <w:spacing w:after="0" w:before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T-0 / T-1: Data and Setup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What do you notice about text length differences between MentalChat and Kaggle? How might this affect summarisation quality?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Why would using MultiWD rows as both evaluation data and few-shot examples be methodologically problematic?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Is a 50-sample gold standard sufficient to validate prevalence estimates for rare domains like Spiritual?</w:t>
      </w:r>
    </w:p>
    <w:p>
      <w:pPr>
        <w:spacing w:after="0" w:before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T-2: Summarisation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In Prompt A vs B, which summary would a patient find more readable? Which would a clinician prefer?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Does chain-of-thought (Prompt C) improve domain coverage, or just add length?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Which prompt variant would you choose if the goal is downstream QoL tagging accuracy?</w:t>
      </w:r>
    </w:p>
    <w:p>
      <w:pPr>
        <w:spacing w:after="0" w:before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T-3: QoL Tagging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Which domains improve the most between zero-shot and few-shot tagging?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Does few-shot tagging help more for raw text or for summaries? Why might this differ?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If few-shot can be gamed by the model “recognizing” the example domain, how would you design a fairer test?</w:t>
      </w:r>
    </w:p>
    <w:p>
      <w:pPr>
        <w:spacing w:after="0" w:before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T-4 / T-5: Metrics and Dashboard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Panel B: which domains show the largest shift between ZS and FS tagging?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Panel D: fidelity = 1.0 everywhere — is this a sign of a good model or a small-sample artefact?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Panel C: does few-shot tagging reduce or increase the coverage gap? Does the answer differ between datasets?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Panel A: why do all PDSQI-9 scores equal 5? Is this a meaningful quality signal?</w:t>
      </w:r>
    </w:p>
    <w:p>
      <w:pPr>
        <w:spacing w:after="0" w:before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Closing Questions (T-6)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At what point does a model become “good enough” for PDSQI-9 compliance in a clinical audit?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How would you validate that a patient-perspective summary accurately represents the patient’s intent rather than the clinician’s interpretation?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If you could only run ONE representation through the QoL tagger, which would you choose — and does your answer change for different downstream use cases?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8251D"/>
          <w:sz w:val="32"/>
          <w:szCs w:val="32"/>
        </w:rPr>
        <w:t xml:space="preserve">6. Output Files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6.1 Excel Workbook (T-6)</w:t>
      </w:r>
    </w:p>
    <w:p>
      <w:pPr>
        <w:spacing w:after="100" w:before="60" w:line="276" w:lineRule="auto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tutorial_demo_10conv_results.xlsx — 8 sheets mirroring Val_Outputs_Annotated_v2_Step6GoldEvalReport.xlsx: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2120"/>
      </w:tblGrid>
      <w:tr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type="dxa" w:w="5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2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</w:tr>
      <w:tr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Summaries</w:t>
            </w:r>
          </w:p>
        </w:tc>
        <w:tc>
          <w:tcPr>
            <w:tcW w:type="dxa" w:w="5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dataset, conv_id, raw_text, patient_summary, clinician_summary</w:t>
            </w:r>
          </w:p>
        </w:tc>
        <w:tc>
          <w:tcPr>
            <w:tcW w:type="dxa" w:w="2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QoLTagging_ZS</w:t>
            </w:r>
          </w:p>
        </w:tc>
        <w:tc>
          <w:tcPr>
            <w:tcW w:type="dxa" w:w="5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Zero-shot binary predictions per (conv_id, representation)</w:t>
            </w:r>
          </w:p>
        </w:tc>
        <w:tc>
          <w:tcPr>
            <w:tcW w:type="dxa" w:w="2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QoLTagging_FS</w:t>
            </w:r>
          </w:p>
        </w:tc>
        <w:tc>
          <w:tcPr>
            <w:tcW w:type="dxa" w:w="5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Few-shot binary predictions per (conv_id, representation)</w:t>
            </w:r>
          </w:p>
        </w:tc>
        <w:tc>
          <w:tcPr>
            <w:tcW w:type="dxa" w:w="2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PDSQI9Scores</w:t>
            </w:r>
          </w:p>
        </w:tc>
        <w:tc>
          <w:tcPr>
            <w:tcW w:type="dxa" w:w="5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8 Likert scores + Non_Stigmatizing per summary</w:t>
            </w:r>
          </w:p>
        </w:tc>
        <w:tc>
          <w:tcPr>
            <w:tcW w:type="dxa" w:w="2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CoverageGap_ZS</w:t>
            </w:r>
          </w:p>
        </w:tc>
        <w:tc>
          <w:tcPr>
            <w:tcW w:type="dxa" w:w="5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ZS coverage gap per (dataset, rep, domain)</w:t>
            </w:r>
          </w:p>
        </w:tc>
        <w:tc>
          <w:tcPr>
            <w:tcW w:type="dxa" w:w="2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CoverageGap_FS</w:t>
            </w:r>
          </w:p>
        </w:tc>
        <w:tc>
          <w:tcPr>
            <w:tcW w:type="dxa" w:w="5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FS coverage gap per (dataset, rep, domain)</w:t>
            </w:r>
          </w:p>
        </w:tc>
        <w:tc>
          <w:tcPr>
            <w:tcW w:type="dxa" w:w="2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FidelityMatrix</w:t>
            </w:r>
          </w:p>
        </w:tc>
        <w:tc>
          <w:tcPr>
            <w:tcW w:type="dxa" w:w="5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raw_to_summary_preservation per (conv_id, domain, rep)</w:t>
            </w:r>
          </w:p>
        </w:tc>
        <w:tc>
          <w:tcPr>
            <w:tcW w:type="dxa" w:w="2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18"/>
                <w:szCs w:val="18"/>
              </w:rPr>
              <w:t xml:space="preserve">Stylometrics</w:t>
            </w:r>
          </w:p>
        </w:tc>
        <w:tc>
          <w:tcPr>
            <w:tcW w:type="dxa" w:w="5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8 Garg et al. features per (conv_id, representation)</w:t>
            </w:r>
          </w:p>
        </w:tc>
        <w:tc>
          <w:tcPr>
            <w:tcW w:type="dxa" w:w="2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0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30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6.2 References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Croxford E et al. </w:t>
      </w:r>
      <w:hyperlink w:history="1" r:id="rIdhdgaxixygdu5keerfsdmx">
        <w:r>
          <w:rPr>
            <w:rStyle w:val="Hyperlink"/>
            <w:rFonts w:ascii="Arial" w:cs="Arial" w:eastAsia="Arial" w:hAnsi="Arial"/>
            <w:color w:val="01696F"/>
            <w:sz w:val="20"/>
            <w:szCs w:val="20"/>
          </w:rPr>
          <w:t xml:space="preserve">PDSQI-9: Development and Validation. JAMIA 2025.</w:t>
        </w:r>
      </w:hyperlink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Garg P et al. </w:t>
      </w:r>
      <w:hyperlink w:history="1" r:id="rIdcvplgziltoaxgebqpi9so">
        <w:r>
          <w:rPr>
            <w:rStyle w:val="Hyperlink"/>
            <w:rFonts w:ascii="Arial" w:cs="Arial" w:eastAsia="Arial" w:hAnsi="Arial"/>
            <w:color w:val="01696F"/>
            <w:sz w:val="20"/>
            <w:szCs w:val="20"/>
          </w:rPr>
          <w:t xml:space="preserve">Stylometric and Fidelity Analysis. Frontiers Psychiatry 2025.</w:t>
        </w:r>
      </w:hyperlink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ICHI 2026 cNLP4QoL Workshop. </w:t>
      </w:r>
      <w:hyperlink w:history="1" r:id="rIdqid0aghgfqqrhvnmvl0yi">
        <w:r>
          <w:rPr>
            <w:rStyle w:val="Hyperlink"/>
            <w:rFonts w:ascii="Arial" w:cs="Arial" w:eastAsia="Arial" w:hAnsi="Arial"/>
            <w:color w:val="01696F"/>
            <w:sz w:val="20"/>
            <w:szCs w:val="20"/>
          </w:rPr>
          <w:t xml:space="preserve">https://cnlp4qol.github.io/ICHI-cnlp4qol-2026/</w:t>
        </w:r>
      </w:hyperlink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Neupane S et al. ClinicSum: LLM-Generated SOAP Notes. </w:t>
      </w:r>
      <w:hyperlink w:history="1" r:id="rIdgj39ndfg_hotcp04sovaf">
        <w:r>
          <w:rPr>
            <w:rStyle w:val="Hyperlink"/>
            <w:rFonts w:ascii="Arial" w:cs="Arial" w:eastAsia="Arial" w:hAnsi="Arial"/>
            <w:color w:val="01696F"/>
            <w:sz w:val="20"/>
            <w:szCs w:val="20"/>
          </w:rPr>
          <w:t xml:space="preserve">IEEE BigData 2024 / PMC12412407.</w:t>
        </w:r>
      </w:hyperlink>
    </w:p>
    <w:p>
      <w:pPr>
        <w:spacing w:after="0" w:before="12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Bdr>
          <w:bottom w:val="single" w:color="D4D1CA" w:sz="6"/>
        </w:pBdr>
        <w:spacing w:after="80" w:before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7A7974"/>
          <w:sz w:val="16"/>
          <w:szCs w:val="16"/>
        </w:rPr>
        <w:t xml:space="preserve">cNLP4QoL Tutorial Overview — v3_2c — ICHI 2026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7974"/>
        <w:sz w:val="16"/>
        <w:szCs w:val="16"/>
      </w:rPr>
      <w:t xml:space="preserve">Page </w:t>
    </w:r>
    <w:r>
      <w:rPr>
        <w:rFonts w:ascii="Arial" w:cs="Arial" w:eastAsia="Arial" w:hAnsi="Arial"/>
        <w:color w:val="7A79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7974"/>
        <w:sz w:val="16"/>
        <w:szCs w:val="16"/>
      </w:rPr>
      <w:t xml:space="preserve"> of </w:t>
    </w:r>
    <w:r>
      <w:rPr>
        <w:rFonts w:ascii="Arial" w:cs="Arial" w:eastAsia="Arial" w:hAnsi="Arial"/>
        <w:color w:val="7A79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Arial" w:cs="Arial" w:eastAsia="Arial" w:hAnsi="Arial"/>
          <w:color w:val="28251D"/>
          <w:sz w:val="20"/>
          <w:szCs w:val="20"/>
        </w:rPr>
        <w:t xml:space="preserve">Croxford E et al. PDSQI-9: Development and Validation of a Patient Documentation Quality Instrument. </w:t>
      </w:r>
      <w:hyperlink w:history="1" r:id="rIdkrfavvmxw_belpdqjdhy-">
        <w:r>
          <w:rPr>
            <w:rStyle w:val="Hyperlink"/>
            <w:rFonts w:ascii="Arial" w:cs="Arial" w:eastAsia="Arial" w:hAnsi="Arial"/>
            <w:color w:val="01696F"/>
            <w:sz w:val="20"/>
            <w:szCs w:val="20"/>
          </w:rPr>
          <w:t xml:space="preserve">https://pubmed.ncbi.nlm.nih.gov/40323321/</w:t>
        </w:r>
      </w:hyperlink>
      <w:r>
        <w:rPr>
          <w:rFonts w:ascii="Arial" w:cs="Arial" w:eastAsia="Arial" w:hAnsi="Arial"/>
          <w:color w:val="28251D"/>
          <w:sz w:val="20"/>
          <w:szCs w:val="20"/>
        </w:rPr>
        <w:t xml:space="preserve">. JAMIA, 2025.</w:t>
      </w:r>
    </w:p>
  </w:footnote>
  <w:footnote w:id="2">
    <w:p>
      <w:r>
        <w:rPr>
          <w:rStyle w:val="FootnoteReference"/>
        </w:rPr>
        <w:footnoteRef/>
      </w:r>
      <w:r>
        <w:rPr>
          <w:rFonts w:ascii="Arial" w:cs="Arial" w:eastAsia="Arial" w:hAnsi="Arial"/>
          <w:color w:val="28251D"/>
          <w:sz w:val="20"/>
          <w:szCs w:val="20"/>
        </w:rPr>
        <w:t xml:space="preserve">Garg P et al. Stylometric and Fidelity Analysis of LLM-Generated Mental Health Summaries. </w:t>
      </w:r>
      <w:hyperlink w:history="1" r:id="rId5c4qhxo6yivbgezjd94ei">
        <w:r>
          <w:rPr>
            <w:rStyle w:val="Hyperlink"/>
            <w:rFonts w:ascii="Arial" w:cs="Arial" w:eastAsia="Arial" w:hAnsi="Arial"/>
            <w:color w:val="01696F"/>
            <w:sz w:val="20"/>
            <w:szCs w:val="20"/>
          </w:rPr>
          <w:t xml:space="preserve">https://doi.org/10.3389/fpsyt.2025.1726100</w:t>
        </w:r>
      </w:hyperlink>
      <w:r>
        <w:rPr>
          <w:rFonts w:ascii="Arial" w:cs="Arial" w:eastAsia="Arial" w:hAnsi="Arial"/>
          <w:color w:val="28251D"/>
          <w:sz w:val="20"/>
          <w:szCs w:val="20"/>
        </w:rPr>
        <w:t xml:space="preserve">. Frontiers in Psychiatry, 2025.</w:t>
      </w:r>
    </w:p>
  </w:footnote>
  <w:footnote w:id="3">
    <w:p>
      <w:r>
        <w:rPr>
          <w:rStyle w:val="FootnoteReference"/>
        </w:rPr>
        <w:footnoteRef/>
      </w:r>
      <w:r>
        <w:rPr>
          <w:rFonts w:ascii="Arial" w:cs="Arial" w:eastAsia="Arial" w:hAnsi="Arial"/>
          <w:color w:val="28251D"/>
          <w:sz w:val="20"/>
          <w:szCs w:val="20"/>
        </w:rPr>
        <w:t xml:space="preserve">ICHI 2026 cNLP4QoL Workshop. </w:t>
      </w:r>
      <w:hyperlink w:history="1" r:id="rIdebzpi1jtfsawvsdqupzaf">
        <w:r>
          <w:rPr>
            <w:rStyle w:val="Hyperlink"/>
            <w:rFonts w:ascii="Arial" w:cs="Arial" w:eastAsia="Arial" w:hAnsi="Arial"/>
            <w:color w:val="01696F"/>
            <w:sz w:val="20"/>
            <w:szCs w:val="20"/>
          </w:rPr>
          <w:t xml:space="preserve">https://cnlp4qol.github.io/ICHI-cnlp4qol-2026/</w:t>
        </w:r>
      </w:hyperlink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Arial" w:cs="Arial" w:eastAsia="Arial" w:hAnsi="Arial"/>
        <w:i/>
        <w:iCs/>
        <w:color w:val="7A7974"/>
        <w:sz w:val="16"/>
        <w:szCs w:val="16"/>
      </w:rPr>
      <w:t xml:space="preserve">cNLP4QoL Tutorial — ICHI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8251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8251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8251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8251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aiiu9whggiyamzxn1j9c" Type="http://schemas.openxmlformats.org/officeDocument/2006/relationships/hyperlink" Target="https://pubmed.ncbi.nlm.nih.gov/40323321/" TargetMode="External"/><Relationship Id="rIdqt_tjhti7xu6nc7m3uys1" Type="http://schemas.openxmlformats.org/officeDocument/2006/relationships/hyperlink" Target="https://doi.org/10.3389/fpsyt.2025.1726100" TargetMode="External"/><Relationship Id="rIdhdgaxixygdu5keerfsdmx" Type="http://schemas.openxmlformats.org/officeDocument/2006/relationships/hyperlink" Target="https://pubmed.ncbi.nlm.nih.gov/40323321/" TargetMode="External"/><Relationship Id="rIdcvplgziltoaxgebqpi9so" Type="http://schemas.openxmlformats.org/officeDocument/2006/relationships/hyperlink" Target="https://doi.org/10.3389/fpsyt.2025.1726100" TargetMode="External"/><Relationship Id="rIdqid0aghgfqqrhvnmvl0yi" Type="http://schemas.openxmlformats.org/officeDocument/2006/relationships/hyperlink" Target="https://cnlp4qol.github.io/ICHI-cnlp4qol-2026/" TargetMode="External"/><Relationship Id="rIdgj39ndfg_hotcp04sovaf" Type="http://schemas.openxmlformats.org/officeDocument/2006/relationships/hyperlink" Target="https://pmc.ncbi.nlm.nih.gov/articles/PMC12412407/" TargetMode="External"/><Relationship Id="rId9" Type="http://schemas.openxmlformats.org/officeDocument/2006/relationships/image" Target="media/167deff14c9424dc5c32092a6e2ba9984b18f99c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Id="rIdkrfavvmxw_belpdqjdhy-" Type="http://schemas.openxmlformats.org/officeDocument/2006/relationships/hyperlink" Target="https://pubmed.ncbi.nlm.nih.gov/40323321/" TargetMode="External"/><Relationship Id="rId5c4qhxo6yivbgezjd94ei" Type="http://schemas.openxmlformats.org/officeDocument/2006/relationships/hyperlink" Target="https://doi.org/10.3389/fpsyt.2025.1726100" TargetMode="External"/><Relationship Id="rIdebzpi1jtfsawvsdqupzaf" Type="http://schemas.openxmlformats.org/officeDocument/2006/relationships/hyperlink" Target="https://cnlp4qol.github.io/ICHI-cnlp4qol-2026/" TargetMode="External"/></Relationships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2026-05-21T05:31:09.533Z</dcterms:created>
  <dcterms:modified xsi:type="dcterms:W3CDTF">2026-05-21T05:31:09.533Z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