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2A4A"/>
          <w:sz w:val="40"/>
          <w:szCs w:val="40"/>
        </w:rPr>
        <w:t xml:space="preserve">SELF-INTRODUCTION &amp; KEY ANSWERS</w:t>
      </w:r>
    </w:p>
    <w:p>
      <w:pPr>
        <w:spacing w:after="40"/>
        <w:jc w:val="center"/>
      </w:pPr>
      <w:r>
        <w:rPr>
          <w:rFonts w:ascii="Arial" w:cs="Arial" w:eastAsia="Arial" w:hAnsi="Arial"/>
          <w:color w:val="555555"/>
          <w:sz w:val="26"/>
          <w:szCs w:val="26"/>
        </w:rPr>
        <w:t xml:space="preserve">Cloud Engineer (R-5764) — TMX Group</w:t>
      </w:r>
    </w:p>
    <w:p>
      <w:pPr>
        <w:pBdr>
          <w:bottom w:val="single" w:color="1B2A4A" w:sz="3" w:space="8"/>
        </w:pBdr>
        <w:spacing w:after="300"/>
        <w:jc w:val="center"/>
      </w:pPr>
      <w:r>
        <w:rPr>
          <w:rFonts w:ascii="Arial" w:cs="Arial" w:eastAsia="Arial" w:hAnsi="Arial"/>
          <w:i/>
          <w:iCs/>
          <w:color w:val="777777"/>
          <w:sz w:val="22"/>
          <w:szCs w:val="22"/>
        </w:rPr>
        <w:t xml:space="preserve">Interview Preparation Guide</w:t>
      </w:r>
    </w:p>
    <w:p>
      <w:pPr>
        <w:pBdr>
          <w:bottom w:val="single" w:color="1B2A4A" w:sz="2" w:space="4"/>
        </w:pBdr>
        <w:spacing w:after="120" w:before="400"/>
      </w:pPr>
      <w:r>
        <w:rPr>
          <w:rFonts w:ascii="Arial" w:cs="Arial" w:eastAsia="Arial" w:hAnsi="Arial"/>
          <w:b/>
          <w:bCs/>
          <w:color w:val="1B2A4A"/>
          <w:sz w:val="32"/>
          <w:szCs w:val="32"/>
        </w:rPr>
        <w:t xml:space="preserve">SECTION 1: 60-SECOND SELF-INTRODUCTION</w:t>
      </w:r>
    </w:p>
    <w:p>
      <w:pPr>
        <w:spacing w:after="120"/>
        <w:jc w:val="left"/>
      </w:pPr>
      <w:r>
        <w:rPr>
          <w:rFonts w:ascii="Arial" w:cs="Arial" w:eastAsia="Arial" w:hAnsi="Arial"/>
          <w:b w:val="false"/>
          <w:bCs w:val="false"/>
          <w:i/>
          <w:iCs/>
          <w:color w:val="666666"/>
          <w:sz w:val="22"/>
          <w:szCs w:val="22"/>
        </w:rPr>
        <w:t xml:space="preserve">Memorize and deliver this script naturally. Target time: 55–65 seconds.</w:t>
      </w:r>
    </w:p>
    <w:p>
      <w:pPr>
        <w:shd w:color="E8EDF5" w:val="solid"/>
        <w:spacing w:after="160"/>
        <w:ind w:left="431" w:right="431"/>
      </w:pPr>
      <w:r>
        <w:rPr>
          <w:rFonts w:ascii="Arial" w:cs="Arial" w:eastAsia="Arial" w:hAnsi="Arial"/>
          <w:i/>
          <w:iCs/>
          <w:color w:val="2C3E50"/>
          <w:sz w:val="22"/>
          <w:szCs w:val="22"/>
        </w:rPr>
        <w:t xml:space="preserve">"Good morning/afternoon, thank you for having me. My name is Ravi Kiran Kambhampati. I’m currently completing my Post-Graduate Certificate in Cloud Operations at York University, Toronto, building on my earlier Post-Graduate Certificate in Cybersecurity Operations from the same institution."</w:t>
      </w:r>
    </w:p>
    <w:p>
      <w:pPr>
        <w:shd w:color="E8EDF5" w:val="solid"/>
        <w:spacing w:after="160"/>
        <w:ind w:left="431" w:right="431"/>
      </w:pPr>
      <w:r>
        <w:rPr>
          <w:rFonts w:ascii="Arial" w:cs="Arial" w:eastAsia="Arial" w:hAnsi="Arial"/>
          <w:i/>
          <w:iCs/>
          <w:color w:val="2C3E50"/>
          <w:sz w:val="22"/>
          <w:szCs w:val="22"/>
        </w:rPr>
        <w:t xml:space="preserve">"I bring a unique combination of cloud engineering and cybersecurity experience. During my internship at TefoLogic as a Cloud Engineer, I worked hands-on with AWS and GCP — monitoring and resolving production incidents, automating infrastructure using Terraform and CI/CD pipelines, and managing ETL workflows with services like S3 and Lambda."</w:t>
      </w:r>
    </w:p>
    <w:p>
      <w:pPr>
        <w:shd w:color="E8EDF5" w:val="solid"/>
        <w:spacing w:after="160"/>
        <w:ind w:left="431" w:right="431"/>
      </w:pPr>
      <w:r>
        <w:rPr>
          <w:rFonts w:ascii="Arial" w:cs="Arial" w:eastAsia="Arial" w:hAnsi="Arial"/>
          <w:i/>
          <w:iCs/>
          <w:color w:val="2C3E50"/>
          <w:sz w:val="22"/>
          <w:szCs w:val="22"/>
        </w:rPr>
        <w:t xml:space="preserve">"On the project side, I’ve built two security automation platforms. One is a SOC Threat Detection Log Analyzer that parses Linux authentication logs and detects brute force attacks using a sliding time window algorithm. The other is SOAR-Lite, a full-stack Security Orchestration platform with automated IP blocking, a Flask dashboard, and Docker containerization."</w:t>
      </w:r>
    </w:p>
    <w:p>
      <w:pPr>
        <w:shd w:color="E8EDF5" w:val="solid"/>
        <w:spacing w:after="160"/>
        <w:ind w:left="431" w:right="431"/>
      </w:pPr>
      <w:r>
        <w:rPr>
          <w:rFonts w:ascii="Arial" w:cs="Arial" w:eastAsia="Arial" w:hAnsi="Arial"/>
          <w:i/>
          <w:iCs/>
          <w:color w:val="2C3E50"/>
          <w:sz w:val="22"/>
          <w:szCs w:val="22"/>
        </w:rPr>
        <w:t xml:space="preserve">"What excites me about TMX is the opportunity to support mission-critical financial infrastructure in the cloud. My security-first mindset combined with hands-on cloud and automation experience makes me a strong fit for this Cloud Engineer role. I’m eager to contribute to TMX’s cloud modernization journey."</w:t>
      </w:r>
    </w:p>
    <w:p>
      <w:pPr>
        <w:pBdr>
          <w:bottom w:val="single" w:color="1B2A4A" w:sz="2" w:space="4"/>
        </w:pBdr>
        <w:spacing w:after="120" w:before="400"/>
      </w:pPr>
      <w:r>
        <w:rPr>
          <w:rFonts w:ascii="Arial" w:cs="Arial" w:eastAsia="Arial" w:hAnsi="Arial"/>
          <w:b/>
          <w:bCs/>
          <w:color w:val="1B2A4A"/>
          <w:sz w:val="32"/>
          <w:szCs w:val="32"/>
        </w:rPr>
        <w:t xml:space="preserve">SECTION 2: 90-SECOND EXTENDED VERSION</w:t>
      </w:r>
    </w:p>
    <w:p>
      <w:pPr>
        <w:spacing w:after="120"/>
        <w:jc w:val="left"/>
      </w:pPr>
      <w:r>
        <w:rPr>
          <w:rFonts w:ascii="Arial" w:cs="Arial" w:eastAsia="Arial" w:hAnsi="Arial"/>
          <w:b w:val="false"/>
          <w:bCs w:val="false"/>
          <w:i/>
          <w:iCs/>
          <w:color w:val="666666"/>
          <w:sz w:val="22"/>
          <w:szCs w:val="22"/>
        </w:rPr>
        <w:t xml:space="preserve">Use this version if the interviewer asks you to elaborate or if the conversation feels relaxed. Add the following paragraphs after the projects section from Section 1:</w:t>
      </w:r>
    </w:p>
    <w:p>
      <w:pPr>
        <w:shd w:color="E8EDF5" w:val="solid"/>
        <w:spacing w:after="160"/>
        <w:ind w:left="431" w:right="431"/>
      </w:pPr>
      <w:r>
        <w:rPr>
          <w:rFonts w:ascii="Arial" w:cs="Arial" w:eastAsia="Arial" w:hAnsi="Arial"/>
          <w:i/>
          <w:iCs/>
          <w:color w:val="2C3E50"/>
          <w:sz w:val="22"/>
          <w:szCs w:val="22"/>
        </w:rPr>
        <w:t xml:space="preserve">"My cybersecurity background gives me a strong understanding of compliance frameworks like NIST and ISO 27001, which I know are critical in the financial services sector. I’m also currently preparing for my CompTIA Security+ certification, with plans to pursue the AWS Solutions Architect Associate certification right after."</w:t>
      </w:r>
    </w:p>
    <w:p>
      <w:pPr>
        <w:shd w:color="E8EDF5" w:val="solid"/>
        <w:spacing w:after="160"/>
        <w:ind w:left="431" w:right="431"/>
      </w:pPr>
      <w:r>
        <w:rPr>
          <w:rFonts w:ascii="Arial" w:cs="Arial" w:eastAsia="Arial" w:hAnsi="Arial"/>
          <w:i/>
          <w:iCs/>
          <w:color w:val="2C3E50"/>
          <w:sz w:val="22"/>
          <w:szCs w:val="22"/>
        </w:rPr>
        <w:t xml:space="preserve">"Throughout my academic and project work, I’ve developed strong skills in Python scripting, log analysis, SIEM platforms like Splunk and ELK Stack, and networking fundamentals including TCP/IP, DNS, VPCs, and security groups."</w:t>
      </w:r>
    </w:p>
    <w:p>
      <w:pPr>
        <w:pBdr>
          <w:bottom w:val="single" w:color="1B2A4A" w:sz="2" w:space="4"/>
        </w:pBdr>
        <w:spacing w:after="120" w:before="400"/>
      </w:pPr>
      <w:r>
        <w:rPr>
          <w:rFonts w:ascii="Arial" w:cs="Arial" w:eastAsia="Arial" w:hAnsi="Arial"/>
          <w:b/>
          <w:bCs/>
          <w:color w:val="1B2A4A"/>
          <w:sz w:val="32"/>
          <w:szCs w:val="32"/>
        </w:rPr>
        <w:t xml:space="preserve">SECTION 3: "WHY TMX?" ANSWER</w:t>
      </w:r>
    </w:p>
    <w:p>
      <w:pPr>
        <w:shd w:color="E8EDF5" w:val="solid"/>
        <w:spacing w:after="160"/>
        <w:ind w:left="431" w:right="431"/>
      </w:pPr>
      <w:r>
        <w:rPr>
          <w:rFonts w:ascii="Arial" w:cs="Arial" w:eastAsia="Arial" w:hAnsi="Arial"/>
          <w:i/>
          <w:iCs/>
          <w:color w:val="2C3E50"/>
          <w:sz w:val="22"/>
          <w:szCs w:val="22"/>
        </w:rPr>
        <w:t xml:space="preserve">"TMX Group operates Canada’s premier financial markets — the Toronto Stock Exchange, TSX Venture Exchange, and Montreal Exchange. What draws me to TMX is the mission-critical nature of the infrastructure. A stock exchange demands near-zero downtime, especially during market hours, and that level of operational excellence is exactly the kind of challenge I want to be part of."</w:t>
      </w:r>
    </w:p>
    <w:p>
      <w:pPr>
        <w:shd w:color="E8EDF5" w:val="solid"/>
        <w:spacing w:after="160"/>
        <w:ind w:left="431" w:right="431"/>
      </w:pPr>
      <w:r>
        <w:rPr>
          <w:rFonts w:ascii="Arial" w:cs="Arial" w:eastAsia="Arial" w:hAnsi="Arial"/>
          <w:i/>
          <w:iCs/>
          <w:color w:val="2C3E50"/>
          <w:sz w:val="22"/>
          <w:szCs w:val="22"/>
        </w:rPr>
        <w:t xml:space="preserve">"TMX is also going through a cloud modernization journey, moving to AWS and Azure. My combined experience in cloud engineering and cybersecurity positions me well to contribute to building secure, scalable, and highly available infrastructure. In financial services, security isn’t optional — it’s foundational, and that’s where my background becomes a real differentiator."</w:t>
      </w:r>
    </w:p>
    <w:p>
      <w:pPr>
        <w:pBdr>
          <w:bottom w:val="single" w:color="1B2A4A" w:sz="2" w:space="4"/>
        </w:pBdr>
        <w:spacing w:after="120" w:before="400"/>
      </w:pPr>
      <w:r>
        <w:rPr>
          <w:rFonts w:ascii="Arial" w:cs="Arial" w:eastAsia="Arial" w:hAnsi="Arial"/>
          <w:b/>
          <w:bCs/>
          <w:color w:val="1B2A4A"/>
          <w:sz w:val="32"/>
          <w:szCs w:val="32"/>
        </w:rPr>
        <w:t xml:space="preserve">SECTION 4: "WHY SHOULD WE HIRE YOU?" ANSWER</w:t>
      </w:r>
    </w:p>
    <w:p>
      <w:pPr>
        <w:shd w:color="E8EDF5" w:val="solid"/>
        <w:spacing w:after="160"/>
        <w:ind w:left="431" w:right="431"/>
      </w:pPr>
      <w:r>
        <w:rPr>
          <w:rFonts w:ascii="Arial" w:cs="Arial" w:eastAsia="Arial" w:hAnsi="Arial"/>
          <w:i/>
          <w:iCs/>
          <w:color w:val="2C3E50"/>
          <w:sz w:val="22"/>
          <w:szCs w:val="22"/>
        </w:rPr>
        <w:t xml:space="preserve">"Three reasons:"</w:t>
      </w:r>
    </w:p>
    <w:p>
      <w:pPr>
        <w:shd w:color="E8EDF5" w:val="solid"/>
        <w:spacing w:after="160"/>
        <w:ind w:left="431" w:right="431"/>
      </w:pPr>
      <w:r>
        <w:rPr>
          <w:rFonts w:ascii="Arial" w:cs="Arial" w:eastAsia="Arial" w:hAnsi="Arial"/>
          <w:i/>
          <w:iCs/>
          <w:color w:val="2C3E50"/>
          <w:sz w:val="22"/>
          <w:szCs w:val="22"/>
        </w:rPr>
        <w:t xml:space="preserve">"First, I bring a rare combination of cloud engineering and cybersecurity. Most cloud engineers don’t have SOC experience, and most security analysts don’t have hands-on cloud infrastructure skills. I bridge both worlds, which is especially valuable for a financial institution like TMX where security is paramount."</w:t>
      </w:r>
    </w:p>
    <w:p>
      <w:pPr>
        <w:shd w:color="E8EDF5" w:val="solid"/>
        <w:spacing w:after="160"/>
        <w:ind w:left="431" w:right="431"/>
      </w:pPr>
      <w:r>
        <w:rPr>
          <w:rFonts w:ascii="Arial" w:cs="Arial" w:eastAsia="Arial" w:hAnsi="Arial"/>
          <w:i/>
          <w:iCs/>
          <w:color w:val="2C3E50"/>
          <w:sz w:val="22"/>
          <w:szCs w:val="22"/>
        </w:rPr>
        <w:t xml:space="preserve">"Second, I have proven automation skills. At TefoLogic, I automated infrastructure with Terraform and CI/CD. In my projects, I automated threat detection and incident response. I don’t just maintain systems — I look for ways to make them more efficient and reliable."</w:t>
      </w:r>
    </w:p>
    <w:p>
      <w:pPr>
        <w:shd w:color="E8EDF5" w:val="solid"/>
        <w:spacing w:after="160"/>
        <w:ind w:left="431" w:right="431"/>
      </w:pPr>
      <w:r>
        <w:rPr>
          <w:rFonts w:ascii="Arial" w:cs="Arial" w:eastAsia="Arial" w:hAnsi="Arial"/>
          <w:i/>
          <w:iCs/>
          <w:color w:val="2C3E50"/>
          <w:sz w:val="22"/>
          <w:szCs w:val="22"/>
        </w:rPr>
        <w:t xml:space="preserve">"Third, I’m a quick learner with current, relevant knowledge. I’m completing two post-graduate programs simultaneously, I’m pursuing Security+, and I stay hands-on through CTF challenges and building real projects. I’m not just theoretically prepared — I’ve built working systems that demonstrate my capabilities."</w:t>
      </w:r>
    </w:p>
    <w:p>
      <w:pPr>
        <w:pBdr>
          <w:bottom w:val="single" w:color="1B2A4A" w:sz="2" w:space="4"/>
        </w:pBdr>
        <w:spacing w:after="120" w:before="400"/>
      </w:pPr>
      <w:r>
        <w:rPr>
          <w:rFonts w:ascii="Arial" w:cs="Arial" w:eastAsia="Arial" w:hAnsi="Arial"/>
          <w:b/>
          <w:bCs/>
          <w:color w:val="1B2A4A"/>
          <w:sz w:val="32"/>
          <w:szCs w:val="32"/>
        </w:rPr>
        <w:t xml:space="preserve">SECTION 5: "WHERE DO YOU SEE YOURSELF IN 5 YEARS?" ANSWER</w:t>
      </w:r>
    </w:p>
    <w:p>
      <w:pPr>
        <w:shd w:color="E8EDF5" w:val="solid"/>
        <w:spacing w:after="160"/>
        <w:ind w:left="431" w:right="431"/>
      </w:pPr>
      <w:r>
        <w:rPr>
          <w:rFonts w:ascii="Arial" w:cs="Arial" w:eastAsia="Arial" w:hAnsi="Arial"/>
          <w:i/>
          <w:iCs/>
          <w:color w:val="2C3E50"/>
          <w:sz w:val="22"/>
          <w:szCs w:val="22"/>
        </w:rPr>
        <w:t xml:space="preserve">"In five years, I see myself as a Senior Cloud Engineer or Cloud Architect, ideally still at TMX. I want to deepen my expertise in AWS and Azure, earn my Solutions Architect and possibly DevOps Engineer certifications, and take on more responsibility in designing cloud infrastructure for mission-critical financial systems."</w:t>
      </w:r>
    </w:p>
    <w:p>
      <w:pPr>
        <w:shd w:color="E8EDF5" w:val="solid"/>
        <w:spacing w:after="160"/>
        <w:ind w:left="431" w:right="431"/>
      </w:pPr>
      <w:r>
        <w:rPr>
          <w:rFonts w:ascii="Arial" w:cs="Arial" w:eastAsia="Arial" w:hAnsi="Arial"/>
          <w:i/>
          <w:iCs/>
          <w:color w:val="2C3E50"/>
          <w:sz w:val="22"/>
          <w:szCs w:val="22"/>
        </w:rPr>
        <w:t xml:space="preserve">"I’m also passionate about the intersection of cloud and security, so I’d love to eventually contribute to TMX’s cloud security strategy — helping define security best practices, compliance automation, and incident response procedures for the cloud environment."</w:t>
      </w:r>
    </w:p>
    <w:p>
      <w:pPr>
        <w:pBdr>
          <w:bottom w:val="single" w:color="1B2A4A" w:sz="2" w:space="4"/>
        </w:pBdr>
        <w:spacing w:after="120" w:before="400"/>
      </w:pPr>
      <w:r>
        <w:rPr>
          <w:rFonts w:ascii="Arial" w:cs="Arial" w:eastAsia="Arial" w:hAnsi="Arial"/>
          <w:b/>
          <w:bCs/>
          <w:color w:val="1B2A4A"/>
          <w:sz w:val="32"/>
          <w:szCs w:val="32"/>
        </w:rPr>
        <w:t xml:space="preserve">SECTION 6: "WHAT IS YOUR BIGGEST WEAKNESS?" ANSWER</w:t>
      </w:r>
    </w:p>
    <w:p>
      <w:pPr>
        <w:shd w:color="E8EDF5" w:val="solid"/>
        <w:spacing w:after="160"/>
        <w:ind w:left="431" w:right="431"/>
      </w:pPr>
      <w:r>
        <w:rPr>
          <w:rFonts w:ascii="Arial" w:cs="Arial" w:eastAsia="Arial" w:hAnsi="Arial"/>
          <w:i/>
          <w:iCs/>
          <w:color w:val="2C3E50"/>
          <w:sz w:val="22"/>
          <w:szCs w:val="22"/>
        </w:rPr>
        <w:t xml:space="preserve">"I tend to be overly thorough when investigating issues. For example, during my internship, when debugging a cloud incident, I would sometimes spend extra time understanding the root cause even after the immediate fix was applied. While this meant I built deeper knowledge, I’ve learned to balance thoroughness with urgency — fix the immediate issue first, then schedule time for the deep-dive root cause analysis afterward. This is something I’ve improved on and continue to be mindful about."</w:t>
      </w:r>
    </w:p>
    <w:p>
      <w:pPr>
        <w:pBdr>
          <w:bottom w:val="single" w:color="1B2A4A" w:sz="2" w:space="4"/>
        </w:pBdr>
        <w:spacing w:after="120" w:before="400"/>
      </w:pPr>
      <w:r>
        <w:rPr>
          <w:rFonts w:ascii="Arial" w:cs="Arial" w:eastAsia="Arial" w:hAnsi="Arial"/>
          <w:b/>
          <w:bCs/>
          <w:color w:val="1B2A4A"/>
          <w:sz w:val="32"/>
          <w:szCs w:val="32"/>
        </w:rPr>
        <w:t xml:space="preserve">SECTION 7: "DO YOU HAVE QUESTIONS FOR US?"</w:t>
      </w:r>
    </w:p>
    <w:p>
      <w:pPr>
        <w:spacing w:after="120"/>
        <w:jc w:val="left"/>
      </w:pPr>
      <w:r>
        <w:rPr>
          <w:rFonts w:ascii="Arial" w:cs="Arial" w:eastAsia="Arial" w:hAnsi="Arial"/>
          <w:b w:val="false"/>
          <w:bCs w:val="false"/>
          <w:i/>
          <w:iCs/>
          <w:color w:val="666666"/>
          <w:sz w:val="22"/>
          <w:szCs w:val="22"/>
        </w:rPr>
        <w:t xml:space="preserve">Always ask at least 2–3 questions. Choose from these based on the flow of the interview:</w:t>
      </w:r>
    </w:p>
    <w:p>
      <w:pPr>
        <w:pStyle w:val="ListParagraph"/>
        <w:numPr>
          <w:ilvl w:val="0"/>
          <w:numId w:val="2"/>
        </w:numPr>
        <w:spacing w:after="100"/>
      </w:pPr>
      <w:r>
        <w:rPr>
          <w:rFonts w:ascii="Arial" w:cs="Arial" w:eastAsia="Arial" w:hAnsi="Arial"/>
          <w:color w:val="333333"/>
          <w:sz w:val="22"/>
          <w:szCs w:val="22"/>
        </w:rPr>
        <w:t xml:space="preserve">"What does the cloud modernization roadmap look like for TMX over the next year? Are you primarily on AWS, Azure, or a multi-cloud approach?"</w:t>
      </w:r>
    </w:p>
    <w:p>
      <w:pPr>
        <w:pStyle w:val="ListParagraph"/>
        <w:numPr>
          <w:ilvl w:val="0"/>
          <w:numId w:val="2"/>
        </w:numPr>
        <w:spacing w:after="100"/>
      </w:pPr>
      <w:r>
        <w:rPr>
          <w:rFonts w:ascii="Arial" w:cs="Arial" w:eastAsia="Arial" w:hAnsi="Arial"/>
          <w:color w:val="333333"/>
          <w:sz w:val="22"/>
          <w:szCs w:val="22"/>
        </w:rPr>
        <w:t xml:space="preserve">"How does the team handle incident response during market hours? Is there a dedicated SRE function, or does the cloud engineering team handle on-call?"</w:t>
      </w:r>
    </w:p>
    <w:p>
      <w:pPr>
        <w:pStyle w:val="ListParagraph"/>
        <w:numPr>
          <w:ilvl w:val="0"/>
          <w:numId w:val="2"/>
        </w:numPr>
        <w:spacing w:after="100"/>
      </w:pPr>
      <w:r>
        <w:rPr>
          <w:rFonts w:ascii="Arial" w:cs="Arial" w:eastAsia="Arial" w:hAnsi="Arial"/>
          <w:color w:val="333333"/>
          <w:sz w:val="22"/>
          <w:szCs w:val="22"/>
        </w:rPr>
        <w:t xml:space="preserve">"What does the on-call rotation look like for the cloud engineering team? How are incidents escalated?"</w:t>
      </w:r>
    </w:p>
    <w:p>
      <w:pPr>
        <w:pStyle w:val="ListParagraph"/>
        <w:numPr>
          <w:ilvl w:val="0"/>
          <w:numId w:val="2"/>
        </w:numPr>
        <w:spacing w:after="100"/>
      </w:pPr>
      <w:r>
        <w:rPr>
          <w:rFonts w:ascii="Arial" w:cs="Arial" w:eastAsia="Arial" w:hAnsi="Arial"/>
          <w:color w:val="333333"/>
          <w:sz w:val="22"/>
          <w:szCs w:val="22"/>
        </w:rPr>
        <w:t xml:space="preserve">"What growth opportunities exist for cloud engineers at TMX? Is there a path toward specialization or architecture roles?"</w:t>
      </w:r>
    </w:p>
    <w:p>
      <w:pPr>
        <w:pStyle w:val="ListParagraph"/>
        <w:numPr>
          <w:ilvl w:val="0"/>
          <w:numId w:val="2"/>
        </w:numPr>
        <w:spacing w:after="100"/>
      </w:pPr>
      <w:r>
        <w:rPr>
          <w:rFonts w:ascii="Arial" w:cs="Arial" w:eastAsia="Arial" w:hAnsi="Arial"/>
          <w:color w:val="333333"/>
          <w:sz w:val="22"/>
          <w:szCs w:val="22"/>
        </w:rPr>
        <w:t xml:space="preserve">"What’s the team culture like? How do you balance innovation with the stability required for financial infrastructure?"</w:t>
      </w:r>
    </w:p>
    <w:p>
      <w:pPr>
        <w:pBdr>
          <w:bottom w:val="single" w:color="1B2A4A" w:sz="2" w:space="4"/>
        </w:pBdr>
        <w:spacing w:after="120" w:before="400"/>
      </w:pPr>
      <w:r>
        <w:rPr>
          <w:rFonts w:ascii="Arial" w:cs="Arial" w:eastAsia="Arial" w:hAnsi="Arial"/>
          <w:b/>
          <w:bCs/>
          <w:color w:val="1B2A4A"/>
          <w:sz w:val="32"/>
          <w:szCs w:val="32"/>
        </w:rPr>
        <w:t xml:space="preserve">SECTION 8: KEY PHRASES TO USE</w:t>
      </w:r>
    </w:p>
    <w:p>
      <w:pPr>
        <w:spacing w:after="120"/>
        <w:jc w:val="left"/>
      </w:pPr>
      <w:r>
        <w:rPr>
          <w:rFonts w:ascii="Arial" w:cs="Arial" w:eastAsia="Arial" w:hAnsi="Arial"/>
          <w:b w:val="false"/>
          <w:bCs w:val="false"/>
          <w:i/>
          <w:iCs/>
          <w:color w:val="666666"/>
          <w:sz w:val="22"/>
          <w:szCs w:val="22"/>
        </w:rPr>
        <w:t xml:space="preserve">Use confident, experience-based language. Avoid uncertain or diminishing phrases.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5040"/>
            <w:tcBorders>
              <w:top w:val="single" w:color="B0B0B0" w:sz="1"/>
              <w:left w:val="single" w:color="B0B0B0" w:sz="1"/>
              <w:bottom w:val="single" w:color="B0B0B0" w:sz="1"/>
              <w:right w:val="single" w:color="B0B0B0" w:sz="1"/>
            </w:tcBorders>
            <w:shd w:color="1B2A4A" w:val="solid"/>
          </w:tcPr>
          <w:p>
            <w:pPr>
              <w:spacing w:after="60" w:before="60"/>
            </w:pPr>
            <w:r>
              <w:rPr>
                <w:rFonts w:ascii="Arial" w:cs="Arial" w:eastAsia="Arial" w:hAnsi="Arial"/>
                <w:b/>
                <w:bCs/>
                <w:color w:val="FFFFFF"/>
                <w:sz w:val="24"/>
                <w:szCs w:val="24"/>
              </w:rPr>
              <w:t xml:space="preserve">✅  USE THESE</w:t>
            </w:r>
          </w:p>
        </w:tc>
        <w:tc>
          <w:tcPr>
            <w:tcW w:type="dxa" w:w="5040"/>
            <w:tcBorders>
              <w:top w:val="single" w:color="B0B0B0" w:sz="1"/>
              <w:left w:val="single" w:color="B0B0B0" w:sz="1"/>
              <w:bottom w:val="single" w:color="B0B0B0" w:sz="1"/>
              <w:right w:val="single" w:color="B0B0B0" w:sz="1"/>
            </w:tcBorders>
            <w:shd w:color="1B2A4A" w:val="solid"/>
          </w:tcPr>
          <w:p>
            <w:pPr>
              <w:spacing w:after="60" w:before="60"/>
            </w:pPr>
            <w:r>
              <w:rPr>
                <w:rFonts w:ascii="Arial" w:cs="Arial" w:eastAsia="Arial" w:hAnsi="Arial"/>
                <w:b/>
                <w:bCs/>
                <w:color w:val="FFFFFF"/>
                <w:sz w:val="24"/>
                <w:szCs w:val="24"/>
              </w:rPr>
              <w:t xml:space="preserve">❌  AVOID THESE</w:t>
            </w:r>
          </w:p>
        </w:tc>
      </w:tr>
      <w:tr>
        <w:tc>
          <w:tcPr>
            <w:tcW w:type="dxa" w:w="5040"/>
            <w:tcBorders>
              <w:top w:val="single" w:color="B0B0B0" w:sz="1"/>
              <w:left w:val="single" w:color="B0B0B0" w:sz="1"/>
              <w:bottom w:val="single" w:color="B0B0B0" w:sz="1"/>
              <w:right w:val="single" w:color="B0B0B0" w:sz="1"/>
            </w:tcBorders>
            <w:shd w:color="F5F5F5" w:val="solid"/>
          </w:tcPr>
          <w:p>
            <w:pPr>
              <w:spacing w:after="60" w:before="60"/>
            </w:pPr>
            <w:r>
              <w:rPr>
                <w:rFonts w:ascii="Arial" w:cs="Arial" w:eastAsia="Arial" w:hAnsi="Arial"/>
                <w:b w:val="false"/>
                <w:bCs w:val="false"/>
                <w:color w:val="333333"/>
                <w:sz w:val="22"/>
                <w:szCs w:val="22"/>
              </w:rPr>
              <w:t xml:space="preserve">"In my experience at TefoLogic..."</w:t>
            </w:r>
          </w:p>
        </w:tc>
        <w:tc>
          <w:tcPr>
            <w:tcW w:type="dxa" w:w="5040"/>
            <w:tcBorders>
              <w:top w:val="single" w:color="B0B0B0" w:sz="1"/>
              <w:left w:val="single" w:color="B0B0B0" w:sz="1"/>
              <w:bottom w:val="single" w:color="B0B0B0" w:sz="1"/>
              <w:right w:val="single" w:color="B0B0B0" w:sz="1"/>
            </w:tcBorders>
            <w:shd w:color="F5F5F5" w:val="solid"/>
          </w:tcPr>
          <w:p>
            <w:pPr>
              <w:spacing w:after="60" w:before="60"/>
            </w:pPr>
            <w:r>
              <w:rPr>
                <w:rFonts w:ascii="Arial" w:cs="Arial" w:eastAsia="Arial" w:hAnsi="Arial"/>
                <w:b w:val="false"/>
                <w:bCs w:val="false"/>
                <w:color w:val="333333"/>
                <w:sz w:val="22"/>
                <w:szCs w:val="22"/>
              </w:rPr>
              <w:t xml:space="preserve">"I think..." (sounds uncertain)</w:t>
            </w:r>
          </w:p>
        </w:tc>
      </w:tr>
      <w:tr>
        <w:tc>
          <w:tcPr>
            <w:tcW w:type="dxa" w:w="5040"/>
            <w:tcBorders>
              <w:top w:val="single" w:color="B0B0B0" w:sz="1"/>
              <w:left w:val="single" w:color="B0B0B0" w:sz="1"/>
              <w:bottom w:val="single" w:color="B0B0B0" w:sz="1"/>
              <w:right w:val="single" w:color="B0B0B0" w:sz="1"/>
            </w:tcBorders>
            <w:shd w:color="FFFFFF" w:val="solid"/>
          </w:tcPr>
          <w:p>
            <w:pPr>
              <w:spacing w:after="60" w:before="60"/>
            </w:pPr>
            <w:r>
              <w:rPr>
                <w:rFonts w:ascii="Arial" w:cs="Arial" w:eastAsia="Arial" w:hAnsi="Arial"/>
                <w:b w:val="false"/>
                <w:bCs w:val="false"/>
                <w:color w:val="333333"/>
                <w:sz w:val="22"/>
                <w:szCs w:val="22"/>
              </w:rPr>
              <w:t xml:space="preserve">"When I built the SOAR-Lite platform..."</w:t>
            </w:r>
          </w:p>
        </w:tc>
        <w:tc>
          <w:tcPr>
            <w:tcW w:type="dxa" w:w="5040"/>
            <w:tcBorders>
              <w:top w:val="single" w:color="B0B0B0" w:sz="1"/>
              <w:left w:val="single" w:color="B0B0B0" w:sz="1"/>
              <w:bottom w:val="single" w:color="B0B0B0" w:sz="1"/>
              <w:right w:val="single" w:color="B0B0B0" w:sz="1"/>
            </w:tcBorders>
            <w:shd w:color="FFFFFF" w:val="solid"/>
          </w:tcPr>
          <w:p>
            <w:pPr>
              <w:spacing w:after="60" w:before="60"/>
            </w:pPr>
            <w:r>
              <w:rPr>
                <w:rFonts w:ascii="Arial" w:cs="Arial" w:eastAsia="Arial" w:hAnsi="Arial"/>
                <w:b w:val="false"/>
                <w:bCs w:val="false"/>
                <w:color w:val="333333"/>
                <w:sz w:val="22"/>
                <w:szCs w:val="22"/>
              </w:rPr>
              <w:t xml:space="preserve">"I'm not sure but..."</w:t>
            </w:r>
          </w:p>
        </w:tc>
      </w:tr>
      <w:tr>
        <w:tc>
          <w:tcPr>
            <w:tcW w:type="dxa" w:w="5040"/>
            <w:tcBorders>
              <w:top w:val="single" w:color="B0B0B0" w:sz="1"/>
              <w:left w:val="single" w:color="B0B0B0" w:sz="1"/>
              <w:bottom w:val="single" w:color="B0B0B0" w:sz="1"/>
              <w:right w:val="single" w:color="B0B0B0" w:sz="1"/>
            </w:tcBorders>
            <w:shd w:color="F5F5F5" w:val="solid"/>
          </w:tcPr>
          <w:p>
            <w:pPr>
              <w:spacing w:after="60" w:before="60"/>
            </w:pPr>
            <w:r>
              <w:rPr>
                <w:rFonts w:ascii="Arial" w:cs="Arial" w:eastAsia="Arial" w:hAnsi="Arial"/>
                <w:b w:val="false"/>
                <w:bCs w:val="false"/>
                <w:color w:val="333333"/>
                <w:sz w:val="22"/>
                <w:szCs w:val="22"/>
              </w:rPr>
              <w:t xml:space="preserve">"From a security-first perspective..."</w:t>
            </w:r>
          </w:p>
        </w:tc>
        <w:tc>
          <w:tcPr>
            <w:tcW w:type="dxa" w:w="5040"/>
            <w:tcBorders>
              <w:top w:val="single" w:color="B0B0B0" w:sz="1"/>
              <w:left w:val="single" w:color="B0B0B0" w:sz="1"/>
              <w:bottom w:val="single" w:color="B0B0B0" w:sz="1"/>
              <w:right w:val="single" w:color="B0B0B0" w:sz="1"/>
            </w:tcBorders>
            <w:shd w:color="F5F5F5" w:val="solid"/>
          </w:tcPr>
          <w:p>
            <w:pPr>
              <w:spacing w:after="60" w:before="60"/>
            </w:pPr>
            <w:r>
              <w:rPr>
                <w:rFonts w:ascii="Arial" w:cs="Arial" w:eastAsia="Arial" w:hAnsi="Arial"/>
                <w:b w:val="false"/>
                <w:bCs w:val="false"/>
                <w:color w:val="333333"/>
                <w:sz w:val="22"/>
                <w:szCs w:val="22"/>
              </w:rPr>
              <w:t xml:space="preserve">"I don't have experience with that"</w:t>
            </w:r>
          </w:p>
        </w:tc>
      </w:tr>
      <w:tr>
        <w:tc>
          <w:tcPr>
            <w:tcW w:type="dxa" w:w="5040"/>
            <w:tcBorders>
              <w:top w:val="single" w:color="B0B0B0" w:sz="1"/>
              <w:left w:val="single" w:color="B0B0B0" w:sz="1"/>
              <w:bottom w:val="single" w:color="B0B0B0" w:sz="1"/>
              <w:right w:val="single" w:color="B0B0B0" w:sz="1"/>
            </w:tcBorders>
            <w:shd w:color="FFFFFF" w:val="solid"/>
          </w:tcPr>
          <w:p>
            <w:pPr>
              <w:spacing w:after="60" w:before="60"/>
            </w:pPr>
            <w:r>
              <w:rPr>
                <w:rFonts w:ascii="Arial" w:cs="Arial" w:eastAsia="Arial" w:hAnsi="Arial"/>
                <w:b w:val="false"/>
                <w:bCs w:val="false"/>
                <w:color w:val="333333"/>
                <w:sz w:val="22"/>
                <w:szCs w:val="22"/>
              </w:rPr>
              <w:t xml:space="preserve">"I would approach this by first understanding the requirements..."</w:t>
            </w:r>
          </w:p>
        </w:tc>
        <w:tc>
          <w:tcPr>
            <w:tcW w:type="dxa" w:w="5040"/>
            <w:tcBorders>
              <w:top w:val="single" w:color="B0B0B0" w:sz="1"/>
              <w:left w:val="single" w:color="B0B0B0" w:sz="1"/>
              <w:bottom w:val="single" w:color="B0B0B0" w:sz="1"/>
              <w:right w:val="single" w:color="B0B0B0" w:sz="1"/>
            </w:tcBorders>
            <w:shd w:color="FFFFFF" w:val="solid"/>
          </w:tcPr>
          <w:p>
            <w:pPr>
              <w:spacing w:after="60" w:before="60"/>
            </w:pPr>
            <w:r>
              <w:rPr>
                <w:rFonts w:ascii="Arial" w:cs="Arial" w:eastAsia="Arial" w:hAnsi="Arial"/>
                <w:b w:val="false"/>
                <w:bCs w:val="false"/>
                <w:color w:val="333333"/>
                <w:sz w:val="22"/>
                <w:szCs w:val="22"/>
              </w:rPr>
              <w:t xml:space="preserve">"That's not my area"</w:t>
            </w:r>
          </w:p>
        </w:tc>
      </w:tr>
      <w:tr>
        <w:tc>
          <w:tcPr>
            <w:tcW w:type="dxa" w:w="5040"/>
            <w:tcBorders>
              <w:top w:val="single" w:color="B0B0B0" w:sz="1"/>
              <w:left w:val="single" w:color="B0B0B0" w:sz="1"/>
              <w:bottom w:val="single" w:color="B0B0B0" w:sz="1"/>
              <w:right w:val="single" w:color="B0B0B0" w:sz="1"/>
            </w:tcBorders>
            <w:shd w:color="F5F5F5" w:val="solid"/>
          </w:tcPr>
          <w:p>
            <w:pPr>
              <w:spacing w:after="60" w:before="60"/>
            </w:pPr>
            <w:r>
              <w:rPr>
                <w:rFonts w:ascii="Arial" w:cs="Arial" w:eastAsia="Arial" w:hAnsi="Arial"/>
                <w:b w:val="false"/>
                <w:bCs w:val="false"/>
                <w:color w:val="333333"/>
                <w:sz w:val="22"/>
                <w:szCs w:val="22"/>
              </w:rPr>
              <w:t xml:space="preserve">"In a financial services context like TMX, I would prioritize..."</w:t>
            </w:r>
          </w:p>
        </w:tc>
        <w:tc>
          <w:tcPr>
            <w:tcW w:type="dxa" w:w="5040"/>
            <w:tcBorders>
              <w:top w:val="single" w:color="B0B0B0" w:sz="1"/>
              <w:left w:val="single" w:color="B0B0B0" w:sz="1"/>
              <w:bottom w:val="single" w:color="B0B0B0" w:sz="1"/>
              <w:right w:val="single" w:color="B0B0B0" w:sz="1"/>
            </w:tcBorders>
            <w:shd w:color="F5F5F5" w:val="solid"/>
          </w:tcPr>
          <w:p>
            <w:pPr>
              <w:spacing w:after="60" w:before="60"/>
            </w:pPr>
            <w:r>
              <w:rPr>
                <w:rFonts w:ascii="Arial" w:cs="Arial" w:eastAsia="Arial" w:hAnsi="Arial"/>
                <w:b w:val="false"/>
                <w:bCs w:val="false"/>
                <w:color w:val="333333"/>
                <w:sz w:val="22"/>
                <w:szCs w:val="22"/>
              </w:rPr>
              <w:t xml:space="preserve">"I've never done that before"</w:t>
            </w:r>
          </w:p>
        </w:tc>
      </w:tr>
      <w:tr>
        <w:tc>
          <w:tcPr>
            <w:tcW w:type="dxa" w:w="5040"/>
            <w:tcBorders>
              <w:top w:val="single" w:color="B0B0B0" w:sz="1"/>
              <w:left w:val="single" w:color="B0B0B0" w:sz="1"/>
              <w:bottom w:val="single" w:color="B0B0B0" w:sz="1"/>
              <w:right w:val="single" w:color="B0B0B0" w:sz="1"/>
            </w:tcBorders>
            <w:shd w:color="FFFFFF" w:val="solid"/>
          </w:tcPr>
          <w:p>
            <w:pPr>
              <w:spacing w:after="60" w:before="60"/>
            </w:pPr>
            <w:r>
              <w:rPr>
                <w:rFonts w:ascii="Arial" w:cs="Arial" w:eastAsia="Arial" w:hAnsi="Arial"/>
                <w:b w:val="false"/>
                <w:bCs w:val="false"/>
                <w:color w:val="333333"/>
                <w:sz w:val="22"/>
                <w:szCs w:val="22"/>
              </w:rPr>
              <w:t xml:space="preserve">"Based on my hands-on work with AWS/Terraform..."</w:t>
            </w:r>
          </w:p>
        </w:tc>
        <w:tc>
          <w:tcPr>
            <w:tcW w:type="dxa" w:w="5040"/>
            <w:tcBorders>
              <w:top w:val="single" w:color="B0B0B0" w:sz="1"/>
              <w:left w:val="single" w:color="B0B0B0" w:sz="1"/>
              <w:bottom w:val="single" w:color="B0B0B0" w:sz="1"/>
              <w:right w:val="single" w:color="B0B0B0" w:sz="1"/>
            </w:tcBorders>
            <w:shd w:color="FFFFFF" w:val="solid"/>
          </w:tcPr>
          <w:p>
            <w:pPr>
              <w:spacing w:after="60" w:before="60"/>
            </w:pPr>
            <w:r>
              <w:rPr>
                <w:rFonts w:ascii="Arial" w:cs="Arial" w:eastAsia="Arial" w:hAnsi="Arial"/>
                <w:b w:val="false"/>
                <w:bCs w:val="false"/>
                <w:color w:val="333333"/>
                <w:sz w:val="22"/>
                <w:szCs w:val="22"/>
              </w:rPr>
              <w:t xml:space="preserve">Starting answers with "Um" or "So"</w:t>
            </w:r>
          </w:p>
        </w:tc>
      </w:tr>
      <w:tr>
        <w:tc>
          <w:tcPr>
            <w:tcW w:type="dxa" w:w="5040"/>
            <w:tcBorders>
              <w:top w:val="single" w:color="B0B0B0" w:sz="1"/>
              <w:left w:val="single" w:color="B0B0B0" w:sz="1"/>
              <w:bottom w:val="single" w:color="B0B0B0" w:sz="1"/>
              <w:right w:val="single" w:color="B0B0B0" w:sz="1"/>
            </w:tcBorders>
            <w:shd w:color="F5F5F5" w:val="solid"/>
          </w:tcPr>
          <w:p>
            <w:pPr>
              <w:spacing w:after="60" w:before="60"/>
            </w:pPr>
            <w:r>
              <w:rPr>
                <w:rFonts w:ascii="Arial" w:cs="Arial" w:eastAsia="Arial" w:hAnsi="Arial"/>
                <w:b w:val="false"/>
                <w:bCs w:val="false"/>
                <w:color w:val="333333"/>
                <w:sz w:val="22"/>
                <w:szCs w:val="22"/>
              </w:rPr>
              <w:t xml:space="preserve">"My cybersecurity background gives me insight into..."</w:t>
            </w:r>
          </w:p>
        </w:tc>
        <w:tc>
          <w:tcPr>
            <w:tcW w:type="dxa" w:w="5040"/>
            <w:tcBorders>
              <w:top w:val="single" w:color="B0B0B0" w:sz="1"/>
              <w:left w:val="single" w:color="B0B0B0" w:sz="1"/>
              <w:bottom w:val="single" w:color="B0B0B0" w:sz="1"/>
              <w:right w:val="single" w:color="B0B0B0" w:sz="1"/>
            </w:tcBorders>
            <w:shd w:color="F5F5F5" w:val="solid"/>
          </w:tcPr>
          <w:p>
            <w:pPr>
              <w:spacing w:after="60" w:before="60"/>
            </w:pPr>
            <w:r>
              <w:rPr>
                <w:rFonts w:ascii="Arial" w:cs="Arial" w:eastAsia="Arial" w:hAnsi="Arial"/>
                <w:b w:val="false"/>
                <w:bCs w:val="false"/>
                <w:color w:val="333333"/>
                <w:sz w:val="22"/>
                <w:szCs w:val="22"/>
              </w:rPr>
              <w:t xml:space="preserve">Apologizing for lack of experience</w:t>
            </w:r>
          </w:p>
        </w:tc>
      </w:tr>
      <w:tr>
        <w:tc>
          <w:tcPr>
            <w:tcW w:type="dxa" w:w="5040"/>
            <w:tcBorders>
              <w:top w:val="single" w:color="B0B0B0" w:sz="1"/>
              <w:left w:val="single" w:color="B0B0B0" w:sz="1"/>
              <w:bottom w:val="single" w:color="B0B0B0" w:sz="1"/>
              <w:right w:val="single" w:color="B0B0B0" w:sz="1"/>
            </w:tcBorders>
            <w:shd w:color="FFFFFF" w:val="solid"/>
          </w:tcPr>
          <w:p>
            <w:pPr>
              <w:spacing w:after="60" w:before="60"/>
            </w:pPr>
            <w:r>
              <w:rPr>
                <w:rFonts w:ascii="Arial" w:cs="Arial" w:eastAsia="Arial" w:hAnsi="Arial"/>
                <w:b w:val="false"/>
                <w:bCs w:val="false"/>
                <w:color w:val="333333"/>
                <w:sz w:val="22"/>
                <w:szCs w:val="22"/>
              </w:rPr>
              <w:t xml:space="preserve">"I automated this process by..."</w:t>
            </w:r>
          </w:p>
        </w:tc>
        <w:tc>
          <w:tcPr>
            <w:tcW w:type="dxa" w:w="5040"/>
            <w:tcBorders>
              <w:top w:val="single" w:color="B0B0B0" w:sz="1"/>
              <w:left w:val="single" w:color="B0B0B0" w:sz="1"/>
              <w:bottom w:val="single" w:color="B0B0B0" w:sz="1"/>
              <w:right w:val="single" w:color="B0B0B0" w:sz="1"/>
            </w:tcBorders>
            <w:shd w:color="FFFFFF" w:val="solid"/>
          </w:tcPr>
          <w:p>
            <w:pPr>
              <w:spacing w:after="60" w:before="60"/>
            </w:pPr>
            <w:r>
              <w:rPr>
                <w:rFonts w:ascii="Arial" w:cs="Arial" w:eastAsia="Arial" w:hAnsi="Arial"/>
                <w:b w:val="false"/>
                <w:bCs w:val="false"/>
                <w:color w:val="333333"/>
                <w:sz w:val="22"/>
                <w:szCs w:val="22"/>
              </w:rPr>
              <w:t xml:space="preserve">"Just" (diminishes your work)</w:t>
            </w:r>
          </w:p>
        </w:tc>
      </w:tr>
    </w:tbl>
    <w:p>
      <w:pPr>
        <w:pBdr>
          <w:bottom w:val="single" w:color="1B2A4A" w:sz="2" w:space="4"/>
        </w:pBdr>
        <w:spacing w:after="120" w:before="400"/>
      </w:pPr>
      <w:r>
        <w:rPr>
          <w:rFonts w:ascii="Arial" w:cs="Arial" w:eastAsia="Arial" w:hAnsi="Arial"/>
          <w:b/>
          <w:bCs/>
          <w:color w:val="1B2A4A"/>
          <w:sz w:val="32"/>
          <w:szCs w:val="32"/>
        </w:rPr>
        <w:t xml:space="preserve">SECTION 9: BODY LANGUAGE TIPS</w:t>
      </w:r>
    </w:p>
    <w:p>
      <w:pPr>
        <w:spacing w:after="120"/>
        <w:jc w:val="left"/>
      </w:pPr>
      <w:r>
        <w:rPr>
          <w:rFonts w:ascii="Arial" w:cs="Arial" w:eastAsia="Arial" w:hAnsi="Arial"/>
          <w:b w:val="false"/>
          <w:bCs w:val="false"/>
          <w:i/>
          <w:iCs/>
          <w:color w:val="666666"/>
          <w:sz w:val="22"/>
          <w:szCs w:val="22"/>
        </w:rPr>
        <w:t xml:space="preserve">Non-verbal communication matters as much as your answers:</w:t>
      </w:r>
    </w:p>
    <w:p>
      <w:pPr>
        <w:pStyle w:val="ListParagraph"/>
        <w:numPr>
          <w:ilvl w:val="0"/>
          <w:numId w:val="3"/>
        </w:numPr>
        <w:spacing w:after="80"/>
      </w:pPr>
      <w:r>
        <w:rPr>
          <w:rFonts w:ascii="Arial" w:cs="Arial" w:eastAsia="Arial" w:hAnsi="Arial"/>
          <w:color w:val="333333"/>
          <w:sz w:val="22"/>
          <w:szCs w:val="22"/>
        </w:rPr>
        <w:t xml:space="preserve">Maintain eye contact (look at camera if virtual)</w:t>
      </w:r>
    </w:p>
    <w:p>
      <w:pPr>
        <w:pStyle w:val="ListParagraph"/>
        <w:numPr>
          <w:ilvl w:val="0"/>
          <w:numId w:val="3"/>
        </w:numPr>
        <w:spacing w:after="80"/>
      </w:pPr>
      <w:r>
        <w:rPr>
          <w:rFonts w:ascii="Arial" w:cs="Arial" w:eastAsia="Arial" w:hAnsi="Arial"/>
          <w:color w:val="333333"/>
          <w:sz w:val="22"/>
          <w:szCs w:val="22"/>
        </w:rPr>
        <w:t xml:space="preserve">Sit up straight, lean slightly forward (shows engagement)</w:t>
      </w:r>
    </w:p>
    <w:p>
      <w:pPr>
        <w:pStyle w:val="ListParagraph"/>
        <w:numPr>
          <w:ilvl w:val="0"/>
          <w:numId w:val="3"/>
        </w:numPr>
        <w:spacing w:after="80"/>
      </w:pPr>
      <w:r>
        <w:rPr>
          <w:rFonts w:ascii="Arial" w:cs="Arial" w:eastAsia="Arial" w:hAnsi="Arial"/>
          <w:color w:val="333333"/>
          <w:sz w:val="22"/>
          <w:szCs w:val="22"/>
        </w:rPr>
        <w:t xml:space="preserve">Use hand gestures sparingly for emphasis</w:t>
      </w:r>
    </w:p>
    <w:p>
      <w:pPr>
        <w:pStyle w:val="ListParagraph"/>
        <w:numPr>
          <w:ilvl w:val="0"/>
          <w:numId w:val="3"/>
        </w:numPr>
        <w:spacing w:after="80"/>
      </w:pPr>
      <w:r>
        <w:rPr>
          <w:rFonts w:ascii="Arial" w:cs="Arial" w:eastAsia="Arial" w:hAnsi="Arial"/>
          <w:color w:val="333333"/>
          <w:sz w:val="22"/>
          <w:szCs w:val="22"/>
        </w:rPr>
        <w:t xml:space="preserve">Smile naturally when greeting and closing</w:t>
      </w:r>
    </w:p>
    <w:p>
      <w:pPr>
        <w:pStyle w:val="ListParagraph"/>
        <w:numPr>
          <w:ilvl w:val="0"/>
          <w:numId w:val="3"/>
        </w:numPr>
        <w:spacing w:after="80"/>
      </w:pPr>
      <w:r>
        <w:rPr>
          <w:rFonts w:ascii="Arial" w:cs="Arial" w:eastAsia="Arial" w:hAnsi="Arial"/>
          <w:color w:val="333333"/>
          <w:sz w:val="22"/>
          <w:szCs w:val="22"/>
        </w:rPr>
        <w:t xml:space="preserve">Nod when the interviewer speaks (shows active listening)</w:t>
      </w:r>
    </w:p>
    <w:p>
      <w:pPr>
        <w:pStyle w:val="ListParagraph"/>
        <w:numPr>
          <w:ilvl w:val="0"/>
          <w:numId w:val="3"/>
        </w:numPr>
        <w:spacing w:after="80"/>
      </w:pPr>
      <w:r>
        <w:rPr>
          <w:rFonts w:ascii="Arial" w:cs="Arial" w:eastAsia="Arial" w:hAnsi="Arial"/>
          <w:color w:val="333333"/>
          <w:sz w:val="22"/>
          <w:szCs w:val="22"/>
        </w:rPr>
        <w:t xml:space="preserve">Pause before answering (shows thoughtfulness, avoids rushing)</w:t>
      </w:r>
    </w:p>
    <w:p>
      <w:pPr>
        <w:pStyle w:val="ListParagraph"/>
        <w:numPr>
          <w:ilvl w:val="0"/>
          <w:numId w:val="3"/>
        </w:numPr>
        <w:spacing w:after="80"/>
      </w:pPr>
      <w:r>
        <w:rPr>
          <w:rFonts w:ascii="Arial" w:cs="Arial" w:eastAsia="Arial" w:hAnsi="Arial"/>
          <w:color w:val="333333"/>
          <w:sz w:val="22"/>
          <w:szCs w:val="22"/>
        </w:rPr>
        <w:t xml:space="preserve">Keep hands visible (not crossed or hidden)</w:t>
      </w:r>
    </w:p>
    <w:p>
      <w:pPr>
        <w:pStyle w:val="ListParagraph"/>
        <w:numPr>
          <w:ilvl w:val="0"/>
          <w:numId w:val="3"/>
        </w:numPr>
        <w:spacing w:after="80"/>
      </w:pPr>
      <w:r>
        <w:rPr>
          <w:rFonts w:ascii="Arial" w:cs="Arial" w:eastAsia="Arial" w:hAnsi="Arial"/>
          <w:color w:val="333333"/>
          <w:sz w:val="22"/>
          <w:szCs w:val="22"/>
        </w:rPr>
        <w:t xml:space="preserve">Have water nearby (natural pause when needed)</w:t>
      </w:r>
    </w:p>
    <w:p>
      <w:pPr>
        <w:spacing w:before="400"/>
      </w:pPr>
    </w:p>
    <w:p>
      <w:pPr>
        <w:pBdr>
          <w:top w:val="single" w:color="CCCCCC" w:sz="1" w:space="8"/>
        </w:pBdr>
        <w:spacing w:before="200"/>
        <w:jc w:val="center"/>
      </w:pPr>
      <w:r>
        <w:rPr>
          <w:rFonts w:ascii="Arial" w:cs="Arial" w:eastAsia="Arial" w:hAnsi="Arial"/>
          <w:i/>
          <w:iCs/>
          <w:color w:val="999999"/>
          <w:sz w:val="18"/>
          <w:szCs w:val="18"/>
        </w:rPr>
        <w:t xml:space="preserve">Prepared for Ravi Kiran Kambhampati — TMX Group Cloud Engineer Interview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2026-03-24T09:33:00.040Z</dcterms:created>
  <dcterms:modified xsi:type="dcterms:W3CDTF">2026-03-24T09:33:00.042Z</dcterms:modified>
</cp:coreProperties>
</file>

<file path=docProps/custom.xml><?xml version="1.0" encoding="utf-8"?>
<Properties xmlns="http://schemas.openxmlformats.org/officeDocument/2006/custom-properties" xmlns:vt="http://schemas.openxmlformats.org/officeDocument/2006/docPropsVTypes"/>
</file>