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6B7C"/>
          <w:sz w:val="22"/>
        </w:rPr>
        <w:t>ENERGY DEVELOPMENT &amp; CONSERVATION COUNCIL (EDCC)</w:t>
      </w:r>
    </w:p>
    <w:p>
      <w:pPr>
        <w:spacing w:after="0"/>
        <w:jc w:val="center"/>
        <w:shd w:fill="1A6B7C"/>
      </w:pPr>
      <w:r>
        <w:rPr>
          <w:b/>
          <w:color w:val="FFFFFF"/>
          <w:sz w:val="26"/>
        </w:rPr>
        <w:t>Trend in Electricity Consumption</w:t>
      </w:r>
    </w:p>
    <w:p>
      <w:pPr>
        <w:spacing w:after="0"/>
        <w:jc w:val="center"/>
        <w:shd w:fill="3D9EB5"/>
      </w:pPr>
      <w:r>
        <w:rPr>
          <w:b/>
          <w:color w:val="FFFFFF"/>
          <w:sz w:val="22"/>
        </w:rPr>
        <w:t>Sector-Wise Analysis &amp; Overall Growth Patterns (2022–2025)</w:t>
      </w:r>
    </w:p>
    <w:p>
      <w:pPr>
        <w:shd w:fill="3D9EB5"/>
      </w:pPr>
      <w:r>
        <w:rPr>
          <w:b/>
          <w:color w:val="FFFFFF"/>
          <w:sz w:val="22"/>
        </w:rPr>
        <w:t>★ KEY POINTS — Page 2</w:t>
      </w:r>
    </w:p>
    <w:p>
      <w:pPr>
        <w:pStyle w:val="ListBullet"/>
        <w:shd w:fill="E8F6F3"/>
      </w:pPr>
      <w:r>
        <w:rPr>
          <w:sz w:val="20"/>
        </w:rPr>
        <w:t>Combined consumption: 165.22 BU (2022) → 203.35 BU (2025) = 23.1% growth</w:t>
      </w:r>
    </w:p>
    <w:p>
      <w:pPr>
        <w:pStyle w:val="ListBullet"/>
        <w:shd w:fill="E8F6F3"/>
      </w:pPr>
      <w:r>
        <w:rPr>
          <w:sz w:val="20"/>
        </w:rPr>
        <w:t>Agriculture = LARGEST consumer: 98.45 BU (48.4% share)</w:t>
      </w:r>
    </w:p>
    <w:p>
      <w:pPr>
        <w:pStyle w:val="ListBullet"/>
        <w:shd w:fill="E8F6F3"/>
      </w:pPr>
      <w:r>
        <w:rPr>
          <w:sz w:val="20"/>
        </w:rPr>
        <w:t>Domestic = 71.25 BU (+21.9%) — urbanisation &amp; AC use</w:t>
      </w:r>
    </w:p>
    <w:p>
      <w:pPr>
        <w:pStyle w:val="ListBullet"/>
        <w:shd w:fill="E8F6F3"/>
      </w:pPr>
      <w:r>
        <w:rPr>
          <w:sz w:val="20"/>
        </w:rPr>
        <w:t>Industrial surged 22.6% in 2022–23 — fastest growing sector</w:t>
      </w:r>
    </w:p>
    <w:p>
      <w:pPr>
        <w:pStyle w:val="ListBullet"/>
        <w:shd w:fill="E8F6F3"/>
      </w:pPr>
      <w:r>
        <w:rPr>
          <w:sz w:val="20"/>
        </w:rPr>
        <w:t>National demand: 182 → 221 BU (+21.4%)</w:t>
      </w:r>
    </w:p>
    <w:p>
      <w:pPr>
        <w:shd w:fill="D4EFF5"/>
        <w:ind w:left="170"/>
      </w:pPr>
      <w:r>
        <w:rPr>
          <w:b/>
          <w:sz w:val="21"/>
        </w:rPr>
        <w:t>MAIN FINDING: Electricity consumption increased in EVERY sector, EVERY year (2022–2025) with no decline.</w:t>
      </w:r>
    </w:p>
    <w:p>
      <w:pPr>
        <w:jc w:val="both"/>
      </w:pPr>
      <w:r>
        <w:rPr>
          <w:sz w:val="21"/>
        </w:rPr>
        <w:t>Electricity consumption across agriculture, industrial, and domestic sectors has risen steadily. The data confirms sustained pressure on India's power infrastructure and supports the Chairman's concern regarding sustainable electricity management.</w:t>
      </w:r>
    </w:p>
    <w:p>
      <w:pPr>
        <w:shd w:fill="D4EFF5"/>
      </w:pPr>
      <w:r>
        <w:rPr>
          <w:b/>
          <w:color w:val="1A6B7C"/>
          <w:sz w:val="22"/>
        </w:rPr>
        <w:t>Table 1: Sector-wise Electricity Consumption (Billion Units)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A6B7C"/>
          </w:tcPr>
          <w:p>
            <w:r>
              <w:rPr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1662"/>
            <w:shd w:fill="1A6B7C"/>
          </w:tcPr>
          <w:p>
            <w:r>
              <w:rPr>
                <w:b/>
                <w:color w:val="FFFFFF"/>
                <w:sz w:val="20"/>
              </w:rPr>
              <w:t>2022</w:t>
            </w:r>
          </w:p>
        </w:tc>
        <w:tc>
          <w:tcPr>
            <w:tcW w:type="dxa" w:w="1662"/>
            <w:shd w:fill="1A6B7C"/>
          </w:tcPr>
          <w:p>
            <w:r>
              <w:rPr>
                <w:b/>
                <w:color w:val="FFFFFF"/>
                <w:sz w:val="20"/>
              </w:rPr>
              <w:t>2023</w:t>
            </w:r>
          </w:p>
        </w:tc>
        <w:tc>
          <w:tcPr>
            <w:tcW w:type="dxa" w:w="1662"/>
            <w:shd w:fill="1A6B7C"/>
          </w:tcPr>
          <w:p>
            <w:r>
              <w:rPr>
                <w:b/>
                <w:color w:val="FFFFFF"/>
                <w:sz w:val="20"/>
              </w:rPr>
              <w:t>2024</w:t>
            </w:r>
          </w:p>
        </w:tc>
        <w:tc>
          <w:tcPr>
            <w:tcW w:type="dxa" w:w="1662"/>
            <w:shd w:fill="1A6B7C"/>
          </w:tcPr>
          <w:p>
            <w:r>
              <w:rPr>
                <w:b/>
                <w:color w:val="FFFFFF"/>
                <w:sz w:val="20"/>
              </w:rPr>
              <w:t>2025</w:t>
            </w:r>
          </w:p>
        </w:tc>
        <w:tc>
          <w:tcPr>
            <w:tcW w:type="dxa" w:w="1662"/>
            <w:shd w:fill="1A6B7C"/>
          </w:tcPr>
          <w:p>
            <w:r>
              <w:rPr>
                <w:b/>
                <w:color w:val="FFFFFF"/>
                <w:sz w:val="20"/>
              </w:rPr>
              <w:t>Growth</w:t>
            </w:r>
          </w:p>
        </w:tc>
      </w:tr>
      <w:tr>
        <w:tc>
          <w:tcPr>
            <w:tcW w:type="dxa" w:w="1662"/>
            <w:shd w:fill="B8E8DC"/>
          </w:tcPr>
          <w:p>
            <w:r>
              <w:rPr>
                <w:sz w:val="20"/>
              </w:rPr>
              <w:t>Agriculture (Largest)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83.30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88.96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93.67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98.45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+18.2%</w:t>
            </w:r>
          </w:p>
        </w:tc>
      </w:tr>
      <w:tr>
        <w:tc>
          <w:tcPr>
            <w:tcW w:type="dxa" w:w="1662"/>
            <w:shd w:fill="E8F6F3"/>
          </w:tcPr>
          <w:p>
            <w:r>
              <w:rPr>
                <w:sz w:val="20"/>
              </w:rPr>
              <w:t>Domestic</w:t>
            </w:r>
          </w:p>
        </w:tc>
        <w:tc>
          <w:tcPr>
            <w:tcW w:type="dxa" w:w="1662"/>
            <w:shd w:fill="E8F6F3"/>
          </w:tcPr>
          <w:p>
            <w:r>
              <w:rPr>
                <w:sz w:val="20"/>
              </w:rPr>
              <w:t>58.44</w:t>
            </w:r>
          </w:p>
        </w:tc>
        <w:tc>
          <w:tcPr>
            <w:tcW w:type="dxa" w:w="1662"/>
            <w:shd w:fill="E8F6F3"/>
          </w:tcPr>
          <w:p>
            <w:r>
              <w:rPr>
                <w:sz w:val="20"/>
              </w:rPr>
              <w:t>64.20</w:t>
            </w:r>
          </w:p>
        </w:tc>
        <w:tc>
          <w:tcPr>
            <w:tcW w:type="dxa" w:w="1662"/>
            <w:shd w:fill="E8F6F3"/>
          </w:tcPr>
          <w:p>
            <w:r>
              <w:rPr>
                <w:sz w:val="20"/>
              </w:rPr>
              <w:t>67.80</w:t>
            </w:r>
          </w:p>
        </w:tc>
        <w:tc>
          <w:tcPr>
            <w:tcW w:type="dxa" w:w="1662"/>
            <w:shd w:fill="E8F6F3"/>
          </w:tcPr>
          <w:p>
            <w:r>
              <w:rPr>
                <w:sz w:val="20"/>
              </w:rPr>
              <w:t>71.25</w:t>
            </w:r>
          </w:p>
        </w:tc>
        <w:tc>
          <w:tcPr>
            <w:tcW w:type="dxa" w:w="1662"/>
            <w:shd w:fill="E8F6F3"/>
          </w:tcPr>
          <w:p>
            <w:r>
              <w:rPr>
                <w:sz w:val="20"/>
              </w:rPr>
              <w:t>+21.9%</w:t>
            </w:r>
          </w:p>
        </w:tc>
      </w:tr>
      <w:tr>
        <w:tc>
          <w:tcPr>
            <w:tcW w:type="dxa" w:w="1662"/>
            <w:shd w:fill="B8E8DC"/>
          </w:tcPr>
          <w:p>
            <w:r>
              <w:rPr>
                <w:sz w:val="20"/>
              </w:rPr>
              <w:t>Industrial (Fastest ★)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23.48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28.78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30.78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33.65</w:t>
            </w:r>
          </w:p>
        </w:tc>
        <w:tc>
          <w:tcPr>
            <w:tcW w:type="dxa" w:w="1662"/>
            <w:shd w:fill="B8E8DC"/>
          </w:tcPr>
          <w:p>
            <w:r>
              <w:rPr>
                <w:sz w:val="20"/>
              </w:rPr>
              <w:t>+43.3% ★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1915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ector_20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151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651760" cy="1915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bin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1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19425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4251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651760" cy="1915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ema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1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Source: EDCC Data, Table 1 | Page 2 — Jaya</w:t>
      </w:r>
    </w:p>
    <w:p>
      <w:r>
        <w:br w:type="page"/>
      </w:r>
    </w:p>
    <w:p>
      <w:pPr>
        <w:jc w:val="center"/>
      </w:pPr>
      <w:r>
        <w:rPr>
          <w:b/>
          <w:color w:val="1A6B7C"/>
          <w:sz w:val="22"/>
        </w:rPr>
        <w:t>ENERGY DEVELOPMENT &amp; CONSERVATION COUNCIL (EDCC)</w:t>
      </w:r>
    </w:p>
    <w:p>
      <w:pPr>
        <w:spacing w:after="0"/>
        <w:jc w:val="center"/>
        <w:shd w:fill="1A6B7C"/>
      </w:pPr>
      <w:r>
        <w:rPr>
          <w:b/>
          <w:color w:val="FFFFFF"/>
          <w:sz w:val="26"/>
        </w:rPr>
        <w:t>Highest Growth Sector Analysis</w:t>
      </w:r>
    </w:p>
    <w:p>
      <w:pPr>
        <w:spacing w:after="0"/>
        <w:jc w:val="center"/>
        <w:shd w:fill="3D9EB5"/>
      </w:pPr>
      <w:r>
        <w:rPr>
          <w:b/>
          <w:color w:val="FFFFFF"/>
          <w:sz w:val="22"/>
        </w:rPr>
        <w:t>Identification of Dominant Sector &amp; Key Drivers (2022–2025)</w:t>
      </w:r>
    </w:p>
    <w:p>
      <w:pPr>
        <w:shd w:fill="3D9EB5"/>
      </w:pPr>
      <w:r>
        <w:rPr>
          <w:b/>
          <w:color w:val="FFFFFF"/>
          <w:sz w:val="22"/>
        </w:rPr>
        <w:t>★ KEY POINTS — Page 3</w:t>
      </w:r>
    </w:p>
    <w:p>
      <w:pPr>
        <w:pStyle w:val="ListBullet"/>
        <w:shd w:fill="E8F6F3"/>
      </w:pPr>
      <w:r>
        <w:rPr>
          <w:sz w:val="20"/>
        </w:rPr>
        <w:t>★ Industrial sector = HIGHEST GROWTH at 43.3%</w:t>
      </w:r>
    </w:p>
    <w:p>
      <w:pPr>
        <w:pStyle w:val="ListBullet"/>
        <w:shd w:fill="E8F6F3"/>
      </w:pPr>
      <w:r>
        <w:rPr>
          <w:sz w:val="20"/>
        </w:rPr>
        <w:t>Industrial CAGR = 12.7% | Peak single year = 22.6% (2022–23)</w:t>
      </w:r>
    </w:p>
    <w:p>
      <w:pPr>
        <w:pStyle w:val="ListBullet"/>
        <w:shd w:fill="E8F6F3"/>
      </w:pPr>
      <w:r>
        <w:rPr>
          <w:sz w:val="20"/>
        </w:rPr>
        <w:t>Industrial share of domestic: 40.2% → 47.2%</w:t>
      </w:r>
    </w:p>
    <w:p>
      <w:pPr>
        <w:pStyle w:val="ListBullet"/>
        <w:shd w:fill="E8F6F3"/>
      </w:pPr>
      <w:r>
        <w:rPr>
          <w:sz w:val="20"/>
        </w:rPr>
        <w:t>Drivers: industrial expansion | irrigation | urbanisation &amp; ACs</w:t>
      </w:r>
    </w:p>
    <w:p>
      <w:pPr>
        <w:pStyle w:val="ListBullet"/>
        <w:shd w:fill="E8F6F3"/>
      </w:pPr>
      <w:r>
        <w:rPr>
          <w:sz w:val="20"/>
        </w:rPr>
        <w:t>All sectors contribute to peak electricity demand</w:t>
      </w:r>
    </w:p>
    <w:p>
      <w:pPr>
        <w:shd w:fill="D4EFF5"/>
        <w:ind w:left="170"/>
      </w:pPr>
      <w:r>
        <w:rPr>
          <w:b/>
          <w:sz w:val="21"/>
        </w:rPr>
        <w:t>★ DOMINANT SECTOR: Industrial sector recorded the HIGHEST GROWTH at 43.3% (2022–2025).</w:t>
      </w:r>
    </w:p>
    <w:p>
      <w:pPr>
        <w:shd w:fill="D4EFF5"/>
      </w:pPr>
      <w:r>
        <w:rPr>
          <w:b/>
          <w:color w:val="1A6B7C"/>
          <w:sz w:val="22"/>
        </w:rPr>
        <w:t>Comparative Growth Analysis (2022–2025)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6B7C"/>
          </w:tcPr>
          <w:p>
            <w:r>
              <w:rPr>
                <w:b/>
                <w:color w:val="FFFFFF"/>
                <w:sz w:val="20"/>
              </w:rPr>
              <w:t>Measure</w:t>
            </w:r>
          </w:p>
        </w:tc>
        <w:tc>
          <w:tcPr>
            <w:tcW w:type="dxa" w:w="2493"/>
            <w:shd w:fill="1A6B7C"/>
          </w:tcPr>
          <w:p>
            <w:r>
              <w:rPr>
                <w:b/>
                <w:color w:val="FFFFFF"/>
                <w:sz w:val="20"/>
              </w:rPr>
              <w:t>Agriculture</w:t>
            </w:r>
          </w:p>
        </w:tc>
        <w:tc>
          <w:tcPr>
            <w:tcW w:type="dxa" w:w="2493"/>
            <w:shd w:fill="1A6B7C"/>
          </w:tcPr>
          <w:p>
            <w:r>
              <w:rPr>
                <w:b/>
                <w:color w:val="FFFFFF"/>
                <w:sz w:val="20"/>
              </w:rPr>
              <w:t>Industrial ★</w:t>
            </w:r>
          </w:p>
        </w:tc>
        <w:tc>
          <w:tcPr>
            <w:tcW w:type="dxa" w:w="2493"/>
            <w:shd w:fill="1A6B7C"/>
          </w:tcPr>
          <w:p>
            <w:r>
              <w:rPr>
                <w:b/>
                <w:color w:val="FFFFFF"/>
                <w:sz w:val="20"/>
              </w:rPr>
              <w:t>Domestic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2022 (BU)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83.30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23.48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58.44</w:t>
            </w:r>
          </w:p>
        </w:tc>
      </w:tr>
      <w:tr>
        <w:tc>
          <w:tcPr>
            <w:tcW w:type="dxa" w:w="2493"/>
            <w:shd w:fill="E8F6F3"/>
          </w:tcPr>
          <w:p>
            <w:r>
              <w:rPr>
                <w:sz w:val="20"/>
              </w:rPr>
              <w:t>2025 (BU)</w:t>
            </w:r>
          </w:p>
        </w:tc>
        <w:tc>
          <w:tcPr>
            <w:tcW w:type="dxa" w:w="2493"/>
            <w:shd w:fill="E8F6F3"/>
          </w:tcPr>
          <w:p>
            <w:r>
              <w:rPr>
                <w:sz w:val="20"/>
              </w:rPr>
              <w:t>98.45</w:t>
            </w:r>
          </w:p>
        </w:tc>
        <w:tc>
          <w:tcPr>
            <w:tcW w:type="dxa" w:w="2493"/>
            <w:shd w:fill="E8F6F3"/>
          </w:tcPr>
          <w:p>
            <w:r>
              <w:rPr>
                <w:sz w:val="20"/>
              </w:rPr>
              <w:t>33.65</w:t>
            </w:r>
          </w:p>
        </w:tc>
        <w:tc>
          <w:tcPr>
            <w:tcW w:type="dxa" w:w="2493"/>
            <w:shd w:fill="E8F6F3"/>
          </w:tcPr>
          <w:p>
            <w:r>
              <w:rPr>
                <w:sz w:val="20"/>
              </w:rPr>
              <w:t>71.25</w:t>
            </w:r>
          </w:p>
        </w:tc>
      </w:tr>
      <w:tr>
        <w:tc>
          <w:tcPr>
            <w:tcW w:type="dxa" w:w="2493"/>
            <w:shd w:fill="B8E8DC"/>
          </w:tcPr>
          <w:p>
            <w:r>
              <w:rPr>
                <w:sz w:val="20"/>
              </w:rPr>
              <w:t>Absolute Growth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+15.15 BU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+10.17 BU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+12.81 BU</w:t>
            </w:r>
          </w:p>
        </w:tc>
      </w:tr>
      <w:tr>
        <w:tc>
          <w:tcPr>
            <w:tcW w:type="dxa" w:w="2493"/>
            <w:shd w:fill="B8E8DC"/>
          </w:tcPr>
          <w:p>
            <w:r>
              <w:rPr>
                <w:sz w:val="20"/>
              </w:rPr>
              <w:t>% Growth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18.2%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43.3% ★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21.9%</w:t>
            </w:r>
          </w:p>
        </w:tc>
      </w:tr>
      <w:tr>
        <w:tc>
          <w:tcPr>
            <w:tcW w:type="dxa" w:w="2493"/>
            <w:shd w:fill="B8E8DC"/>
          </w:tcPr>
          <w:p>
            <w:r>
              <w:rPr>
                <w:sz w:val="20"/>
              </w:rPr>
              <w:t>CAGR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5.8%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12.7% ★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6.7%</w:t>
            </w:r>
          </w:p>
        </w:tc>
      </w:tr>
      <w:tr>
        <w:tc>
          <w:tcPr>
            <w:tcW w:type="dxa" w:w="2493"/>
            <w:shd w:fill="B8E8DC"/>
          </w:tcPr>
          <w:p>
            <w:r>
              <w:rPr>
                <w:sz w:val="20"/>
              </w:rPr>
              <w:t>Best Single Year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6.8%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22.6% ★</w:t>
            </w:r>
          </w:p>
        </w:tc>
        <w:tc>
          <w:tcPr>
            <w:tcW w:type="dxa" w:w="2493"/>
            <w:shd w:fill="B8E8DC"/>
          </w:tcPr>
          <w:p>
            <w:r>
              <w:rPr>
                <w:sz w:val="20"/>
              </w:rPr>
              <w:t>9.9%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1915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growth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1516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651760" cy="1915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ndustr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1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D4EFF5"/>
      </w:pPr>
      <w:r>
        <w:rPr>
          <w:b/>
          <w:color w:val="1A6B7C"/>
          <w:sz w:val="22"/>
        </w:rPr>
        <w:t>Key Drivers of Sectoral Growth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6B7C"/>
          </w:tcPr>
          <w:p>
            <w:r>
              <w:rPr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3324"/>
            <w:shd w:fill="1A6B7C"/>
          </w:tcPr>
          <w:p>
            <w:r>
              <w:rPr>
                <w:b/>
                <w:color w:val="FFFFFF"/>
                <w:sz w:val="20"/>
              </w:rPr>
              <w:t>Growth</w:t>
            </w:r>
          </w:p>
        </w:tc>
        <w:tc>
          <w:tcPr>
            <w:tcW w:type="dxa" w:w="3324"/>
            <w:shd w:fill="1A6B7C"/>
          </w:tcPr>
          <w:p>
            <w:r>
              <w:rPr>
                <w:b/>
                <w:color w:val="FFFFFF"/>
                <w:sz w:val="20"/>
              </w:rPr>
              <w:t>Main Drivers</w:t>
            </w:r>
          </w:p>
        </w:tc>
      </w:tr>
      <w:tr>
        <w:tc>
          <w:tcPr>
            <w:tcW w:type="dxa" w:w="3324"/>
            <w:shd w:fill="B8E8DC"/>
          </w:tcPr>
          <w:p>
            <w:r>
              <w:rPr>
                <w:sz w:val="20"/>
              </w:rPr>
              <w:t>Industrial ★</w:t>
            </w:r>
          </w:p>
        </w:tc>
        <w:tc>
          <w:tcPr>
            <w:tcW w:type="dxa" w:w="3324"/>
            <w:shd w:fill="B8E8DC"/>
          </w:tcPr>
          <w:p>
            <w:r>
              <w:rPr>
                <w:sz w:val="20"/>
              </w:rPr>
              <w:t>43.3%</w:t>
            </w:r>
          </w:p>
        </w:tc>
        <w:tc>
          <w:tcPr>
            <w:tcW w:type="dxa" w:w="3324"/>
            <w:shd w:fill="B8E8DC"/>
          </w:tcPr>
          <w:p>
            <w:r>
              <w:rPr>
                <w:sz w:val="20"/>
              </w:rPr>
              <w:t>Industrial expansion; 22.6% surge; year-round peak demand</w:t>
            </w:r>
          </w:p>
        </w:tc>
      </w:tr>
      <w:tr>
        <w:tc>
          <w:tcPr>
            <w:tcW w:type="dxa" w:w="3324"/>
            <w:shd w:fill="E8F6F3"/>
          </w:tcPr>
          <w:p>
            <w:r>
              <w:rPr>
                <w:sz w:val="20"/>
              </w:rPr>
              <w:t>Agriculture</w:t>
            </w:r>
          </w:p>
        </w:tc>
        <w:tc>
          <w:tcPr>
            <w:tcW w:type="dxa" w:w="3324"/>
            <w:shd w:fill="E8F6F3"/>
          </w:tcPr>
          <w:p>
            <w:r>
              <w:rPr>
                <w:sz w:val="20"/>
              </w:rPr>
              <w:t>18.2%</w:t>
            </w:r>
          </w:p>
        </w:tc>
        <w:tc>
          <w:tcPr>
            <w:tcW w:type="dxa" w:w="3324"/>
            <w:shd w:fill="E8F6F3"/>
          </w:tcPr>
          <w:p>
            <w:r>
              <w:rPr>
                <w:sz w:val="20"/>
              </w:rPr>
              <w:t>Increased irrigation; largest base; seasonal peak load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Domestic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21.9%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Rapid urbanisation; higher AC use; steady growth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19425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4251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651760" cy="19162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emand_suppl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16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hd w:fill="1A6B7C"/>
      </w:pPr>
      <w:r>
        <w:rPr>
          <w:b/>
          <w:color w:val="B8E8DC"/>
          <w:sz w:val="20"/>
        </w:rPr>
        <w:t xml:space="preserve">CONCLUSION: </w:t>
      </w:r>
      <w:r>
        <w:rPr>
          <w:color w:val="FFFFFF"/>
          <w:sz w:val="20"/>
        </w:rPr>
        <w:t>Consumption rose every year. Combined growth = 23.1%. Agriculture largest (98.45 BU). Industrial sector HIGHEST GROWTH at 43.3%. Effective energy planning is urgently needed.</w:t>
      </w:r>
    </w:p>
    <w:p>
      <w:pPr>
        <w:jc w:val="center"/>
      </w:pPr>
      <w:r>
        <w:rPr>
          <w:i/>
          <w:sz w:val="16"/>
        </w:rPr>
        <w:t>Source: EDCC Data, Tables 1 &amp; 2 | Page 3 — Jaya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