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6B7C"/>
          <w:sz w:val="32"/>
        </w:rPr>
        <w:t>ANALYTICAL REPORT</w:t>
        <w:br/>
        <w:t>ON ELECTRICITY CONSUMPTION TRENDS</w:t>
        <w:br/>
        <w:t>AND SUSTAINABLE ENERGY MANAGEMENT IN INDIA</w:t>
      </w:r>
    </w:p>
    <w:p>
      <w:pPr>
        <w:jc w:val="center"/>
      </w:pPr>
      <w:r>
        <w:rPr>
          <w:sz w:val="20"/>
        </w:rPr>
        <w:t>Prepared for: The Chairman, Energy Development and Conservation Council (EDCC), New Delhi</w:t>
      </w:r>
    </w:p>
    <w:p>
      <w:pPr>
        <w:jc w:val="center"/>
      </w:pPr>
      <w:r>
        <w:rPr>
          <w:sz w:val="20"/>
        </w:rPr>
        <w:t>Prepared by: Secretary, EDCC  |  Section Contributor: Jaya (Pages 2-3)</w:t>
      </w:r>
    </w:p>
    <w:p>
      <w:pPr>
        <w:jc w:val="center"/>
      </w:pPr>
      <w:r>
        <w:rPr>
          <w:sz w:val="20"/>
        </w:rPr>
        <w:t>Date: August 2026</w:t>
      </w:r>
    </w:p>
    <w:p/>
    <w:p>
      <w:pPr>
        <w:spacing w:after="0"/>
        <w:jc w:val="center"/>
        <w:shd w:fill="1A6B7C"/>
      </w:pPr>
      <w:r>
        <w:rPr>
          <w:b/>
          <w:color w:val="FFFFFF"/>
          <w:sz w:val="28"/>
        </w:rPr>
        <w:t>Introduction</w:t>
      </w:r>
    </w:p>
    <w:p>
      <w:pPr>
        <w:spacing w:after="0"/>
        <w:jc w:val="center"/>
        <w:shd w:fill="3D9EB5"/>
      </w:pPr>
      <w:r>
        <w:rPr>
          <w:b/>
          <w:color w:val="FFFFFF"/>
          <w:sz w:val="22"/>
        </w:rPr>
        <w:t>Background, Scope &amp; Report Objectives</w:t>
      </w:r>
    </w:p>
    <w:p>
      <w:pPr>
        <w:shd w:fill="3D9EB5"/>
      </w:pPr>
      <w:r>
        <w:rPr>
          <w:b/>
          <w:color w:val="FFFFFF"/>
          <w:sz w:val="22"/>
        </w:rPr>
        <w:t>★ KEY POINTS — Introduction</w:t>
      </w:r>
    </w:p>
    <w:p>
      <w:pPr>
        <w:pStyle w:val="ListBullet"/>
        <w:shd w:fill="E8F6F3"/>
      </w:pPr>
      <w:r>
        <w:rPr>
          <w:sz w:val="20"/>
        </w:rPr>
        <w:t>Chairman concerned about steady rise in electricity consumption &amp; pressure on power infrastructure</w:t>
      </w:r>
    </w:p>
    <w:p>
      <w:pPr>
        <w:pStyle w:val="ListBullet"/>
        <w:shd w:fill="E8F6F3"/>
      </w:pPr>
      <w:r>
        <w:rPr>
          <w:sz w:val="20"/>
        </w:rPr>
        <w:t>Report analyses sector-wise data 2022–2025 from EDCC Tables 1, 2 &amp; 3</w:t>
      </w:r>
    </w:p>
    <w:p>
      <w:pPr>
        <w:pStyle w:val="ListBullet"/>
        <w:shd w:fill="E8F6F3"/>
      </w:pPr>
      <w:r>
        <w:rPr>
          <w:sz w:val="20"/>
        </w:rPr>
        <w:t>Covers: consumption trends, highest growth sector, demand-supply gap, renewable progress, 3 recommendations</w:t>
      </w:r>
    </w:p>
    <w:p>
      <w:pPr>
        <w:pStyle w:val="ListBullet"/>
        <w:shd w:fill="E8F6F3"/>
      </w:pPr>
      <w:r>
        <w:rPr>
          <w:sz w:val="20"/>
        </w:rPr>
        <w:t>Drivers: urbanisation, industrial expansion, AC use, agricultural irrigation</w:t>
      </w:r>
    </w:p>
    <w:p>
      <w:pPr>
        <w:pStyle w:val="ListBullet"/>
        <w:shd w:fill="E8F6F3"/>
      </w:pPr>
      <w:r>
        <w:rPr>
          <w:sz w:val="20"/>
        </w:rPr>
        <w:t>Government promotes: renewable energy, smart grids, energy-efficient appliances, demand-side management</w:t>
      </w:r>
    </w:p>
    <w:p>
      <w:pPr>
        <w:shd w:fill="D4EFF5"/>
      </w:pPr>
      <w:r>
        <w:rPr>
          <w:b/>
          <w:color w:val="1A6B7C"/>
          <w:sz w:val="22"/>
        </w:rPr>
        <w:t>Background and Scope</w:t>
      </w:r>
    </w:p>
    <w:p>
      <w:pPr>
        <w:jc w:val="both"/>
      </w:pPr>
      <w:r>
        <w:rPr>
          <w:sz w:val="21"/>
        </w:rPr>
        <w:t>The Energy Development and Conservation Council (EDCC) has been monitoring India's electricity sector amid sustained economic growth, rapid urbanisation, and rising living standards. Between 2022 and 2025, electricity consumption across agriculture, industrial, and domestic sectors showed a steady upward trajectory, placing increasing pressure on generation capacity, transmission networks, and distribution infrastructure.</w:t>
      </w:r>
    </w:p>
    <w:p>
      <w:pPr>
        <w:shd w:fill="D4EFF5"/>
      </w:pPr>
      <w:r>
        <w:rPr>
          <w:b/>
          <w:color w:val="1A6B7C"/>
          <w:sz w:val="22"/>
        </w:rPr>
        <w:t>Report Objectives</w:t>
      </w:r>
    </w:p>
    <w:p>
      <w:pPr>
        <w:pStyle w:val="ListNumber"/>
      </w:pPr>
      <w:r>
        <w:rPr>
          <w:sz w:val="21"/>
        </w:rPr>
        <w:t>1. Analyse trends in electricity consumption from 2022–2025.</w:t>
      </w:r>
    </w:p>
    <w:p>
      <w:pPr>
        <w:pStyle w:val="ListNumber"/>
      </w:pPr>
      <w:r>
        <w:rPr>
          <w:sz w:val="21"/>
        </w:rPr>
        <w:t>2. Identify the sector with highest growth and explain reasons.</w:t>
      </w:r>
    </w:p>
    <w:p>
      <w:pPr>
        <w:pStyle w:val="ListNumber"/>
      </w:pPr>
      <w:r>
        <w:rPr>
          <w:sz w:val="21"/>
        </w:rPr>
        <w:t>3. Compare electricity demand and supply trends; state concerns.</w:t>
      </w:r>
    </w:p>
    <w:p>
      <w:pPr>
        <w:pStyle w:val="ListNumber"/>
      </w:pPr>
      <w:r>
        <w:rPr>
          <w:sz w:val="21"/>
        </w:rPr>
        <w:t>4. Evaluate renewable energy adoption and T&amp;D loss reduction.</w:t>
      </w:r>
    </w:p>
    <w:p>
      <w:pPr>
        <w:pStyle w:val="ListNumber"/>
      </w:pPr>
      <w:r>
        <w:rPr>
          <w:sz w:val="21"/>
        </w:rPr>
        <w:t>5. Recommend three practical measures for sustainable electricity management.</w:t>
      </w:r>
    </w:p>
    <w:p>
      <w:pPr>
        <w:jc w:val="center"/>
      </w:pPr>
      <w:r>
        <w:rPr>
          <w:i/>
          <w:color w:val="788C96"/>
          <w:sz w:val="16"/>
        </w:rPr>
        <w:t>Page 1 | EDCC Complete Analytical Report</w:t>
      </w:r>
    </w:p>
    <w:p>
      <w:r>
        <w:br w:type="page"/>
      </w:r>
    </w:p>
    <w:p>
      <w:pPr>
        <w:spacing w:after="0"/>
        <w:jc w:val="center"/>
        <w:shd w:fill="1A6B7C"/>
      </w:pPr>
      <w:r>
        <w:rPr>
          <w:b/>
          <w:color w:val="FFFFFF"/>
          <w:sz w:val="28"/>
        </w:rPr>
        <w:t>Trend in Electricity Consumption</w:t>
      </w:r>
    </w:p>
    <w:p>
      <w:pPr>
        <w:spacing w:after="0"/>
        <w:jc w:val="center"/>
        <w:shd w:fill="3D9EB5"/>
      </w:pPr>
      <w:r>
        <w:rPr>
          <w:b/>
          <w:color w:val="FFFFFF"/>
          <w:sz w:val="22"/>
        </w:rPr>
        <w:t>Sector-Wise Consumption Analysis (2022–2025)</w:t>
      </w:r>
    </w:p>
    <w:p>
      <w:pPr>
        <w:shd w:fill="3D9EB5"/>
      </w:pPr>
      <w:r>
        <w:rPr>
          <w:b/>
          <w:color w:val="FFFFFF"/>
          <w:sz w:val="22"/>
        </w:rPr>
        <w:t>★ KEY POINTS — Page 2</w:t>
      </w:r>
    </w:p>
    <w:p>
      <w:pPr>
        <w:pStyle w:val="ListBullet"/>
        <w:shd w:fill="E8F6F3"/>
      </w:pPr>
      <w:r>
        <w:rPr>
          <w:sz w:val="20"/>
        </w:rPr>
        <w:t>Combined consumption: 165.22 BU (2022) → 203.35 BU (2025) = 23.1% growth</w:t>
      </w:r>
    </w:p>
    <w:p>
      <w:pPr>
        <w:pStyle w:val="ListBullet"/>
        <w:shd w:fill="E8F6F3"/>
      </w:pPr>
      <w:r>
        <w:rPr>
          <w:sz w:val="20"/>
        </w:rPr>
        <w:t>Agriculture = LARGEST consumer: 98.45 BU (48.4% share in 2025)</w:t>
      </w:r>
    </w:p>
    <w:p>
      <w:pPr>
        <w:pStyle w:val="ListBullet"/>
        <w:shd w:fill="E8F6F3"/>
      </w:pPr>
      <w:r>
        <w:rPr>
          <w:sz w:val="20"/>
        </w:rPr>
        <w:t>Domestic = 71.25 BU (+21.9%) — driven by urbanisation &amp; higher AC use</w:t>
      </w:r>
    </w:p>
    <w:p>
      <w:pPr>
        <w:pStyle w:val="ListBullet"/>
        <w:shd w:fill="E8F6F3"/>
      </w:pPr>
      <w:r>
        <w:rPr>
          <w:sz w:val="20"/>
        </w:rPr>
        <w:t>Industrial surged 22.6% in 2022–23 — fastest growing sector overall</w:t>
      </w:r>
    </w:p>
    <w:p>
      <w:pPr>
        <w:pStyle w:val="ListBullet"/>
        <w:shd w:fill="E8F6F3"/>
      </w:pPr>
      <w:r>
        <w:rPr>
          <w:sz w:val="20"/>
        </w:rPr>
        <w:t>National demand aligned: 182 → 221 BU (+21.4%)</w:t>
      </w:r>
    </w:p>
    <w:p>
      <w:pPr>
        <w:shd w:fill="D4EFF5"/>
      </w:pPr>
      <w:r>
        <w:rPr>
          <w:b/>
          <w:sz w:val="21"/>
        </w:rPr>
        <w:t>MAIN FINDING: Electricity consumption increased in EVERY sector, EVERY year (2022–2025) with no decline.</w:t>
      </w:r>
    </w:p>
    <w:p>
      <w:pPr>
        <w:shd w:fill="D4EFF5"/>
      </w:pPr>
      <w:r>
        <w:rPr>
          <w:b/>
          <w:color w:val="1A6B7C"/>
          <w:sz w:val="22"/>
        </w:rPr>
        <w:t>Table 1: Sector-wise Electricity Consumption (Billion Units)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1A6B7C"/>
          </w:tcPr>
          <w:p>
            <w:r>
              <w:rPr>
                <w:b/>
                <w:color w:val="FFFFFF"/>
                <w:sz w:val="20"/>
              </w:rPr>
              <w:t>Sector</w:t>
            </w:r>
          </w:p>
        </w:tc>
        <w:tc>
          <w:tcPr>
            <w:tcW w:type="dxa" w:w="1624"/>
            <w:shd w:fill="1A6B7C"/>
          </w:tcPr>
          <w:p>
            <w:r>
              <w:rPr>
                <w:b/>
                <w:color w:val="FFFFFF"/>
                <w:sz w:val="20"/>
              </w:rPr>
              <w:t>2022</w:t>
            </w:r>
          </w:p>
        </w:tc>
        <w:tc>
          <w:tcPr>
            <w:tcW w:type="dxa" w:w="1624"/>
            <w:shd w:fill="1A6B7C"/>
          </w:tcPr>
          <w:p>
            <w:r>
              <w:rPr>
                <w:b/>
                <w:color w:val="FFFFFF"/>
                <w:sz w:val="20"/>
              </w:rPr>
              <w:t>2023</w:t>
            </w:r>
          </w:p>
        </w:tc>
        <w:tc>
          <w:tcPr>
            <w:tcW w:type="dxa" w:w="1624"/>
            <w:shd w:fill="1A6B7C"/>
          </w:tcPr>
          <w:p>
            <w:r>
              <w:rPr>
                <w:b/>
                <w:color w:val="FFFFFF"/>
                <w:sz w:val="20"/>
              </w:rPr>
              <w:t>2024</w:t>
            </w:r>
          </w:p>
        </w:tc>
        <w:tc>
          <w:tcPr>
            <w:tcW w:type="dxa" w:w="1624"/>
            <w:shd w:fill="1A6B7C"/>
          </w:tcPr>
          <w:p>
            <w:r>
              <w:rPr>
                <w:b/>
                <w:color w:val="FFFFFF"/>
                <w:sz w:val="20"/>
              </w:rPr>
              <w:t>2025</w:t>
            </w:r>
          </w:p>
        </w:tc>
        <w:tc>
          <w:tcPr>
            <w:tcW w:type="dxa" w:w="1624"/>
            <w:shd w:fill="1A6B7C"/>
          </w:tcPr>
          <w:p>
            <w:r>
              <w:rPr>
                <w:b/>
                <w:color w:val="FFFFFF"/>
                <w:sz w:val="20"/>
              </w:rPr>
              <w:t>Growth</w:t>
            </w:r>
          </w:p>
        </w:tc>
      </w:tr>
      <w:tr>
        <w:tc>
          <w:tcPr>
            <w:tcW w:type="dxa" w:w="1624"/>
            <w:shd w:fill="B8E8DC"/>
          </w:tcPr>
          <w:p>
            <w:r>
              <w:rPr>
                <w:sz w:val="20"/>
              </w:rPr>
              <w:t>Agriculture (Largest)</w:t>
            </w:r>
          </w:p>
        </w:tc>
        <w:tc>
          <w:tcPr>
            <w:tcW w:type="dxa" w:w="1624"/>
            <w:shd w:fill="B8E8DC"/>
          </w:tcPr>
          <w:p>
            <w:r>
              <w:rPr>
                <w:sz w:val="20"/>
              </w:rPr>
              <w:t>83.30</w:t>
            </w:r>
          </w:p>
        </w:tc>
        <w:tc>
          <w:tcPr>
            <w:tcW w:type="dxa" w:w="1624"/>
            <w:shd w:fill="B8E8DC"/>
          </w:tcPr>
          <w:p>
            <w:r>
              <w:rPr>
                <w:sz w:val="20"/>
              </w:rPr>
              <w:t>88.96</w:t>
            </w:r>
          </w:p>
        </w:tc>
        <w:tc>
          <w:tcPr>
            <w:tcW w:type="dxa" w:w="1624"/>
            <w:shd w:fill="B8E8DC"/>
          </w:tcPr>
          <w:p>
            <w:r>
              <w:rPr>
                <w:sz w:val="20"/>
              </w:rPr>
              <w:t>93.67</w:t>
            </w:r>
          </w:p>
        </w:tc>
        <w:tc>
          <w:tcPr>
            <w:tcW w:type="dxa" w:w="1624"/>
            <w:shd w:fill="B8E8DC"/>
          </w:tcPr>
          <w:p>
            <w:r>
              <w:rPr>
                <w:sz w:val="20"/>
              </w:rPr>
              <w:t>98.45</w:t>
            </w:r>
          </w:p>
        </w:tc>
        <w:tc>
          <w:tcPr>
            <w:tcW w:type="dxa" w:w="1624"/>
            <w:shd w:fill="B8E8DC"/>
          </w:tcPr>
          <w:p>
            <w:r>
              <w:rPr>
                <w:sz w:val="20"/>
              </w:rPr>
              <w:t>+18.2%</w:t>
            </w:r>
          </w:p>
        </w:tc>
      </w:tr>
      <w:tr>
        <w:tc>
          <w:tcPr>
            <w:tcW w:type="dxa" w:w="1624"/>
            <w:shd w:fill="E8F6F3"/>
          </w:tcPr>
          <w:p>
            <w:r>
              <w:rPr>
                <w:sz w:val="20"/>
              </w:rPr>
              <w:t>Domestic</w:t>
            </w:r>
          </w:p>
        </w:tc>
        <w:tc>
          <w:tcPr>
            <w:tcW w:type="dxa" w:w="1624"/>
            <w:shd w:fill="E8F6F3"/>
          </w:tcPr>
          <w:p>
            <w:r>
              <w:rPr>
                <w:sz w:val="20"/>
              </w:rPr>
              <w:t>58.44</w:t>
            </w:r>
          </w:p>
        </w:tc>
        <w:tc>
          <w:tcPr>
            <w:tcW w:type="dxa" w:w="1624"/>
            <w:shd w:fill="E8F6F3"/>
          </w:tcPr>
          <w:p>
            <w:r>
              <w:rPr>
                <w:sz w:val="20"/>
              </w:rPr>
              <w:t>64.20</w:t>
            </w:r>
          </w:p>
        </w:tc>
        <w:tc>
          <w:tcPr>
            <w:tcW w:type="dxa" w:w="1624"/>
            <w:shd w:fill="E8F6F3"/>
          </w:tcPr>
          <w:p>
            <w:r>
              <w:rPr>
                <w:sz w:val="20"/>
              </w:rPr>
              <w:t>67.80</w:t>
            </w:r>
          </w:p>
        </w:tc>
        <w:tc>
          <w:tcPr>
            <w:tcW w:type="dxa" w:w="1624"/>
            <w:shd w:fill="E8F6F3"/>
          </w:tcPr>
          <w:p>
            <w:r>
              <w:rPr>
                <w:sz w:val="20"/>
              </w:rPr>
              <w:t>71.25</w:t>
            </w:r>
          </w:p>
        </w:tc>
        <w:tc>
          <w:tcPr>
            <w:tcW w:type="dxa" w:w="1624"/>
            <w:shd w:fill="E8F6F3"/>
          </w:tcPr>
          <w:p>
            <w:r>
              <w:rPr>
                <w:sz w:val="20"/>
              </w:rPr>
              <w:t>+21.9%</w:t>
            </w:r>
          </w:p>
        </w:tc>
      </w:tr>
      <w:tr>
        <w:tc>
          <w:tcPr>
            <w:tcW w:type="dxa" w:w="1624"/>
            <w:shd w:fill="B8E8DC"/>
          </w:tcPr>
          <w:p>
            <w:r>
              <w:rPr>
                <w:sz w:val="20"/>
              </w:rPr>
              <w:t>Industrial (Fastest ★)</w:t>
            </w:r>
          </w:p>
        </w:tc>
        <w:tc>
          <w:tcPr>
            <w:tcW w:type="dxa" w:w="1624"/>
            <w:shd w:fill="B8E8DC"/>
          </w:tcPr>
          <w:p>
            <w:r>
              <w:rPr>
                <w:sz w:val="20"/>
              </w:rPr>
              <w:t>23.48</w:t>
            </w:r>
          </w:p>
        </w:tc>
        <w:tc>
          <w:tcPr>
            <w:tcW w:type="dxa" w:w="1624"/>
            <w:shd w:fill="B8E8DC"/>
          </w:tcPr>
          <w:p>
            <w:r>
              <w:rPr>
                <w:sz w:val="20"/>
              </w:rPr>
              <w:t>28.78</w:t>
            </w:r>
          </w:p>
        </w:tc>
        <w:tc>
          <w:tcPr>
            <w:tcW w:type="dxa" w:w="1624"/>
            <w:shd w:fill="B8E8DC"/>
          </w:tcPr>
          <w:p>
            <w:r>
              <w:rPr>
                <w:sz w:val="20"/>
              </w:rPr>
              <w:t>30.78</w:t>
            </w:r>
          </w:p>
        </w:tc>
        <w:tc>
          <w:tcPr>
            <w:tcW w:type="dxa" w:w="1624"/>
            <w:shd w:fill="B8E8DC"/>
          </w:tcPr>
          <w:p>
            <w:r>
              <w:rPr>
                <w:sz w:val="20"/>
              </w:rPr>
              <w:t>33.65</w:t>
            </w:r>
          </w:p>
        </w:tc>
        <w:tc>
          <w:tcPr>
            <w:tcW w:type="dxa" w:w="1624"/>
            <w:shd w:fill="B8E8DC"/>
          </w:tcPr>
          <w:p>
            <w:r>
              <w:rPr>
                <w:sz w:val="20"/>
              </w:rPr>
              <w:t>+43.3% ★</w:t>
            </w:r>
          </w:p>
        </w:tc>
      </w:tr>
    </w:tbl>
    <w:p/>
    <w:p>
      <w:pPr>
        <w:jc w:val="center"/>
      </w:pPr>
      <w:r>
        <w:drawing>
          <wp:inline xmlns:a="http://schemas.openxmlformats.org/drawingml/2006/main" xmlns:pic="http://schemas.openxmlformats.org/drawingml/2006/picture">
            <wp:extent cx="2606040" cy="1874520"/>
            <wp:docPr id="1" name="Picture 1"/>
            <wp:cNvGraphicFramePr>
              <a:graphicFrameLocks noChangeAspect="1"/>
            </wp:cNvGraphicFramePr>
            <a:graphic>
              <a:graphicData uri="http://schemas.openxmlformats.org/drawingml/2006/picture">
                <pic:pic>
                  <pic:nvPicPr>
                    <pic:cNvPr id="0" name="c01_sector_2025.png"/>
                    <pic:cNvPicPr/>
                  </pic:nvPicPr>
                  <pic:blipFill>
                    <a:blip r:embed="rId9"/>
                    <a:stretch>
                      <a:fillRect/>
                    </a:stretch>
                  </pic:blipFill>
                  <pic:spPr>
                    <a:xfrm>
                      <a:off x="0" y="0"/>
                      <a:ext cx="2606040" cy="1874520"/>
                    </a:xfrm>
                    <a:prstGeom prst="rect"/>
                  </pic:spPr>
                </pic:pic>
              </a:graphicData>
            </a:graphic>
          </wp:inline>
        </w:drawing>
      </w:r>
      <w:r>
        <w:t xml:space="preserve">   </w:t>
      </w:r>
      <w:r>
        <w:drawing>
          <wp:inline xmlns:a="http://schemas.openxmlformats.org/drawingml/2006/main" xmlns:pic="http://schemas.openxmlformats.org/drawingml/2006/picture">
            <wp:extent cx="2606040" cy="1873878"/>
            <wp:docPr id="2" name="Picture 2"/>
            <wp:cNvGraphicFramePr>
              <a:graphicFrameLocks noChangeAspect="1"/>
            </wp:cNvGraphicFramePr>
            <a:graphic>
              <a:graphicData uri="http://schemas.openxmlformats.org/drawingml/2006/picture">
                <pic:pic>
                  <pic:nvPicPr>
                    <pic:cNvPr id="0" name="c09_sector_trend.png"/>
                    <pic:cNvPicPr/>
                  </pic:nvPicPr>
                  <pic:blipFill>
                    <a:blip r:embed="rId10"/>
                    <a:stretch>
                      <a:fillRect/>
                    </a:stretch>
                  </pic:blipFill>
                  <pic:spPr>
                    <a:xfrm>
                      <a:off x="0" y="0"/>
                      <a:ext cx="2606040" cy="1873878"/>
                    </a:xfrm>
                    <a:prstGeom prst="rect"/>
                  </pic:spPr>
                </pic:pic>
              </a:graphicData>
            </a:graphic>
          </wp:inline>
        </w:drawing>
      </w:r>
    </w:p>
    <w:p>
      <w:pPr>
        <w:shd w:fill="D4EFF5"/>
      </w:pPr>
      <w:r>
        <w:rPr>
          <w:b/>
          <w:color w:val="1A6B7C"/>
          <w:sz w:val="22"/>
        </w:rPr>
        <w:t>Overall Growth Trends (2022–2025)</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A6B7C"/>
          </w:tcPr>
          <w:p>
            <w:r>
              <w:rPr>
                <w:b/>
                <w:color w:val="FFFFFF"/>
                <w:sz w:val="20"/>
              </w:rPr>
              <w:t>Year</w:t>
            </w:r>
          </w:p>
        </w:tc>
        <w:tc>
          <w:tcPr>
            <w:tcW w:type="dxa" w:w="2436"/>
            <w:shd w:fill="1A6B7C"/>
          </w:tcPr>
          <w:p>
            <w:r>
              <w:rPr>
                <w:b/>
                <w:color w:val="FFFFFF"/>
                <w:sz w:val="20"/>
              </w:rPr>
              <w:t>Combined (BU)</w:t>
            </w:r>
          </w:p>
        </w:tc>
        <w:tc>
          <w:tcPr>
            <w:tcW w:type="dxa" w:w="2436"/>
            <w:shd w:fill="1A6B7C"/>
          </w:tcPr>
          <w:p>
            <w:r>
              <w:rPr>
                <w:b/>
                <w:color w:val="FFFFFF"/>
                <w:sz w:val="20"/>
              </w:rPr>
              <w:t>Annual Increase</w:t>
            </w:r>
          </w:p>
        </w:tc>
        <w:tc>
          <w:tcPr>
            <w:tcW w:type="dxa" w:w="2436"/>
            <w:shd w:fill="1A6B7C"/>
          </w:tcPr>
          <w:p>
            <w:r>
              <w:rPr>
                <w:b/>
                <w:color w:val="FFFFFF"/>
                <w:sz w:val="20"/>
              </w:rPr>
              <w:t>YoY Growth</w:t>
            </w:r>
          </w:p>
        </w:tc>
      </w:tr>
      <w:tr>
        <w:tc>
          <w:tcPr>
            <w:tcW w:type="dxa" w:w="2436"/>
          </w:tcPr>
          <w:p>
            <w:r>
              <w:rPr>
                <w:sz w:val="20"/>
              </w:rPr>
              <w:t>2022</w:t>
            </w:r>
          </w:p>
        </w:tc>
        <w:tc>
          <w:tcPr>
            <w:tcW w:type="dxa" w:w="2436"/>
          </w:tcPr>
          <w:p>
            <w:r>
              <w:rPr>
                <w:sz w:val="20"/>
              </w:rPr>
              <w:t>165.22</w:t>
            </w:r>
          </w:p>
        </w:tc>
        <w:tc>
          <w:tcPr>
            <w:tcW w:type="dxa" w:w="2436"/>
          </w:tcPr>
          <w:p>
            <w:r>
              <w:rPr>
                <w:sz w:val="20"/>
              </w:rPr>
              <w:t>—</w:t>
            </w:r>
          </w:p>
        </w:tc>
        <w:tc>
          <w:tcPr>
            <w:tcW w:type="dxa" w:w="2436"/>
          </w:tcPr>
          <w:p>
            <w:r>
              <w:rPr>
                <w:sz w:val="20"/>
              </w:rPr>
              <w:t>—</w:t>
            </w:r>
          </w:p>
        </w:tc>
      </w:tr>
      <w:tr>
        <w:tc>
          <w:tcPr>
            <w:tcW w:type="dxa" w:w="2436"/>
            <w:shd w:fill="B8E8DC"/>
          </w:tcPr>
          <w:p>
            <w:r>
              <w:rPr>
                <w:sz w:val="20"/>
              </w:rPr>
              <w:t>2023</w:t>
            </w:r>
          </w:p>
        </w:tc>
        <w:tc>
          <w:tcPr>
            <w:tcW w:type="dxa" w:w="2436"/>
            <w:shd w:fill="B8E8DC"/>
          </w:tcPr>
          <w:p>
            <w:r>
              <w:rPr>
                <w:sz w:val="20"/>
              </w:rPr>
              <w:t>181.94</w:t>
            </w:r>
          </w:p>
        </w:tc>
        <w:tc>
          <w:tcPr>
            <w:tcW w:type="dxa" w:w="2436"/>
            <w:shd w:fill="B8E8DC"/>
          </w:tcPr>
          <w:p>
            <w:r>
              <w:rPr>
                <w:sz w:val="20"/>
              </w:rPr>
              <w:t>+16.72</w:t>
            </w:r>
          </w:p>
        </w:tc>
        <w:tc>
          <w:tcPr>
            <w:tcW w:type="dxa" w:w="2436"/>
            <w:shd w:fill="B8E8DC"/>
          </w:tcPr>
          <w:p>
            <w:r>
              <w:rPr>
                <w:sz w:val="20"/>
              </w:rPr>
              <w:t>10.1%</w:t>
            </w:r>
          </w:p>
        </w:tc>
      </w:tr>
      <w:tr>
        <w:tc>
          <w:tcPr>
            <w:tcW w:type="dxa" w:w="2436"/>
          </w:tcPr>
          <w:p>
            <w:r>
              <w:rPr>
                <w:sz w:val="20"/>
              </w:rPr>
              <w:t>2024</w:t>
            </w:r>
          </w:p>
        </w:tc>
        <w:tc>
          <w:tcPr>
            <w:tcW w:type="dxa" w:w="2436"/>
          </w:tcPr>
          <w:p>
            <w:r>
              <w:rPr>
                <w:sz w:val="20"/>
              </w:rPr>
              <w:t>192.25</w:t>
            </w:r>
          </w:p>
        </w:tc>
        <w:tc>
          <w:tcPr>
            <w:tcW w:type="dxa" w:w="2436"/>
          </w:tcPr>
          <w:p>
            <w:r>
              <w:rPr>
                <w:sz w:val="20"/>
              </w:rPr>
              <w:t>+10.31</w:t>
            </w:r>
          </w:p>
        </w:tc>
        <w:tc>
          <w:tcPr>
            <w:tcW w:type="dxa" w:w="2436"/>
          </w:tcPr>
          <w:p>
            <w:r>
              <w:rPr>
                <w:sz w:val="20"/>
              </w:rPr>
              <w:t>5.7%</w:t>
            </w:r>
          </w:p>
        </w:tc>
      </w:tr>
      <w:tr>
        <w:tc>
          <w:tcPr>
            <w:tcW w:type="dxa" w:w="2436"/>
            <w:shd w:fill="B8E8DC"/>
          </w:tcPr>
          <w:p>
            <w:r>
              <w:rPr>
                <w:sz w:val="20"/>
              </w:rPr>
              <w:t>2025</w:t>
            </w:r>
          </w:p>
        </w:tc>
        <w:tc>
          <w:tcPr>
            <w:tcW w:type="dxa" w:w="2436"/>
            <w:shd w:fill="B8E8DC"/>
          </w:tcPr>
          <w:p>
            <w:r>
              <w:rPr>
                <w:sz w:val="20"/>
              </w:rPr>
              <w:t>203.35</w:t>
            </w:r>
          </w:p>
        </w:tc>
        <w:tc>
          <w:tcPr>
            <w:tcW w:type="dxa" w:w="2436"/>
            <w:shd w:fill="B8E8DC"/>
          </w:tcPr>
          <w:p>
            <w:r>
              <w:rPr>
                <w:sz w:val="20"/>
              </w:rPr>
              <w:t>+11.10</w:t>
            </w:r>
          </w:p>
        </w:tc>
        <w:tc>
          <w:tcPr>
            <w:tcW w:type="dxa" w:w="2436"/>
            <w:shd w:fill="B8E8DC"/>
          </w:tcPr>
          <w:p>
            <w:r>
              <w:rPr>
                <w:sz w:val="20"/>
              </w:rPr>
              <w:t>5.8%</w:t>
            </w:r>
          </w:p>
        </w:tc>
      </w:tr>
    </w:tbl>
    <w:p/>
    <w:p>
      <w:pPr>
        <w:jc w:val="center"/>
      </w:pPr>
      <w:r>
        <w:drawing>
          <wp:inline xmlns:a="http://schemas.openxmlformats.org/drawingml/2006/main" xmlns:pic="http://schemas.openxmlformats.org/drawingml/2006/picture">
            <wp:extent cx="2606040" cy="1874520"/>
            <wp:docPr id="3" name="Picture 3"/>
            <wp:cNvGraphicFramePr>
              <a:graphicFrameLocks noChangeAspect="1"/>
            </wp:cNvGraphicFramePr>
            <a:graphic>
              <a:graphicData uri="http://schemas.openxmlformats.org/drawingml/2006/picture">
                <pic:pic>
                  <pic:nvPicPr>
                    <pic:cNvPr id="0" name="c02_combined.png"/>
                    <pic:cNvPicPr/>
                  </pic:nvPicPr>
                  <pic:blipFill>
                    <a:blip r:embed="rId11"/>
                    <a:stretch>
                      <a:fillRect/>
                    </a:stretch>
                  </pic:blipFill>
                  <pic:spPr>
                    <a:xfrm>
                      <a:off x="0" y="0"/>
                      <a:ext cx="2606040" cy="1874520"/>
                    </a:xfrm>
                    <a:prstGeom prst="rect"/>
                  </pic:spPr>
                </pic:pic>
              </a:graphicData>
            </a:graphic>
          </wp:inline>
        </w:drawing>
      </w:r>
      <w:r>
        <w:t xml:space="preserve">   </w:t>
      </w:r>
      <w:r>
        <w:drawing>
          <wp:inline xmlns:a="http://schemas.openxmlformats.org/drawingml/2006/main" xmlns:pic="http://schemas.openxmlformats.org/drawingml/2006/picture">
            <wp:extent cx="2606040" cy="1873878"/>
            <wp:docPr id="4" name="Picture 4"/>
            <wp:cNvGraphicFramePr>
              <a:graphicFrameLocks noChangeAspect="1"/>
            </wp:cNvGraphicFramePr>
            <a:graphic>
              <a:graphicData uri="http://schemas.openxmlformats.org/drawingml/2006/picture">
                <pic:pic>
                  <pic:nvPicPr>
                    <pic:cNvPr id="0" name="c05_demand_supply.png"/>
                    <pic:cNvPicPr/>
                  </pic:nvPicPr>
                  <pic:blipFill>
                    <a:blip r:embed="rId12"/>
                    <a:stretch>
                      <a:fillRect/>
                    </a:stretch>
                  </pic:blipFill>
                  <pic:spPr>
                    <a:xfrm>
                      <a:off x="0" y="0"/>
                      <a:ext cx="2606040" cy="1873878"/>
                    </a:xfrm>
                    <a:prstGeom prst="rect"/>
                  </pic:spPr>
                </pic:pic>
              </a:graphicData>
            </a:graphic>
          </wp:inline>
        </w:drawing>
      </w:r>
    </w:p>
    <w:p>
      <w:pPr>
        <w:jc w:val="center"/>
      </w:pPr>
      <w:r>
        <w:rPr>
          <w:i/>
          <w:color w:val="788C96"/>
          <w:sz w:val="16"/>
        </w:rPr>
        <w:t>Page 2 | EDCC Complete Analytical Report — Jaya</w:t>
      </w:r>
    </w:p>
    <w:p>
      <w:r>
        <w:br w:type="page"/>
      </w:r>
    </w:p>
    <w:p>
      <w:pPr>
        <w:spacing w:after="0"/>
        <w:jc w:val="center"/>
        <w:shd w:fill="1A6B7C"/>
      </w:pPr>
      <w:r>
        <w:rPr>
          <w:b/>
          <w:color w:val="FFFFFF"/>
          <w:sz w:val="28"/>
        </w:rPr>
        <w:t>Highest Growth Sector Analysis</w:t>
      </w:r>
    </w:p>
    <w:p>
      <w:pPr>
        <w:spacing w:after="0"/>
        <w:jc w:val="center"/>
        <w:shd w:fill="3D9EB5"/>
      </w:pPr>
      <w:r>
        <w:rPr>
          <w:b/>
          <w:color w:val="FFFFFF"/>
          <w:sz w:val="22"/>
        </w:rPr>
        <w:t>Identification of Dominant Sector &amp; Key Drivers</w:t>
      </w:r>
    </w:p>
    <w:p>
      <w:pPr>
        <w:shd w:fill="3D9EB5"/>
      </w:pPr>
      <w:r>
        <w:rPr>
          <w:b/>
          <w:color w:val="FFFFFF"/>
          <w:sz w:val="22"/>
        </w:rPr>
        <w:t>★ KEY POINTS — Page 3</w:t>
      </w:r>
    </w:p>
    <w:p>
      <w:pPr>
        <w:pStyle w:val="ListBullet"/>
        <w:shd w:fill="E8F6F3"/>
      </w:pPr>
      <w:r>
        <w:rPr>
          <w:sz w:val="20"/>
        </w:rPr>
        <w:t>★ INDUSTRIAL SECTOR = HIGHEST GROWTH at 43.3%</w:t>
      </w:r>
    </w:p>
    <w:p>
      <w:pPr>
        <w:pStyle w:val="ListBullet"/>
        <w:shd w:fill="E8F6F3"/>
      </w:pPr>
      <w:r>
        <w:rPr>
          <w:sz w:val="20"/>
        </w:rPr>
        <w:t>Industrial CAGR = 12.7% | Peak single year = 22.6% (2022–23)</w:t>
      </w:r>
    </w:p>
    <w:p>
      <w:pPr>
        <w:pStyle w:val="ListBullet"/>
        <w:shd w:fill="E8F6F3"/>
      </w:pPr>
      <w:r>
        <w:rPr>
          <w:sz w:val="20"/>
        </w:rPr>
        <w:t>Industrial share of domestic consumption: 40.2% → 47.2%</w:t>
      </w:r>
    </w:p>
    <w:p>
      <w:pPr>
        <w:pStyle w:val="ListBullet"/>
        <w:shd w:fill="E8F6F3"/>
      </w:pPr>
      <w:r>
        <w:rPr>
          <w:sz w:val="20"/>
        </w:rPr>
        <w:t>Drivers: industrial expansion | irrigation | urbanisation &amp; ACs</w:t>
      </w:r>
    </w:p>
    <w:p>
      <w:pPr>
        <w:pStyle w:val="ListBullet"/>
        <w:shd w:fill="E8F6F3"/>
      </w:pPr>
      <w:r>
        <w:rPr>
          <w:sz w:val="20"/>
        </w:rPr>
        <w:t>All sectors contribute to peak demand alongside cooling requirements</w:t>
      </w:r>
    </w:p>
    <w:p>
      <w:pPr>
        <w:shd w:fill="D4EFF5"/>
      </w:pPr>
      <w:r>
        <w:rPr>
          <w:b/>
          <w:sz w:val="21"/>
        </w:rPr>
        <w:t>★ DOMINANT SECTOR: Industrial sector recorded HIGHEST GROWTH at 43.3% during 2022–2025.</w:t>
      </w:r>
    </w:p>
    <w:p>
      <w:pPr>
        <w:shd w:fill="D4EFF5"/>
      </w:pPr>
      <w:r>
        <w:rPr>
          <w:b/>
          <w:color w:val="1A6B7C"/>
          <w:sz w:val="22"/>
        </w:rPr>
        <w:t>Comparative Growth Analysis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A6B7C"/>
          </w:tcPr>
          <w:p>
            <w:r>
              <w:rPr>
                <w:b/>
                <w:color w:val="FFFFFF"/>
                <w:sz w:val="20"/>
              </w:rPr>
              <w:t>Measure</w:t>
            </w:r>
          </w:p>
        </w:tc>
        <w:tc>
          <w:tcPr>
            <w:tcW w:type="dxa" w:w="2436"/>
            <w:shd w:fill="1A6B7C"/>
          </w:tcPr>
          <w:p>
            <w:r>
              <w:rPr>
                <w:b/>
                <w:color w:val="FFFFFF"/>
                <w:sz w:val="20"/>
              </w:rPr>
              <w:t>Agriculture</w:t>
            </w:r>
          </w:p>
        </w:tc>
        <w:tc>
          <w:tcPr>
            <w:tcW w:type="dxa" w:w="2436"/>
            <w:shd w:fill="1A6B7C"/>
          </w:tcPr>
          <w:p>
            <w:r>
              <w:rPr>
                <w:b/>
                <w:color w:val="FFFFFF"/>
                <w:sz w:val="20"/>
              </w:rPr>
              <w:t>Industrial ★</w:t>
            </w:r>
          </w:p>
        </w:tc>
        <w:tc>
          <w:tcPr>
            <w:tcW w:type="dxa" w:w="2436"/>
            <w:shd w:fill="1A6B7C"/>
          </w:tcPr>
          <w:p>
            <w:r>
              <w:rPr>
                <w:b/>
                <w:color w:val="FFFFFF"/>
                <w:sz w:val="20"/>
              </w:rPr>
              <w:t>Domestic</w:t>
            </w:r>
          </w:p>
        </w:tc>
      </w:tr>
      <w:tr>
        <w:tc>
          <w:tcPr>
            <w:tcW w:type="dxa" w:w="2436"/>
          </w:tcPr>
          <w:p>
            <w:r>
              <w:rPr>
                <w:sz w:val="20"/>
              </w:rPr>
              <w:t>2022 (BU)</w:t>
            </w:r>
          </w:p>
        </w:tc>
        <w:tc>
          <w:tcPr>
            <w:tcW w:type="dxa" w:w="2436"/>
          </w:tcPr>
          <w:p>
            <w:r>
              <w:rPr>
                <w:sz w:val="20"/>
              </w:rPr>
              <w:t>83.30</w:t>
            </w:r>
          </w:p>
        </w:tc>
        <w:tc>
          <w:tcPr>
            <w:tcW w:type="dxa" w:w="2436"/>
          </w:tcPr>
          <w:p>
            <w:r>
              <w:rPr>
                <w:sz w:val="20"/>
              </w:rPr>
              <w:t>23.48</w:t>
            </w:r>
          </w:p>
        </w:tc>
        <w:tc>
          <w:tcPr>
            <w:tcW w:type="dxa" w:w="2436"/>
          </w:tcPr>
          <w:p>
            <w:r>
              <w:rPr>
                <w:sz w:val="20"/>
              </w:rPr>
              <w:t>58.44</w:t>
            </w:r>
          </w:p>
        </w:tc>
      </w:tr>
      <w:tr>
        <w:tc>
          <w:tcPr>
            <w:tcW w:type="dxa" w:w="2436"/>
            <w:shd w:fill="E8F6F3"/>
          </w:tcPr>
          <w:p>
            <w:r>
              <w:rPr>
                <w:sz w:val="20"/>
              </w:rPr>
              <w:t>2025 (BU)</w:t>
            </w:r>
          </w:p>
        </w:tc>
        <w:tc>
          <w:tcPr>
            <w:tcW w:type="dxa" w:w="2436"/>
            <w:shd w:fill="E8F6F3"/>
          </w:tcPr>
          <w:p>
            <w:r>
              <w:rPr>
                <w:sz w:val="20"/>
              </w:rPr>
              <w:t>98.45</w:t>
            </w:r>
          </w:p>
        </w:tc>
        <w:tc>
          <w:tcPr>
            <w:tcW w:type="dxa" w:w="2436"/>
            <w:shd w:fill="E8F6F3"/>
          </w:tcPr>
          <w:p>
            <w:r>
              <w:rPr>
                <w:sz w:val="20"/>
              </w:rPr>
              <w:t>33.65</w:t>
            </w:r>
          </w:p>
        </w:tc>
        <w:tc>
          <w:tcPr>
            <w:tcW w:type="dxa" w:w="2436"/>
            <w:shd w:fill="E8F6F3"/>
          </w:tcPr>
          <w:p>
            <w:r>
              <w:rPr>
                <w:sz w:val="20"/>
              </w:rPr>
              <w:t>71.25</w:t>
            </w:r>
          </w:p>
        </w:tc>
      </w:tr>
      <w:tr>
        <w:tc>
          <w:tcPr>
            <w:tcW w:type="dxa" w:w="2436"/>
            <w:shd w:fill="B8E8DC"/>
          </w:tcPr>
          <w:p>
            <w:r>
              <w:rPr>
                <w:sz w:val="20"/>
              </w:rPr>
              <w:t>% Growth</w:t>
            </w:r>
          </w:p>
        </w:tc>
        <w:tc>
          <w:tcPr>
            <w:tcW w:type="dxa" w:w="2436"/>
            <w:shd w:fill="B8E8DC"/>
          </w:tcPr>
          <w:p>
            <w:r>
              <w:rPr>
                <w:sz w:val="20"/>
              </w:rPr>
              <w:t>18.2%</w:t>
            </w:r>
          </w:p>
        </w:tc>
        <w:tc>
          <w:tcPr>
            <w:tcW w:type="dxa" w:w="2436"/>
            <w:shd w:fill="B8E8DC"/>
          </w:tcPr>
          <w:p>
            <w:r>
              <w:rPr>
                <w:sz w:val="20"/>
              </w:rPr>
              <w:t>43.3% ★</w:t>
            </w:r>
          </w:p>
        </w:tc>
        <w:tc>
          <w:tcPr>
            <w:tcW w:type="dxa" w:w="2436"/>
            <w:shd w:fill="B8E8DC"/>
          </w:tcPr>
          <w:p>
            <w:r>
              <w:rPr>
                <w:sz w:val="20"/>
              </w:rPr>
              <w:t>21.9%</w:t>
            </w:r>
          </w:p>
        </w:tc>
      </w:tr>
      <w:tr>
        <w:tc>
          <w:tcPr>
            <w:tcW w:type="dxa" w:w="2436"/>
            <w:shd w:fill="B8E8DC"/>
          </w:tcPr>
          <w:p>
            <w:r>
              <w:rPr>
                <w:sz w:val="20"/>
              </w:rPr>
              <w:t>CAGR</w:t>
            </w:r>
          </w:p>
        </w:tc>
        <w:tc>
          <w:tcPr>
            <w:tcW w:type="dxa" w:w="2436"/>
            <w:shd w:fill="B8E8DC"/>
          </w:tcPr>
          <w:p>
            <w:r>
              <w:rPr>
                <w:sz w:val="20"/>
              </w:rPr>
              <w:t>5.8%</w:t>
            </w:r>
          </w:p>
        </w:tc>
        <w:tc>
          <w:tcPr>
            <w:tcW w:type="dxa" w:w="2436"/>
            <w:shd w:fill="B8E8DC"/>
          </w:tcPr>
          <w:p>
            <w:r>
              <w:rPr>
                <w:sz w:val="20"/>
              </w:rPr>
              <w:t>12.7% ★</w:t>
            </w:r>
          </w:p>
        </w:tc>
        <w:tc>
          <w:tcPr>
            <w:tcW w:type="dxa" w:w="2436"/>
            <w:shd w:fill="B8E8DC"/>
          </w:tcPr>
          <w:p>
            <w:r>
              <w:rPr>
                <w:sz w:val="20"/>
              </w:rPr>
              <w:t>6.7%</w:t>
            </w:r>
          </w:p>
        </w:tc>
      </w:tr>
      <w:tr>
        <w:tc>
          <w:tcPr>
            <w:tcW w:type="dxa" w:w="2436"/>
            <w:shd w:fill="B8E8DC"/>
          </w:tcPr>
          <w:p>
            <w:r>
              <w:rPr>
                <w:sz w:val="20"/>
              </w:rPr>
              <w:t>Best Single Year</w:t>
            </w:r>
          </w:p>
        </w:tc>
        <w:tc>
          <w:tcPr>
            <w:tcW w:type="dxa" w:w="2436"/>
            <w:shd w:fill="B8E8DC"/>
          </w:tcPr>
          <w:p>
            <w:r>
              <w:rPr>
                <w:sz w:val="20"/>
              </w:rPr>
              <w:t>6.8%</w:t>
            </w:r>
          </w:p>
        </w:tc>
        <w:tc>
          <w:tcPr>
            <w:tcW w:type="dxa" w:w="2436"/>
            <w:shd w:fill="B8E8DC"/>
          </w:tcPr>
          <w:p>
            <w:r>
              <w:rPr>
                <w:sz w:val="20"/>
              </w:rPr>
              <w:t>22.6% ★</w:t>
            </w:r>
          </w:p>
        </w:tc>
        <w:tc>
          <w:tcPr>
            <w:tcW w:type="dxa" w:w="2436"/>
            <w:shd w:fill="B8E8DC"/>
          </w:tcPr>
          <w:p>
            <w:r>
              <w:rPr>
                <w:sz w:val="20"/>
              </w:rPr>
              <w:t>9.9%</w:t>
            </w:r>
          </w:p>
        </w:tc>
      </w:tr>
    </w:tbl>
    <w:p/>
    <w:p>
      <w:pPr>
        <w:jc w:val="center"/>
      </w:pPr>
      <w:r>
        <w:drawing>
          <wp:inline xmlns:a="http://schemas.openxmlformats.org/drawingml/2006/main" xmlns:pic="http://schemas.openxmlformats.org/drawingml/2006/picture">
            <wp:extent cx="2606040" cy="1874520"/>
            <wp:docPr id="5" name="Picture 5"/>
            <wp:cNvGraphicFramePr>
              <a:graphicFrameLocks noChangeAspect="1"/>
            </wp:cNvGraphicFramePr>
            <a:graphic>
              <a:graphicData uri="http://schemas.openxmlformats.org/drawingml/2006/picture">
                <pic:pic>
                  <pic:nvPicPr>
                    <pic:cNvPr id="0" name="c03_growth_rates.png"/>
                    <pic:cNvPicPr/>
                  </pic:nvPicPr>
                  <pic:blipFill>
                    <a:blip r:embed="rId13"/>
                    <a:stretch>
                      <a:fillRect/>
                    </a:stretch>
                  </pic:blipFill>
                  <pic:spPr>
                    <a:xfrm>
                      <a:off x="0" y="0"/>
                      <a:ext cx="2606040" cy="1874520"/>
                    </a:xfrm>
                    <a:prstGeom prst="rect"/>
                  </pic:spPr>
                </pic:pic>
              </a:graphicData>
            </a:graphic>
          </wp:inline>
        </w:drawing>
      </w:r>
      <w:r>
        <w:t xml:space="preserve">   </w:t>
      </w:r>
      <w:r>
        <w:drawing>
          <wp:inline xmlns:a="http://schemas.openxmlformats.org/drawingml/2006/main" xmlns:pic="http://schemas.openxmlformats.org/drawingml/2006/picture">
            <wp:extent cx="2606040" cy="1874520"/>
            <wp:docPr id="6" name="Picture 6"/>
            <wp:cNvGraphicFramePr>
              <a:graphicFrameLocks noChangeAspect="1"/>
            </wp:cNvGraphicFramePr>
            <a:graphic>
              <a:graphicData uri="http://schemas.openxmlformats.org/drawingml/2006/picture">
                <pic:pic>
                  <pic:nvPicPr>
                    <pic:cNvPr id="0" name="c04_industrial.png"/>
                    <pic:cNvPicPr/>
                  </pic:nvPicPr>
                  <pic:blipFill>
                    <a:blip r:embed="rId14"/>
                    <a:stretch>
                      <a:fillRect/>
                    </a:stretch>
                  </pic:blipFill>
                  <pic:spPr>
                    <a:xfrm>
                      <a:off x="0" y="0"/>
                      <a:ext cx="2606040" cy="1874520"/>
                    </a:xfrm>
                    <a:prstGeom prst="rect"/>
                  </pic:spPr>
                </pic:pic>
              </a:graphicData>
            </a:graphic>
          </wp:inline>
        </w:drawing>
      </w:r>
    </w:p>
    <w:p>
      <w:pPr>
        <w:shd w:fill="D4EFF5"/>
      </w:pPr>
      <w:r>
        <w:rPr>
          <w:b/>
          <w:color w:val="1A6B7C"/>
          <w:sz w:val="22"/>
        </w:rPr>
        <w:t>Key Drivers of Sectoral Growth</w:t>
      </w:r>
    </w:p>
    <w:tbl>
      <w:tblPr>
        <w:tblStyle w:val="TableGrid"/>
        <w:tblW w:type="auto" w:w="0"/>
        <w:tblLook w:firstColumn="1" w:firstRow="1" w:lastColumn="0" w:lastRow="0" w:noHBand="0" w:noVBand="1" w:val="04A0"/>
      </w:tblPr>
      <w:tblGrid>
        <w:gridCol w:w="3249"/>
        <w:gridCol w:w="3249"/>
        <w:gridCol w:w="3249"/>
      </w:tblGrid>
      <w:tr>
        <w:tc>
          <w:tcPr>
            <w:tcW w:type="dxa" w:w="3249"/>
            <w:shd w:fill="1A6B7C"/>
          </w:tcPr>
          <w:p>
            <w:r>
              <w:rPr>
                <w:b/>
                <w:color w:val="FFFFFF"/>
                <w:sz w:val="20"/>
              </w:rPr>
              <w:t>Sector</w:t>
            </w:r>
          </w:p>
        </w:tc>
        <w:tc>
          <w:tcPr>
            <w:tcW w:type="dxa" w:w="3249"/>
            <w:shd w:fill="1A6B7C"/>
          </w:tcPr>
          <w:p>
            <w:r>
              <w:rPr>
                <w:b/>
                <w:color w:val="FFFFFF"/>
                <w:sz w:val="20"/>
              </w:rPr>
              <w:t>Growth</w:t>
            </w:r>
          </w:p>
        </w:tc>
        <w:tc>
          <w:tcPr>
            <w:tcW w:type="dxa" w:w="3249"/>
            <w:shd w:fill="1A6B7C"/>
          </w:tcPr>
          <w:p>
            <w:r>
              <w:rPr>
                <w:b/>
                <w:color w:val="FFFFFF"/>
                <w:sz w:val="20"/>
              </w:rPr>
              <w:t>Main Drivers (EDCC Briefing)</w:t>
            </w:r>
          </w:p>
        </w:tc>
      </w:tr>
      <w:tr>
        <w:tc>
          <w:tcPr>
            <w:tcW w:type="dxa" w:w="3249"/>
            <w:shd w:fill="B8E8DC"/>
          </w:tcPr>
          <w:p>
            <w:r>
              <w:rPr>
                <w:sz w:val="20"/>
              </w:rPr>
              <w:t>Industrial ★</w:t>
            </w:r>
          </w:p>
        </w:tc>
        <w:tc>
          <w:tcPr>
            <w:tcW w:type="dxa" w:w="3249"/>
            <w:shd w:fill="B8E8DC"/>
          </w:tcPr>
          <w:p>
            <w:r>
              <w:rPr>
                <w:sz w:val="20"/>
              </w:rPr>
              <w:t>43.3%</w:t>
            </w:r>
          </w:p>
        </w:tc>
        <w:tc>
          <w:tcPr>
            <w:tcW w:type="dxa" w:w="3249"/>
            <w:shd w:fill="B8E8DC"/>
          </w:tcPr>
          <w:p>
            <w:r>
              <w:rPr>
                <w:sz w:val="20"/>
              </w:rPr>
              <w:t>Industrial expansion; continuous peak demand; 22.6% surge 2022–23</w:t>
            </w:r>
          </w:p>
        </w:tc>
      </w:tr>
      <w:tr>
        <w:tc>
          <w:tcPr>
            <w:tcW w:type="dxa" w:w="3249"/>
            <w:shd w:fill="E8F6F3"/>
          </w:tcPr>
          <w:p>
            <w:r>
              <w:rPr>
                <w:sz w:val="20"/>
              </w:rPr>
              <w:t>Agriculture</w:t>
            </w:r>
          </w:p>
        </w:tc>
        <w:tc>
          <w:tcPr>
            <w:tcW w:type="dxa" w:w="3249"/>
            <w:shd w:fill="E8F6F3"/>
          </w:tcPr>
          <w:p>
            <w:r>
              <w:rPr>
                <w:sz w:val="20"/>
              </w:rPr>
              <w:t>18.2%</w:t>
            </w:r>
          </w:p>
        </w:tc>
        <w:tc>
          <w:tcPr>
            <w:tcW w:type="dxa" w:w="3249"/>
            <w:shd w:fill="E8F6F3"/>
          </w:tcPr>
          <w:p>
            <w:r>
              <w:rPr>
                <w:sz w:val="20"/>
              </w:rPr>
              <w:t>Increased agricultural irrigation; largest base (+15.15 BU)</w:t>
            </w:r>
          </w:p>
        </w:tc>
      </w:tr>
      <w:tr>
        <w:tc>
          <w:tcPr>
            <w:tcW w:type="dxa" w:w="3249"/>
          </w:tcPr>
          <w:p>
            <w:r>
              <w:rPr>
                <w:sz w:val="20"/>
              </w:rPr>
              <w:t>Domestic</w:t>
            </w:r>
          </w:p>
        </w:tc>
        <w:tc>
          <w:tcPr>
            <w:tcW w:type="dxa" w:w="3249"/>
          </w:tcPr>
          <w:p>
            <w:r>
              <w:rPr>
                <w:sz w:val="20"/>
              </w:rPr>
              <w:t>21.9%</w:t>
            </w:r>
          </w:p>
        </w:tc>
        <w:tc>
          <w:tcPr>
            <w:tcW w:type="dxa" w:w="3249"/>
          </w:tcPr>
          <w:p>
            <w:r>
              <w:rPr>
                <w:sz w:val="20"/>
              </w:rPr>
              <w:t>Rapid urbanisation; higher use of air conditioners</w:t>
            </w:r>
          </w:p>
        </w:tc>
      </w:tr>
    </w:tbl>
    <w:p/>
    <w:p>
      <w:pPr>
        <w:jc w:val="center"/>
      </w:pPr>
      <w:r>
        <w:rPr>
          <w:i/>
          <w:color w:val="788C96"/>
          <w:sz w:val="16"/>
        </w:rPr>
        <w:t>Page 3 | EDCC Complete Analytical Report — Jaya</w:t>
      </w:r>
    </w:p>
    <w:p>
      <w:r>
        <w:br w:type="page"/>
      </w:r>
    </w:p>
    <w:p>
      <w:pPr>
        <w:spacing w:after="0"/>
        <w:jc w:val="center"/>
        <w:shd w:fill="1A6B7C"/>
      </w:pPr>
      <w:r>
        <w:rPr>
          <w:b/>
          <w:color w:val="FFFFFF"/>
          <w:sz w:val="28"/>
        </w:rPr>
        <w:t>Electricity Demand and Supply Dynamics</w:t>
      </w:r>
    </w:p>
    <w:p>
      <w:pPr>
        <w:spacing w:after="0"/>
        <w:jc w:val="center"/>
        <w:shd w:fill="3D9EB5"/>
      </w:pPr>
      <w:r>
        <w:rPr>
          <w:b/>
          <w:color w:val="FFFFFF"/>
          <w:sz w:val="22"/>
        </w:rPr>
        <w:t>Comparison of Demand and Supply Trends (2022–2025)</w:t>
      </w:r>
    </w:p>
    <w:p>
      <w:pPr>
        <w:shd w:fill="3D9EB5"/>
      </w:pPr>
      <w:r>
        <w:rPr>
          <w:b/>
          <w:color w:val="FFFFFF"/>
          <w:sz w:val="22"/>
        </w:rPr>
        <w:t>★ KEY POINTS — Page 4</w:t>
      </w:r>
    </w:p>
    <w:p>
      <w:pPr>
        <w:pStyle w:val="ListBullet"/>
        <w:shd w:fill="E8F6F3"/>
      </w:pPr>
      <w:r>
        <w:rPr>
          <w:sz w:val="20"/>
        </w:rPr>
        <w:t>Total demand grew: 182 → 221 BU (+21.4%)</w:t>
      </w:r>
    </w:p>
    <w:p>
      <w:pPr>
        <w:pStyle w:val="ListBullet"/>
        <w:shd w:fill="E8F6F3"/>
      </w:pPr>
      <w:r>
        <w:rPr>
          <w:sz w:val="20"/>
        </w:rPr>
        <w:t>Total supply grew: 178 → 212 BU (+19.1%)</w:t>
      </w:r>
    </w:p>
    <w:p>
      <w:pPr>
        <w:pStyle w:val="ListBullet"/>
        <w:shd w:fill="E8F6F3"/>
      </w:pPr>
      <w:r>
        <w:rPr>
          <w:sz w:val="20"/>
        </w:rPr>
        <w:t>★ Demand-Supply GAP WIDENED: 4 BU → 9 BU (more than doubled)</w:t>
      </w:r>
    </w:p>
    <w:p>
      <w:pPr>
        <w:pStyle w:val="ListBullet"/>
        <w:shd w:fill="E8F6F3"/>
      </w:pPr>
      <w:r>
        <w:rPr>
          <w:sz w:val="20"/>
        </w:rPr>
        <w:t>Gap as % of demand: 2.2% → 4.1% — supply falling behind demand</w:t>
      </w:r>
    </w:p>
    <w:p>
      <w:pPr>
        <w:pStyle w:val="ListBullet"/>
        <w:shd w:fill="E8F6F3"/>
      </w:pPr>
      <w:r>
        <w:rPr>
          <w:sz w:val="20"/>
        </w:rPr>
        <w:t>Risk: load shedding, voltage instability, costly short-term power purchases</w:t>
      </w:r>
    </w:p>
    <w:p>
      <w:pPr>
        <w:shd w:fill="D4EFF5"/>
      </w:pPr>
      <w:r>
        <w:rPr>
          <w:b/>
          <w:sz w:val="21"/>
        </w:rPr>
        <w:t>CRITICAL CONCERN: Supply is not keeping pace with demand — gap widens by 1-2 BU every year.</w:t>
      </w:r>
    </w:p>
    <w:p>
      <w:pPr>
        <w:shd w:fill="D4EFF5"/>
      </w:pPr>
      <w:r>
        <w:rPr>
          <w:b/>
          <w:color w:val="1A6B7C"/>
          <w:sz w:val="22"/>
        </w:rPr>
        <w:t>Table 2: Electricity Demand and Supply (Billion Units)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A6B7C"/>
          </w:tcPr>
          <w:p>
            <w:r>
              <w:rPr>
                <w:b/>
                <w:color w:val="FFFFFF"/>
                <w:sz w:val="20"/>
              </w:rPr>
              <w:t>Year</w:t>
            </w:r>
          </w:p>
        </w:tc>
        <w:tc>
          <w:tcPr>
            <w:tcW w:type="dxa" w:w="1949"/>
            <w:shd w:fill="1A6B7C"/>
          </w:tcPr>
          <w:p>
            <w:r>
              <w:rPr>
                <w:b/>
                <w:color w:val="FFFFFF"/>
                <w:sz w:val="20"/>
              </w:rPr>
              <w:t>Demand (BU)</w:t>
            </w:r>
          </w:p>
        </w:tc>
        <w:tc>
          <w:tcPr>
            <w:tcW w:type="dxa" w:w="1949"/>
            <w:shd w:fill="1A6B7C"/>
          </w:tcPr>
          <w:p>
            <w:r>
              <w:rPr>
                <w:b/>
                <w:color w:val="FFFFFF"/>
                <w:sz w:val="20"/>
              </w:rPr>
              <w:t>Supply (BU)</w:t>
            </w:r>
          </w:p>
        </w:tc>
        <w:tc>
          <w:tcPr>
            <w:tcW w:type="dxa" w:w="1949"/>
            <w:shd w:fill="1A6B7C"/>
          </w:tcPr>
          <w:p>
            <w:r>
              <w:rPr>
                <w:b/>
                <w:color w:val="FFFFFF"/>
                <w:sz w:val="20"/>
              </w:rPr>
              <w:t>Gap (BU)</w:t>
            </w:r>
          </w:p>
        </w:tc>
        <w:tc>
          <w:tcPr>
            <w:tcW w:type="dxa" w:w="1949"/>
            <w:shd w:fill="1A6B7C"/>
          </w:tcPr>
          <w:p>
            <w:r>
              <w:rPr>
                <w:b/>
                <w:color w:val="FFFFFF"/>
                <w:sz w:val="20"/>
              </w:rPr>
              <w:t>Gap %</w:t>
            </w:r>
          </w:p>
        </w:tc>
      </w:tr>
      <w:tr>
        <w:tc>
          <w:tcPr>
            <w:tcW w:type="dxa" w:w="1949"/>
          </w:tcPr>
          <w:p>
            <w:r>
              <w:rPr>
                <w:sz w:val="20"/>
              </w:rPr>
              <w:t>2022</w:t>
            </w:r>
          </w:p>
        </w:tc>
        <w:tc>
          <w:tcPr>
            <w:tcW w:type="dxa" w:w="1949"/>
          </w:tcPr>
          <w:p>
            <w:r>
              <w:rPr>
                <w:sz w:val="20"/>
              </w:rPr>
              <w:t>182</w:t>
            </w:r>
          </w:p>
        </w:tc>
        <w:tc>
          <w:tcPr>
            <w:tcW w:type="dxa" w:w="1949"/>
          </w:tcPr>
          <w:p>
            <w:r>
              <w:rPr>
                <w:sz w:val="20"/>
              </w:rPr>
              <w:t>178</w:t>
            </w:r>
          </w:p>
        </w:tc>
        <w:tc>
          <w:tcPr>
            <w:tcW w:type="dxa" w:w="1949"/>
          </w:tcPr>
          <w:p>
            <w:r>
              <w:rPr>
                <w:sz w:val="20"/>
              </w:rPr>
              <w:t>4</w:t>
            </w:r>
          </w:p>
        </w:tc>
        <w:tc>
          <w:tcPr>
            <w:tcW w:type="dxa" w:w="1949"/>
          </w:tcPr>
          <w:p>
            <w:r>
              <w:rPr>
                <w:sz w:val="20"/>
              </w:rPr>
              <w:t>2.2%</w:t>
            </w:r>
          </w:p>
        </w:tc>
      </w:tr>
      <w:tr>
        <w:tc>
          <w:tcPr>
            <w:tcW w:type="dxa" w:w="1949"/>
            <w:shd w:fill="E8F6F3"/>
          </w:tcPr>
          <w:p>
            <w:r>
              <w:rPr>
                <w:sz w:val="20"/>
              </w:rPr>
              <w:t>2023</w:t>
            </w:r>
          </w:p>
        </w:tc>
        <w:tc>
          <w:tcPr>
            <w:tcW w:type="dxa" w:w="1949"/>
            <w:shd w:fill="E8F6F3"/>
          </w:tcPr>
          <w:p>
            <w:r>
              <w:rPr>
                <w:sz w:val="20"/>
              </w:rPr>
              <w:t>194</w:t>
            </w:r>
          </w:p>
        </w:tc>
        <w:tc>
          <w:tcPr>
            <w:tcW w:type="dxa" w:w="1949"/>
            <w:shd w:fill="E8F6F3"/>
          </w:tcPr>
          <w:p>
            <w:r>
              <w:rPr>
                <w:sz w:val="20"/>
              </w:rPr>
              <w:t>189</w:t>
            </w:r>
          </w:p>
        </w:tc>
        <w:tc>
          <w:tcPr>
            <w:tcW w:type="dxa" w:w="1949"/>
            <w:shd w:fill="E8F6F3"/>
          </w:tcPr>
          <w:p>
            <w:r>
              <w:rPr>
                <w:sz w:val="20"/>
              </w:rPr>
              <w:t>5</w:t>
            </w:r>
          </w:p>
        </w:tc>
        <w:tc>
          <w:tcPr>
            <w:tcW w:type="dxa" w:w="1949"/>
            <w:shd w:fill="E8F6F3"/>
          </w:tcPr>
          <w:p>
            <w:r>
              <w:rPr>
                <w:sz w:val="20"/>
              </w:rPr>
              <w:t>2.6%</w:t>
            </w:r>
          </w:p>
        </w:tc>
      </w:tr>
      <w:tr>
        <w:tc>
          <w:tcPr>
            <w:tcW w:type="dxa" w:w="1949"/>
          </w:tcPr>
          <w:p>
            <w:r>
              <w:rPr>
                <w:sz w:val="20"/>
              </w:rPr>
              <w:t>2024</w:t>
            </w:r>
          </w:p>
        </w:tc>
        <w:tc>
          <w:tcPr>
            <w:tcW w:type="dxa" w:w="1949"/>
          </w:tcPr>
          <w:p>
            <w:r>
              <w:rPr>
                <w:sz w:val="20"/>
              </w:rPr>
              <w:t>206</w:t>
            </w:r>
          </w:p>
        </w:tc>
        <w:tc>
          <w:tcPr>
            <w:tcW w:type="dxa" w:w="1949"/>
          </w:tcPr>
          <w:p>
            <w:r>
              <w:rPr>
                <w:sz w:val="20"/>
              </w:rPr>
              <w:t>199</w:t>
            </w:r>
          </w:p>
        </w:tc>
        <w:tc>
          <w:tcPr>
            <w:tcW w:type="dxa" w:w="1949"/>
          </w:tcPr>
          <w:p>
            <w:r>
              <w:rPr>
                <w:sz w:val="20"/>
              </w:rPr>
              <w:t>7</w:t>
            </w:r>
          </w:p>
        </w:tc>
        <w:tc>
          <w:tcPr>
            <w:tcW w:type="dxa" w:w="1949"/>
          </w:tcPr>
          <w:p>
            <w:r>
              <w:rPr>
                <w:sz w:val="20"/>
              </w:rPr>
              <w:t>3.4%</w:t>
            </w:r>
          </w:p>
        </w:tc>
      </w:tr>
      <w:tr>
        <w:tc>
          <w:tcPr>
            <w:tcW w:type="dxa" w:w="1949"/>
            <w:shd w:fill="B8E8DC"/>
          </w:tcPr>
          <w:p>
            <w:r>
              <w:rPr>
                <w:sz w:val="20"/>
              </w:rPr>
              <w:t>2025</w:t>
            </w:r>
          </w:p>
        </w:tc>
        <w:tc>
          <w:tcPr>
            <w:tcW w:type="dxa" w:w="1949"/>
            <w:shd w:fill="B8E8DC"/>
          </w:tcPr>
          <w:p>
            <w:r>
              <w:rPr>
                <w:sz w:val="20"/>
              </w:rPr>
              <w:t>221</w:t>
            </w:r>
          </w:p>
        </w:tc>
        <w:tc>
          <w:tcPr>
            <w:tcW w:type="dxa" w:w="1949"/>
            <w:shd w:fill="B8E8DC"/>
          </w:tcPr>
          <w:p>
            <w:r>
              <w:rPr>
                <w:sz w:val="20"/>
              </w:rPr>
              <w:t>212</w:t>
            </w:r>
          </w:p>
        </w:tc>
        <w:tc>
          <w:tcPr>
            <w:tcW w:type="dxa" w:w="1949"/>
            <w:shd w:fill="B8E8DC"/>
          </w:tcPr>
          <w:p>
            <w:r>
              <w:rPr>
                <w:sz w:val="20"/>
              </w:rPr>
              <w:t>9 ★</w:t>
            </w:r>
          </w:p>
        </w:tc>
        <w:tc>
          <w:tcPr>
            <w:tcW w:type="dxa" w:w="1949"/>
            <w:shd w:fill="B8E8DC"/>
          </w:tcPr>
          <w:p>
            <w:r>
              <w:rPr>
                <w:sz w:val="20"/>
              </w:rPr>
              <w:t>4.1% ★</w:t>
            </w:r>
          </w:p>
        </w:tc>
      </w:tr>
    </w:tbl>
    <w:p/>
    <w:p>
      <w:pPr>
        <w:jc w:val="both"/>
      </w:pPr>
      <w:r>
        <w:rPr>
          <w:sz w:val="21"/>
        </w:rPr>
        <w:t>Although supply has grown in absolute terms, the demand-supply gap has more than doubled from 4 BU to 9 BU. Each year, unmet demand increased by 1–2 BU, indicating incremental generation and transmission capacity additions are falling short of demand growth.</w:t>
      </w:r>
    </w:p>
    <w:p>
      <w:pPr>
        <w:shd w:fill="D4EFF5"/>
      </w:pPr>
      <w:r>
        <w:rPr>
          <w:b/>
          <w:color w:val="1A6B7C"/>
          <w:sz w:val="22"/>
        </w:rPr>
        <w:t>Critical Concerns in the Power Sector</w:t>
      </w:r>
    </w:p>
    <w:p>
      <w:pPr>
        <w:pStyle w:val="ListBullet"/>
      </w:pPr>
      <w:r>
        <w:rPr>
          <w:sz w:val="20"/>
        </w:rPr>
        <w:t>Managing peak demand during summer and extreme weather periods</w:t>
      </w:r>
    </w:p>
    <w:p>
      <w:pPr>
        <w:pStyle w:val="ListBullet"/>
      </w:pPr>
      <w:r>
        <w:rPr>
          <w:sz w:val="20"/>
        </w:rPr>
        <w:t>Financial health of DISCOMs limiting infrastructure investment</w:t>
      </w:r>
    </w:p>
    <w:p>
      <w:pPr>
        <w:pStyle w:val="ListBullet"/>
      </w:pPr>
      <w:r>
        <w:rPr>
          <w:sz w:val="20"/>
        </w:rPr>
        <w:t>Continued dependence on coal for round-the-clock baseload supply</w:t>
      </w:r>
    </w:p>
    <w:p>
      <w:pPr>
        <w:pStyle w:val="ListBullet"/>
      </w:pPr>
      <w:r>
        <w:rPr>
          <w:sz w:val="20"/>
        </w:rPr>
        <w:t>Integration challenges of variable renewable energy sources</w:t>
      </w:r>
    </w:p>
    <w:p>
      <w:pPr>
        <w:pStyle w:val="ListBullet"/>
      </w:pPr>
      <w:r>
        <w:rPr>
          <w:sz w:val="20"/>
        </w:rPr>
        <w:t>Widening demand-supply gap threatening energy security</w:t>
      </w:r>
    </w:p>
    <w:p>
      <w:pPr>
        <w:jc w:val="center"/>
      </w:pPr>
      <w:r>
        <w:drawing>
          <wp:inline xmlns:a="http://schemas.openxmlformats.org/drawingml/2006/main" xmlns:pic="http://schemas.openxmlformats.org/drawingml/2006/picture">
            <wp:extent cx="2606040" cy="1873878"/>
            <wp:docPr id="7" name="Picture 7"/>
            <wp:cNvGraphicFramePr>
              <a:graphicFrameLocks noChangeAspect="1"/>
            </wp:cNvGraphicFramePr>
            <a:graphic>
              <a:graphicData uri="http://schemas.openxmlformats.org/drawingml/2006/picture">
                <pic:pic>
                  <pic:nvPicPr>
                    <pic:cNvPr id="0" name="c05_demand_supply.png"/>
                    <pic:cNvPicPr/>
                  </pic:nvPicPr>
                  <pic:blipFill>
                    <a:blip r:embed="rId12"/>
                    <a:stretch>
                      <a:fillRect/>
                    </a:stretch>
                  </pic:blipFill>
                  <pic:spPr>
                    <a:xfrm>
                      <a:off x="0" y="0"/>
                      <a:ext cx="2606040" cy="1873878"/>
                    </a:xfrm>
                    <a:prstGeom prst="rect"/>
                  </pic:spPr>
                </pic:pic>
              </a:graphicData>
            </a:graphic>
          </wp:inline>
        </w:drawing>
      </w:r>
      <w:r>
        <w:t xml:space="preserve">   </w:t>
      </w:r>
      <w:r>
        <w:drawing>
          <wp:inline xmlns:a="http://schemas.openxmlformats.org/drawingml/2006/main" xmlns:pic="http://schemas.openxmlformats.org/drawingml/2006/picture">
            <wp:extent cx="2606040" cy="1874520"/>
            <wp:docPr id="8" name="Picture 8"/>
            <wp:cNvGraphicFramePr>
              <a:graphicFrameLocks noChangeAspect="1"/>
            </wp:cNvGraphicFramePr>
            <a:graphic>
              <a:graphicData uri="http://schemas.openxmlformats.org/drawingml/2006/picture">
                <pic:pic>
                  <pic:nvPicPr>
                    <pic:cNvPr id="0" name="c06_gap_trend.png"/>
                    <pic:cNvPicPr/>
                  </pic:nvPicPr>
                  <pic:blipFill>
                    <a:blip r:embed="rId15"/>
                    <a:stretch>
                      <a:fillRect/>
                    </a:stretch>
                  </pic:blipFill>
                  <pic:spPr>
                    <a:xfrm>
                      <a:off x="0" y="0"/>
                      <a:ext cx="2606040" cy="1874520"/>
                    </a:xfrm>
                    <a:prstGeom prst="rect"/>
                  </pic:spPr>
                </pic:pic>
              </a:graphicData>
            </a:graphic>
          </wp:inline>
        </w:drawing>
      </w:r>
    </w:p>
    <w:p>
      <w:pPr>
        <w:jc w:val="center"/>
      </w:pPr>
      <w:r>
        <w:rPr>
          <w:i/>
          <w:color w:val="788C96"/>
          <w:sz w:val="16"/>
        </w:rPr>
        <w:t>Page 4 | EDCC Complete Analytical Report</w:t>
      </w:r>
    </w:p>
    <w:p>
      <w:r>
        <w:br w:type="page"/>
      </w:r>
    </w:p>
    <w:p>
      <w:pPr>
        <w:spacing w:after="0"/>
        <w:jc w:val="center"/>
        <w:shd w:fill="1A6B7C"/>
      </w:pPr>
      <w:r>
        <w:rPr>
          <w:b/>
          <w:color w:val="FFFFFF"/>
          <w:sz w:val="28"/>
        </w:rPr>
        <w:t>Renewable Energy and Infrastructure Efficiency</w:t>
      </w:r>
    </w:p>
    <w:p>
      <w:pPr>
        <w:spacing w:after="0"/>
        <w:jc w:val="center"/>
        <w:shd w:fill="3D9EB5"/>
      </w:pPr>
      <w:r>
        <w:rPr>
          <w:b/>
          <w:color w:val="FFFFFF"/>
          <w:sz w:val="22"/>
        </w:rPr>
        <w:t>Progress in RE Adoption &amp; T&amp;D Loss Reduction (2022–2025)</w:t>
      </w:r>
    </w:p>
    <w:p>
      <w:pPr>
        <w:shd w:fill="3D9EB5"/>
      </w:pPr>
      <w:r>
        <w:rPr>
          <w:b/>
          <w:color w:val="FFFFFF"/>
          <w:sz w:val="22"/>
        </w:rPr>
        <w:t>★ KEY POINTS — Page 5</w:t>
      </w:r>
    </w:p>
    <w:p>
      <w:pPr>
        <w:pStyle w:val="ListBullet"/>
        <w:shd w:fill="E8F6F3"/>
      </w:pPr>
      <w:r>
        <w:rPr>
          <w:sz w:val="20"/>
        </w:rPr>
        <w:t>Renewable energy share: 24% → 35% (+11 percentage points in 4 years)</w:t>
      </w:r>
    </w:p>
    <w:p>
      <w:pPr>
        <w:pStyle w:val="ListBullet"/>
        <w:shd w:fill="E8F6F3"/>
      </w:pPr>
      <w:r>
        <w:rPr>
          <w:sz w:val="20"/>
        </w:rPr>
        <w:t>T&amp;D losses reduced: 18% → 15% (-3 percentage points)</w:t>
      </w:r>
    </w:p>
    <w:p>
      <w:pPr>
        <w:pStyle w:val="ListBullet"/>
        <w:shd w:fill="E8F6F3"/>
      </w:pPr>
      <w:r>
        <w:rPr>
          <w:sz w:val="20"/>
        </w:rPr>
        <w:t>Government targets AT&amp;C losses of 12–15% under RDSS scheme</w:t>
      </w:r>
    </w:p>
    <w:p>
      <w:pPr>
        <w:pStyle w:val="ListBullet"/>
        <w:shd w:fill="E8F6F3"/>
      </w:pPr>
      <w:r>
        <w:rPr>
          <w:sz w:val="20"/>
        </w:rPr>
        <w:t>RE growth must be matched by storage, transmission &amp; grid modernisation</w:t>
      </w:r>
    </w:p>
    <w:p>
      <w:pPr>
        <w:pStyle w:val="ListBullet"/>
        <w:shd w:fill="E8F6F3"/>
      </w:pPr>
      <w:r>
        <w:rPr>
          <w:sz w:val="20"/>
        </w:rPr>
        <w:t>Reducing losses = more electricity reaches paying consumers without new generation</w:t>
      </w:r>
    </w:p>
    <w:p>
      <w:pPr>
        <w:shd w:fill="D4EFF5"/>
      </w:pPr>
      <w:r>
        <w:rPr>
          <w:b/>
          <w:color w:val="1A6B7C"/>
          <w:sz w:val="22"/>
        </w:rPr>
        <w:t>Table 3: Renewable Energy and Transmission Losses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1A6B7C"/>
          </w:tcPr>
          <w:p>
            <w:r>
              <w:rPr>
                <w:b/>
                <w:color w:val="FFFFFF"/>
                <w:sz w:val="20"/>
              </w:rPr>
              <w:t>Indicator</w:t>
            </w:r>
          </w:p>
        </w:tc>
        <w:tc>
          <w:tcPr>
            <w:tcW w:type="dxa" w:w="1624"/>
            <w:shd w:fill="1A6B7C"/>
          </w:tcPr>
          <w:p>
            <w:r>
              <w:rPr>
                <w:b/>
                <w:color w:val="FFFFFF"/>
                <w:sz w:val="20"/>
              </w:rPr>
              <w:t>2022</w:t>
            </w:r>
          </w:p>
        </w:tc>
        <w:tc>
          <w:tcPr>
            <w:tcW w:type="dxa" w:w="1624"/>
            <w:shd w:fill="1A6B7C"/>
          </w:tcPr>
          <w:p>
            <w:r>
              <w:rPr>
                <w:b/>
                <w:color w:val="FFFFFF"/>
                <w:sz w:val="20"/>
              </w:rPr>
              <w:t>2023</w:t>
            </w:r>
          </w:p>
        </w:tc>
        <w:tc>
          <w:tcPr>
            <w:tcW w:type="dxa" w:w="1624"/>
            <w:shd w:fill="1A6B7C"/>
          </w:tcPr>
          <w:p>
            <w:r>
              <w:rPr>
                <w:b/>
                <w:color w:val="FFFFFF"/>
                <w:sz w:val="20"/>
              </w:rPr>
              <w:t>2024</w:t>
            </w:r>
          </w:p>
        </w:tc>
        <w:tc>
          <w:tcPr>
            <w:tcW w:type="dxa" w:w="1624"/>
            <w:shd w:fill="1A6B7C"/>
          </w:tcPr>
          <w:p>
            <w:r>
              <w:rPr>
                <w:b/>
                <w:color w:val="FFFFFF"/>
                <w:sz w:val="20"/>
              </w:rPr>
              <w:t>2025</w:t>
            </w:r>
          </w:p>
        </w:tc>
        <w:tc>
          <w:tcPr>
            <w:tcW w:type="dxa" w:w="1624"/>
            <w:shd w:fill="1A6B7C"/>
          </w:tcPr>
          <w:p>
            <w:r>
              <w:rPr>
                <w:b/>
                <w:color w:val="FFFFFF"/>
                <w:sz w:val="20"/>
              </w:rPr>
              <w:t>Change</w:t>
            </w:r>
          </w:p>
        </w:tc>
      </w:tr>
      <w:tr>
        <w:tc>
          <w:tcPr>
            <w:tcW w:type="dxa" w:w="1624"/>
            <w:shd w:fill="B8E8DC"/>
          </w:tcPr>
          <w:p>
            <w:r>
              <w:rPr>
                <w:sz w:val="20"/>
              </w:rPr>
              <w:t>Renewable Energy Share (%)</w:t>
            </w:r>
          </w:p>
        </w:tc>
        <w:tc>
          <w:tcPr>
            <w:tcW w:type="dxa" w:w="1624"/>
            <w:shd w:fill="B8E8DC"/>
          </w:tcPr>
          <w:p>
            <w:r>
              <w:rPr>
                <w:sz w:val="20"/>
              </w:rPr>
              <w:t>24</w:t>
            </w:r>
          </w:p>
        </w:tc>
        <w:tc>
          <w:tcPr>
            <w:tcW w:type="dxa" w:w="1624"/>
            <w:shd w:fill="B8E8DC"/>
          </w:tcPr>
          <w:p>
            <w:r>
              <w:rPr>
                <w:sz w:val="20"/>
              </w:rPr>
              <w:t>27</w:t>
            </w:r>
          </w:p>
        </w:tc>
        <w:tc>
          <w:tcPr>
            <w:tcW w:type="dxa" w:w="1624"/>
            <w:shd w:fill="B8E8DC"/>
          </w:tcPr>
          <w:p>
            <w:r>
              <w:rPr>
                <w:sz w:val="20"/>
              </w:rPr>
              <w:t>31</w:t>
            </w:r>
          </w:p>
        </w:tc>
        <w:tc>
          <w:tcPr>
            <w:tcW w:type="dxa" w:w="1624"/>
            <w:shd w:fill="B8E8DC"/>
          </w:tcPr>
          <w:p>
            <w:r>
              <w:rPr>
                <w:sz w:val="20"/>
              </w:rPr>
              <w:t>35</w:t>
            </w:r>
          </w:p>
        </w:tc>
        <w:tc>
          <w:tcPr>
            <w:tcW w:type="dxa" w:w="1624"/>
            <w:shd w:fill="B8E8DC"/>
          </w:tcPr>
          <w:p>
            <w:r>
              <w:rPr>
                <w:sz w:val="20"/>
              </w:rPr>
              <w:t>+11 pp ★</w:t>
            </w:r>
          </w:p>
        </w:tc>
      </w:tr>
      <w:tr>
        <w:tc>
          <w:tcPr>
            <w:tcW w:type="dxa" w:w="1624"/>
            <w:shd w:fill="B8E8DC"/>
          </w:tcPr>
          <w:p>
            <w:r>
              <w:rPr>
                <w:sz w:val="20"/>
              </w:rPr>
              <w:t>T&amp;D Losses (%)</w:t>
            </w:r>
          </w:p>
        </w:tc>
        <w:tc>
          <w:tcPr>
            <w:tcW w:type="dxa" w:w="1624"/>
            <w:shd w:fill="B8E8DC"/>
          </w:tcPr>
          <w:p>
            <w:r>
              <w:rPr>
                <w:sz w:val="20"/>
              </w:rPr>
              <w:t>18</w:t>
            </w:r>
          </w:p>
        </w:tc>
        <w:tc>
          <w:tcPr>
            <w:tcW w:type="dxa" w:w="1624"/>
            <w:shd w:fill="B8E8DC"/>
          </w:tcPr>
          <w:p>
            <w:r>
              <w:rPr>
                <w:sz w:val="20"/>
              </w:rPr>
              <w:t>17</w:t>
            </w:r>
          </w:p>
        </w:tc>
        <w:tc>
          <w:tcPr>
            <w:tcW w:type="dxa" w:w="1624"/>
            <w:shd w:fill="B8E8DC"/>
          </w:tcPr>
          <w:p>
            <w:r>
              <w:rPr>
                <w:sz w:val="20"/>
              </w:rPr>
              <w:t>16</w:t>
            </w:r>
          </w:p>
        </w:tc>
        <w:tc>
          <w:tcPr>
            <w:tcW w:type="dxa" w:w="1624"/>
            <w:shd w:fill="B8E8DC"/>
          </w:tcPr>
          <w:p>
            <w:r>
              <w:rPr>
                <w:sz w:val="20"/>
              </w:rPr>
              <w:t>15</w:t>
            </w:r>
          </w:p>
        </w:tc>
        <w:tc>
          <w:tcPr>
            <w:tcW w:type="dxa" w:w="1624"/>
            <w:shd w:fill="B8E8DC"/>
          </w:tcPr>
          <w:p>
            <w:r>
              <w:rPr>
                <w:sz w:val="20"/>
              </w:rPr>
              <w:t>-3 pp ★</w:t>
            </w:r>
          </w:p>
        </w:tc>
      </w:tr>
    </w:tbl>
    <w:p/>
    <w:p>
      <w:pPr>
        <w:jc w:val="both"/>
      </w:pPr>
      <w:r>
        <w:rPr>
          <w:sz w:val="21"/>
        </w:rPr>
        <w:t>India has made significant progress in renewable energy adoption, with share rising from 24% to 35%. T&amp;D losses declined steadily from 18% to 15%, showing improvement in distribution efficiency. However, further reduction is needed to reach international benchmarks and RDSS targets of 12–15%.</w:t>
      </w:r>
    </w:p>
    <w:p>
      <w:pPr>
        <w:jc w:val="both"/>
      </w:pPr>
      <w:r>
        <w:rPr>
          <w:sz w:val="21"/>
        </w:rPr>
        <w:t>The challenge is shifting from capacity creation to efficient and reliable demand management — ensuring electricity is available when and where needed, especially during peak periods when solar generation is unavailable.</w:t>
      </w:r>
    </w:p>
    <w:p>
      <w:pPr>
        <w:jc w:val="center"/>
      </w:pPr>
      <w:r>
        <w:drawing>
          <wp:inline xmlns:a="http://schemas.openxmlformats.org/drawingml/2006/main" xmlns:pic="http://schemas.openxmlformats.org/drawingml/2006/picture">
            <wp:extent cx="2606040" cy="1874520"/>
            <wp:docPr id="9" name="Picture 9"/>
            <wp:cNvGraphicFramePr>
              <a:graphicFrameLocks noChangeAspect="1"/>
            </wp:cNvGraphicFramePr>
            <a:graphic>
              <a:graphicData uri="http://schemas.openxmlformats.org/drawingml/2006/picture">
                <pic:pic>
                  <pic:nvPicPr>
                    <pic:cNvPr id="0" name="c07_renewable.png"/>
                    <pic:cNvPicPr/>
                  </pic:nvPicPr>
                  <pic:blipFill>
                    <a:blip r:embed="rId16"/>
                    <a:stretch>
                      <a:fillRect/>
                    </a:stretch>
                  </pic:blipFill>
                  <pic:spPr>
                    <a:xfrm>
                      <a:off x="0" y="0"/>
                      <a:ext cx="2606040" cy="1874520"/>
                    </a:xfrm>
                    <a:prstGeom prst="rect"/>
                  </pic:spPr>
                </pic:pic>
              </a:graphicData>
            </a:graphic>
          </wp:inline>
        </w:drawing>
      </w:r>
      <w:r>
        <w:t xml:space="preserve">   </w:t>
      </w:r>
      <w:r>
        <w:drawing>
          <wp:inline xmlns:a="http://schemas.openxmlformats.org/drawingml/2006/main" xmlns:pic="http://schemas.openxmlformats.org/drawingml/2006/picture">
            <wp:extent cx="2606040" cy="1874520"/>
            <wp:docPr id="10" name="Picture 10"/>
            <wp:cNvGraphicFramePr>
              <a:graphicFrameLocks noChangeAspect="1"/>
            </wp:cNvGraphicFramePr>
            <a:graphic>
              <a:graphicData uri="http://schemas.openxmlformats.org/drawingml/2006/picture">
                <pic:pic>
                  <pic:nvPicPr>
                    <pic:cNvPr id="0" name="c08_td_losses.png"/>
                    <pic:cNvPicPr/>
                  </pic:nvPicPr>
                  <pic:blipFill>
                    <a:blip r:embed="rId17"/>
                    <a:stretch>
                      <a:fillRect/>
                    </a:stretch>
                  </pic:blipFill>
                  <pic:spPr>
                    <a:xfrm>
                      <a:off x="0" y="0"/>
                      <a:ext cx="2606040" cy="1874520"/>
                    </a:xfrm>
                    <a:prstGeom prst="rect"/>
                  </pic:spPr>
                </pic:pic>
              </a:graphicData>
            </a:graphic>
          </wp:inline>
        </w:drawing>
      </w:r>
    </w:p>
    <w:p>
      <w:pPr>
        <w:jc w:val="center"/>
      </w:pPr>
      <w:r>
        <w:drawing>
          <wp:inline xmlns:a="http://schemas.openxmlformats.org/drawingml/2006/main" xmlns:pic="http://schemas.openxmlformats.org/drawingml/2006/picture">
            <wp:extent cx="2606040" cy="1872234"/>
            <wp:docPr id="11" name="Picture 11"/>
            <wp:cNvGraphicFramePr>
              <a:graphicFrameLocks noChangeAspect="1"/>
            </wp:cNvGraphicFramePr>
            <a:graphic>
              <a:graphicData uri="http://schemas.openxmlformats.org/drawingml/2006/picture">
                <pic:pic>
                  <pic:nvPicPr>
                    <pic:cNvPr id="0" name="c10_re_vs_losses.png"/>
                    <pic:cNvPicPr/>
                  </pic:nvPicPr>
                  <pic:blipFill>
                    <a:blip r:embed="rId18"/>
                    <a:stretch>
                      <a:fillRect/>
                    </a:stretch>
                  </pic:blipFill>
                  <pic:spPr>
                    <a:xfrm>
                      <a:off x="0" y="0"/>
                      <a:ext cx="2606040" cy="1872234"/>
                    </a:xfrm>
                    <a:prstGeom prst="rect"/>
                  </pic:spPr>
                </pic:pic>
              </a:graphicData>
            </a:graphic>
          </wp:inline>
        </w:drawing>
      </w:r>
    </w:p>
    <w:p>
      <w:pPr>
        <w:jc w:val="center"/>
      </w:pPr>
      <w:r>
        <w:rPr>
          <w:i/>
          <w:color w:val="788C96"/>
          <w:sz w:val="16"/>
        </w:rPr>
        <w:t>Page 5 | EDCC Complete Analytical Report</w:t>
      </w:r>
    </w:p>
    <w:p>
      <w:r>
        <w:br w:type="page"/>
      </w:r>
    </w:p>
    <w:p>
      <w:pPr>
        <w:spacing w:after="0"/>
        <w:jc w:val="center"/>
        <w:shd w:fill="1A6B7C"/>
      </w:pPr>
      <w:r>
        <w:rPr>
          <w:b/>
          <w:color w:val="FFFFFF"/>
          <w:sz w:val="28"/>
        </w:rPr>
        <w:t>Practical Measure 1: Demand-Side Management (DSM) &amp; Peak Load Shaping</w:t>
      </w:r>
    </w:p>
    <w:p>
      <w:pPr>
        <w:spacing w:after="0"/>
        <w:jc w:val="center"/>
        <w:shd w:fill="3D9EB5"/>
      </w:pPr>
      <w:r>
        <w:rPr>
          <w:b/>
          <w:color w:val="FFFFFF"/>
          <w:sz w:val="22"/>
        </w:rPr>
        <w:t>Implementation Strategy &amp; Projected Impact</w:t>
      </w:r>
    </w:p>
    <w:p>
      <w:pPr>
        <w:shd w:fill="3D9EB5"/>
      </w:pPr>
      <w:r>
        <w:rPr>
          <w:b/>
          <w:color w:val="FFFFFF"/>
          <w:sz w:val="22"/>
        </w:rPr>
        <w:t>★ KEY POINTS — Measure 1</w:t>
      </w:r>
    </w:p>
    <w:p>
      <w:pPr>
        <w:pStyle w:val="ListBullet"/>
        <w:shd w:fill="E8F6F3"/>
      </w:pPr>
      <w:r>
        <w:rPr>
          <w:sz w:val="20"/>
        </w:rPr>
        <w:t>Implement Time-of-Day (ToD) tariffs for industrial and commercial consumers</w:t>
      </w:r>
    </w:p>
    <w:p>
      <w:pPr>
        <w:pStyle w:val="ListBullet"/>
        <w:shd w:fill="E8F6F3"/>
      </w:pPr>
      <w:r>
        <w:rPr>
          <w:sz w:val="20"/>
        </w:rPr>
        <w:t>Peak demand reduction of 8–12 GW during summer</w:t>
      </w:r>
    </w:p>
    <w:p>
      <w:pPr>
        <w:shd w:fill="D4EFF5"/>
      </w:pPr>
      <w:r>
        <w:rPr>
          <w:b/>
          <w:color w:val="1A6B7C"/>
          <w:sz w:val="22"/>
        </w:rPr>
        <w:t>Implementation Strategy</w:t>
      </w:r>
    </w:p>
    <w:p>
      <w:pPr>
        <w:pStyle w:val="ListBullet"/>
      </w:pPr>
      <w:r>
        <w:rPr>
          <w:sz w:val="20"/>
        </w:rPr>
        <w:t>Implement Time-of-Day (ToD) tariffs for industrial and commercial consumers</w:t>
      </w:r>
    </w:p>
    <w:p>
      <w:pPr>
        <w:pStyle w:val="ListBullet"/>
      </w:pPr>
      <w:r>
        <w:rPr>
          <w:sz w:val="20"/>
        </w:rPr>
        <w:t>Mandatory demand response for large consumers (&gt;1 MW) during peak hours</w:t>
      </w:r>
    </w:p>
    <w:p>
      <w:pPr>
        <w:pStyle w:val="ListBullet"/>
      </w:pPr>
      <w:r>
        <w:rPr>
          <w:sz w:val="20"/>
        </w:rPr>
        <w:t>Agricultural feeder scheduling aligned with solar daytime generation</w:t>
      </w:r>
    </w:p>
    <w:p>
      <w:pPr>
        <w:pStyle w:val="ListBullet"/>
      </w:pPr>
      <w:r>
        <w:rPr>
          <w:sz w:val="20"/>
        </w:rPr>
        <w:t>Accelerated BEE star-rating standards for ACs, refrigerators and pumps</w:t>
      </w:r>
    </w:p>
    <w:p>
      <w:pPr>
        <w:pStyle w:val="ListBullet"/>
      </w:pPr>
      <w:r>
        <w:rPr>
          <w:sz w:val="20"/>
        </w:rPr>
        <w:t>Public awareness campaigns on energy conservation during summer</w:t>
      </w:r>
    </w:p>
    <w:p>
      <w:pPr>
        <w:shd w:fill="D4EFF5"/>
      </w:pPr>
      <w:r>
        <w:rPr>
          <w:b/>
          <w:color w:val="1A6B7C"/>
          <w:sz w:val="22"/>
        </w:rPr>
        <w:t>Projected Impact and Analysis</w:t>
      </w:r>
    </w:p>
    <w:p>
      <w:pPr>
        <w:pStyle w:val="ListBullet"/>
      </w:pPr>
      <w:r>
        <w:rPr>
          <w:sz w:val="20"/>
        </w:rPr>
        <w:t>Peak demand reduction of 8–12 GW during summer</w:t>
      </w:r>
    </w:p>
    <w:p>
      <w:pPr>
        <w:pStyle w:val="ListBullet"/>
      </w:pPr>
      <w:r>
        <w:rPr>
          <w:sz w:val="20"/>
        </w:rPr>
        <w:t>Estimated savings of ₹5,000–8,000 crore annually</w:t>
      </w:r>
    </w:p>
    <w:p>
      <w:pPr>
        <w:pStyle w:val="ListBullet"/>
      </w:pPr>
      <w:r>
        <w:rPr>
          <w:sz w:val="20"/>
        </w:rPr>
        <w:t>Reduced need for expensive peaking plants</w:t>
      </w:r>
    </w:p>
    <w:p>
      <w:pPr>
        <w:pStyle w:val="ListBullet"/>
      </w:pPr>
      <w:r>
        <w:rPr>
          <w:sz w:val="20"/>
        </w:rPr>
        <w:t>Improved grid stability and lower load shedding</w:t>
      </w:r>
    </w:p>
    <w:p>
      <w:pPr>
        <w:jc w:val="center"/>
      </w:pPr>
      <w:r>
        <w:drawing>
          <wp:inline xmlns:a="http://schemas.openxmlformats.org/drawingml/2006/main" xmlns:pic="http://schemas.openxmlformats.org/drawingml/2006/picture">
            <wp:extent cx="2606040" cy="1873878"/>
            <wp:docPr id="12" name="Picture 12"/>
            <wp:cNvGraphicFramePr>
              <a:graphicFrameLocks noChangeAspect="1"/>
            </wp:cNvGraphicFramePr>
            <a:graphic>
              <a:graphicData uri="http://schemas.openxmlformats.org/drawingml/2006/picture">
                <pic:pic>
                  <pic:nvPicPr>
                    <pic:cNvPr id="0" name="c05_demand_supply.png"/>
                    <pic:cNvPicPr/>
                  </pic:nvPicPr>
                  <pic:blipFill>
                    <a:blip r:embed="rId12"/>
                    <a:stretch>
                      <a:fillRect/>
                    </a:stretch>
                  </pic:blipFill>
                  <pic:spPr>
                    <a:xfrm>
                      <a:off x="0" y="0"/>
                      <a:ext cx="2606040" cy="1873878"/>
                    </a:xfrm>
                    <a:prstGeom prst="rect"/>
                  </pic:spPr>
                </pic:pic>
              </a:graphicData>
            </a:graphic>
          </wp:inline>
        </w:drawing>
      </w:r>
    </w:p>
    <w:p>
      <w:pPr>
        <w:jc w:val="center"/>
      </w:pPr>
      <w:r>
        <w:rPr>
          <w:i/>
          <w:color w:val="788C96"/>
          <w:sz w:val="16"/>
        </w:rPr>
        <w:t>Page 6 | EDCC Complete Analytical Report</w:t>
      </w:r>
    </w:p>
    <w:p>
      <w:r>
        <w:br w:type="page"/>
      </w:r>
    </w:p>
    <w:p>
      <w:pPr>
        <w:spacing w:after="0"/>
        <w:jc w:val="center"/>
        <w:shd w:fill="1A6B7C"/>
      </w:pPr>
      <w:r>
        <w:rPr>
          <w:b/>
          <w:color w:val="FFFFFF"/>
          <w:sz w:val="28"/>
        </w:rPr>
        <w:t>Practical Measure 2: Renewable Energy &amp; Storage Corridor Development</w:t>
      </w:r>
    </w:p>
    <w:p>
      <w:pPr>
        <w:spacing w:after="0"/>
        <w:jc w:val="center"/>
        <w:shd w:fill="3D9EB5"/>
      </w:pPr>
      <w:r>
        <w:rPr>
          <w:b/>
          <w:color w:val="FFFFFF"/>
          <w:sz w:val="22"/>
        </w:rPr>
        <w:t>Implementation Strategy &amp; Projected Impact</w:t>
      </w:r>
    </w:p>
    <w:p>
      <w:pPr>
        <w:shd w:fill="3D9EB5"/>
      </w:pPr>
      <w:r>
        <w:rPr>
          <w:b/>
          <w:color w:val="FFFFFF"/>
          <w:sz w:val="22"/>
        </w:rPr>
        <w:t>★ KEY POINTS — Measure 2</w:t>
      </w:r>
    </w:p>
    <w:p>
      <w:pPr>
        <w:pStyle w:val="ListBullet"/>
        <w:shd w:fill="E8F6F3"/>
      </w:pPr>
      <w:r>
        <w:rPr>
          <w:sz w:val="20"/>
        </w:rPr>
        <w:t>Establish 5–7 RE corridors connecting high-generation to high-demand states</w:t>
      </w:r>
    </w:p>
    <w:p>
      <w:pPr>
        <w:pStyle w:val="ListBullet"/>
        <w:shd w:fill="E8F6F3"/>
      </w:pPr>
      <w:r>
        <w:rPr>
          <w:sz w:val="20"/>
        </w:rPr>
        <w:t>Integrate 50–70 GW additional solar and wind capacity</w:t>
      </w:r>
    </w:p>
    <w:p>
      <w:pPr>
        <w:shd w:fill="D4EFF5"/>
      </w:pPr>
      <w:r>
        <w:rPr>
          <w:b/>
          <w:color w:val="1A6B7C"/>
          <w:sz w:val="22"/>
        </w:rPr>
        <w:t>Implementation Strategy</w:t>
      </w:r>
    </w:p>
    <w:p>
      <w:pPr>
        <w:pStyle w:val="ListBullet"/>
      </w:pPr>
      <w:r>
        <w:rPr>
          <w:sz w:val="20"/>
        </w:rPr>
        <w:t>Establish 5–7 RE corridors connecting high-generation to high-demand states</w:t>
      </w:r>
    </w:p>
    <w:p>
      <w:pPr>
        <w:pStyle w:val="ListBullet"/>
      </w:pPr>
      <w:r>
        <w:rPr>
          <w:sz w:val="20"/>
        </w:rPr>
        <w:t>Co-located battery storage (BESS) and pumped hydro at corridor endpoints</w:t>
      </w:r>
    </w:p>
    <w:p>
      <w:pPr>
        <w:pStyle w:val="ListBullet"/>
      </w:pPr>
      <w:r>
        <w:rPr>
          <w:sz w:val="20"/>
        </w:rPr>
        <w:t>Green Energy Open Access reforms for cross-state renewable procurement</w:t>
      </w:r>
    </w:p>
    <w:p>
      <w:pPr>
        <w:pStyle w:val="ListBullet"/>
      </w:pPr>
      <w:r>
        <w:rPr>
          <w:sz w:val="20"/>
        </w:rPr>
        <w:t>Hybrid wind-solar projects with storage for dispatchable clean power</w:t>
      </w:r>
    </w:p>
    <w:p>
      <w:pPr>
        <w:pStyle w:val="ListBullet"/>
      </w:pPr>
      <w:r>
        <w:rPr>
          <w:sz w:val="20"/>
        </w:rPr>
        <w:t>Central assistance through Green Energy Corridor Phase-II</w:t>
      </w:r>
    </w:p>
    <w:p>
      <w:pPr>
        <w:shd w:fill="D4EFF5"/>
      </w:pPr>
      <w:r>
        <w:rPr>
          <w:b/>
          <w:color w:val="1A6B7C"/>
          <w:sz w:val="22"/>
        </w:rPr>
        <w:t>Projected Impact and Analysis</w:t>
      </w:r>
    </w:p>
    <w:p>
      <w:pPr>
        <w:pStyle w:val="ListBullet"/>
      </w:pPr>
      <w:r>
        <w:rPr>
          <w:sz w:val="20"/>
        </w:rPr>
        <w:t>Integrate 50–70 GW additional solar and wind capacity</w:t>
      </w:r>
    </w:p>
    <w:p>
      <w:pPr>
        <w:pStyle w:val="ListBullet"/>
      </w:pPr>
      <w:r>
        <w:rPr>
          <w:sz w:val="20"/>
        </w:rPr>
        <w:t>Add 40–60 BU reliable renewable supply annually</w:t>
      </w:r>
    </w:p>
    <w:p>
      <w:pPr>
        <w:pStyle w:val="ListBullet"/>
      </w:pPr>
      <w:r>
        <w:rPr>
          <w:sz w:val="20"/>
        </w:rPr>
        <w:t>Reduce CO₂ emissions by 30–40 million tonnes per year</w:t>
      </w:r>
    </w:p>
    <w:p>
      <w:pPr>
        <w:pStyle w:val="ListBullet"/>
      </w:pPr>
      <w:r>
        <w:rPr>
          <w:sz w:val="20"/>
        </w:rPr>
        <w:t>Partially offset the current 9 BU demand-supply gap</w:t>
      </w:r>
    </w:p>
    <w:p>
      <w:pPr>
        <w:jc w:val="center"/>
      </w:pPr>
      <w:r>
        <w:drawing>
          <wp:inline xmlns:a="http://schemas.openxmlformats.org/drawingml/2006/main" xmlns:pic="http://schemas.openxmlformats.org/drawingml/2006/picture">
            <wp:extent cx="2606040" cy="1874520"/>
            <wp:docPr id="13" name="Picture 13"/>
            <wp:cNvGraphicFramePr>
              <a:graphicFrameLocks noChangeAspect="1"/>
            </wp:cNvGraphicFramePr>
            <a:graphic>
              <a:graphicData uri="http://schemas.openxmlformats.org/drawingml/2006/picture">
                <pic:pic>
                  <pic:nvPicPr>
                    <pic:cNvPr id="0" name="c07_renewable.png"/>
                    <pic:cNvPicPr/>
                  </pic:nvPicPr>
                  <pic:blipFill>
                    <a:blip r:embed="rId16"/>
                    <a:stretch>
                      <a:fillRect/>
                    </a:stretch>
                  </pic:blipFill>
                  <pic:spPr>
                    <a:xfrm>
                      <a:off x="0" y="0"/>
                      <a:ext cx="2606040" cy="1874520"/>
                    </a:xfrm>
                    <a:prstGeom prst="rect"/>
                  </pic:spPr>
                </pic:pic>
              </a:graphicData>
            </a:graphic>
          </wp:inline>
        </w:drawing>
      </w:r>
    </w:p>
    <w:p>
      <w:pPr>
        <w:jc w:val="center"/>
      </w:pPr>
      <w:r>
        <w:rPr>
          <w:i/>
          <w:color w:val="788C96"/>
          <w:sz w:val="16"/>
        </w:rPr>
        <w:t>Page 7 | EDCC Complete Analytical Report</w:t>
      </w:r>
    </w:p>
    <w:p>
      <w:r>
        <w:br w:type="page"/>
      </w:r>
    </w:p>
    <w:p>
      <w:pPr>
        <w:spacing w:after="0"/>
        <w:jc w:val="center"/>
        <w:shd w:fill="1A6B7C"/>
      </w:pPr>
      <w:r>
        <w:rPr>
          <w:b/>
          <w:color w:val="FFFFFF"/>
          <w:sz w:val="28"/>
        </w:rPr>
        <w:t>Practical Measure 3: DISCOM Modernisation &amp; Loss Reduction</w:t>
      </w:r>
    </w:p>
    <w:p>
      <w:pPr>
        <w:spacing w:after="0"/>
        <w:jc w:val="center"/>
        <w:shd w:fill="3D9EB5"/>
      </w:pPr>
      <w:r>
        <w:rPr>
          <w:b/>
          <w:color w:val="FFFFFF"/>
          <w:sz w:val="22"/>
        </w:rPr>
        <w:t>Implementation Strategy &amp; Projected Impact</w:t>
      </w:r>
    </w:p>
    <w:p>
      <w:pPr>
        <w:shd w:fill="3D9EB5"/>
      </w:pPr>
      <w:r>
        <w:rPr>
          <w:b/>
          <w:color w:val="FFFFFF"/>
          <w:sz w:val="22"/>
        </w:rPr>
        <w:t>★ KEY POINTS — Measure 3</w:t>
      </w:r>
    </w:p>
    <w:p>
      <w:pPr>
        <w:pStyle w:val="ListBullet"/>
        <w:shd w:fill="E8F6F3"/>
      </w:pPr>
      <w:r>
        <w:rPr>
          <w:sz w:val="20"/>
        </w:rPr>
        <w:t>Universal smart metering for all consumers by 2028</w:t>
      </w:r>
    </w:p>
    <w:p>
      <w:pPr>
        <w:pStyle w:val="ListBullet"/>
        <w:shd w:fill="E8F6F3"/>
      </w:pPr>
      <w:r>
        <w:rPr>
          <w:sz w:val="20"/>
        </w:rPr>
        <w:t>T&amp;D losses reduced from 15% to 11–12% by 2028</w:t>
      </w:r>
    </w:p>
    <w:p>
      <w:pPr>
        <w:shd w:fill="D4EFF5"/>
      </w:pPr>
      <w:r>
        <w:rPr>
          <w:b/>
          <w:color w:val="1A6B7C"/>
          <w:sz w:val="22"/>
        </w:rPr>
        <w:t>Implementation Strategy</w:t>
      </w:r>
    </w:p>
    <w:p>
      <w:pPr>
        <w:pStyle w:val="ListBullet"/>
      </w:pPr>
      <w:r>
        <w:rPr>
          <w:sz w:val="20"/>
        </w:rPr>
        <w:t>Universal smart metering for all consumers by 2028</w:t>
      </w:r>
    </w:p>
    <w:p>
      <w:pPr>
        <w:pStyle w:val="ListBullet"/>
      </w:pPr>
      <w:r>
        <w:rPr>
          <w:sz w:val="20"/>
        </w:rPr>
        <w:t>Feeder segregation (agricultural vs non-agricultural) in all states</w:t>
      </w:r>
    </w:p>
    <w:p>
      <w:pPr>
        <w:pStyle w:val="ListBullet"/>
      </w:pPr>
      <w:r>
        <w:rPr>
          <w:sz w:val="20"/>
        </w:rPr>
        <w:t>Distribution transformer monitoring and GIS mapping of networks</w:t>
      </w:r>
    </w:p>
    <w:p>
      <w:pPr>
        <w:pStyle w:val="ListBullet"/>
      </w:pPr>
      <w:r>
        <w:rPr>
          <w:sz w:val="20"/>
        </w:rPr>
        <w:t>Strict enforcement against electricity theft with tamper-proof meters</w:t>
      </w:r>
    </w:p>
    <w:p>
      <w:pPr>
        <w:pStyle w:val="ListBullet"/>
      </w:pPr>
      <w:r>
        <w:rPr>
          <w:sz w:val="20"/>
        </w:rPr>
        <w:t>Performance-linked central grants tied to verifiable AT&amp;C loss reduction</w:t>
      </w:r>
    </w:p>
    <w:p>
      <w:pPr>
        <w:shd w:fill="D4EFF5"/>
      </w:pPr>
      <w:r>
        <w:rPr>
          <w:b/>
          <w:color w:val="1A6B7C"/>
          <w:sz w:val="22"/>
        </w:rPr>
        <w:t>Projected Impact and Analysis</w:t>
      </w:r>
    </w:p>
    <w:p>
      <w:pPr>
        <w:pStyle w:val="ListBullet"/>
      </w:pPr>
      <w:r>
        <w:rPr>
          <w:sz w:val="20"/>
        </w:rPr>
        <w:t>T&amp;D losses reduced from 15% to 11–12% by 2028</w:t>
      </w:r>
    </w:p>
    <w:p>
      <w:pPr>
        <w:pStyle w:val="ListBullet"/>
      </w:pPr>
      <w:r>
        <w:rPr>
          <w:sz w:val="20"/>
        </w:rPr>
        <w:t>Recover 8–10 BU of electricity without new generation plants</w:t>
      </w:r>
    </w:p>
    <w:p>
      <w:pPr>
        <w:pStyle w:val="ListBullet"/>
      </w:pPr>
      <w:r>
        <w:rPr>
          <w:sz w:val="20"/>
        </w:rPr>
        <w:t>DISCOM revenue improvement of ₹15,000–20,000 crore</w:t>
      </w:r>
    </w:p>
    <w:p>
      <w:pPr>
        <w:pStyle w:val="ListBullet"/>
      </w:pPr>
      <w:r>
        <w:rPr>
          <w:sz w:val="20"/>
        </w:rPr>
        <w:t>Better infrastructure investment capacity for DISCOMs</w:t>
      </w:r>
    </w:p>
    <w:p>
      <w:pPr>
        <w:jc w:val="center"/>
      </w:pPr>
      <w:r>
        <w:drawing>
          <wp:inline xmlns:a="http://schemas.openxmlformats.org/drawingml/2006/main" xmlns:pic="http://schemas.openxmlformats.org/drawingml/2006/picture">
            <wp:extent cx="2606040" cy="1874520"/>
            <wp:docPr id="14" name="Picture 14"/>
            <wp:cNvGraphicFramePr>
              <a:graphicFrameLocks noChangeAspect="1"/>
            </wp:cNvGraphicFramePr>
            <a:graphic>
              <a:graphicData uri="http://schemas.openxmlformats.org/drawingml/2006/picture">
                <pic:pic>
                  <pic:nvPicPr>
                    <pic:cNvPr id="0" name="c08_td_losses.png"/>
                    <pic:cNvPicPr/>
                  </pic:nvPicPr>
                  <pic:blipFill>
                    <a:blip r:embed="rId17"/>
                    <a:stretch>
                      <a:fillRect/>
                    </a:stretch>
                  </pic:blipFill>
                  <pic:spPr>
                    <a:xfrm>
                      <a:off x="0" y="0"/>
                      <a:ext cx="2606040" cy="1874520"/>
                    </a:xfrm>
                    <a:prstGeom prst="rect"/>
                  </pic:spPr>
                </pic:pic>
              </a:graphicData>
            </a:graphic>
          </wp:inline>
        </w:drawing>
      </w:r>
    </w:p>
    <w:p>
      <w:pPr>
        <w:jc w:val="center"/>
      </w:pPr>
      <w:r>
        <w:rPr>
          <w:i/>
          <w:color w:val="788C96"/>
          <w:sz w:val="16"/>
        </w:rPr>
        <w:t>Page 8 | EDCC Complete Analytical Report</w:t>
      </w:r>
    </w:p>
    <w:p>
      <w:r>
        <w:br w:type="page"/>
      </w:r>
    </w:p>
    <w:p>
      <w:pPr>
        <w:spacing w:after="0"/>
        <w:jc w:val="center"/>
        <w:shd w:fill="1A6B7C"/>
      </w:pPr>
      <w:r>
        <w:rPr>
          <w:b/>
          <w:color w:val="FFFFFF"/>
          <w:sz w:val="28"/>
        </w:rPr>
        <w:t>Conclusion and Recommendations</w:t>
      </w:r>
    </w:p>
    <w:p>
      <w:pPr>
        <w:spacing w:after="0"/>
        <w:jc w:val="center"/>
        <w:shd w:fill="3D9EB5"/>
      </w:pPr>
      <w:r>
        <w:rPr>
          <w:b/>
          <w:color w:val="FFFFFF"/>
          <w:sz w:val="22"/>
        </w:rPr>
        <w:t>Summary of Key Findings &amp; Final Recommendations</w:t>
      </w:r>
    </w:p>
    <w:p>
      <w:pPr>
        <w:shd w:fill="3D9EB5"/>
      </w:pPr>
      <w:r>
        <w:rPr>
          <w:b/>
          <w:color w:val="FFFFFF"/>
          <w:sz w:val="22"/>
        </w:rPr>
        <w:t>★ KEY POINTS — Conclusion</w:t>
      </w:r>
    </w:p>
    <w:p>
      <w:pPr>
        <w:pStyle w:val="ListBullet"/>
        <w:shd w:fill="E8F6F3"/>
      </w:pPr>
      <w:r>
        <w:rPr>
          <w:sz w:val="20"/>
        </w:rPr>
        <w:t>Consumption rose in all 3 sectors every year: combined growth 23.1%</w:t>
      </w:r>
    </w:p>
    <w:p>
      <w:pPr>
        <w:pStyle w:val="ListBullet"/>
        <w:shd w:fill="E8F6F3"/>
      </w:pPr>
      <w:r>
        <w:rPr>
          <w:sz w:val="20"/>
        </w:rPr>
        <w:t>Agriculture largest (98.45 BU) | Industrial highest growth (43.3% ★)</w:t>
      </w:r>
    </w:p>
    <w:p>
      <w:pPr>
        <w:pStyle w:val="ListBullet"/>
        <w:shd w:fill="E8F6F3"/>
      </w:pPr>
      <w:r>
        <w:rPr>
          <w:sz w:val="20"/>
        </w:rPr>
        <w:t>Demand-supply gap widened: 4 → 9 BU — critical concern</w:t>
      </w:r>
    </w:p>
    <w:p>
      <w:pPr>
        <w:pStyle w:val="ListBullet"/>
        <w:shd w:fill="E8F6F3"/>
      </w:pPr>
      <w:r>
        <w:rPr>
          <w:sz w:val="20"/>
        </w:rPr>
        <w:t>Renewable share up 24→35% | T&amp;D losses down 18→15% — progress but more needed</w:t>
      </w:r>
    </w:p>
    <w:p>
      <w:pPr>
        <w:pStyle w:val="ListBullet"/>
        <w:shd w:fill="E8F6F3"/>
      </w:pPr>
      <w:r>
        <w:rPr>
          <w:sz w:val="20"/>
        </w:rPr>
        <w:t>3 measures: DSM + RE Corridors + DISCOM Modernisation</w:t>
      </w:r>
    </w:p>
    <w:p>
      <w:pPr>
        <w:shd w:fill="D4EFF5"/>
      </w:pPr>
      <w:r>
        <w:rPr>
          <w:b/>
          <w:color w:val="1A6B7C"/>
          <w:sz w:val="22"/>
        </w:rPr>
        <w:t>Summary of Key Findings</w:t>
      </w:r>
    </w:p>
    <w:p>
      <w:pPr>
        <w:pStyle w:val="ListBullet"/>
      </w:pPr>
      <w:r>
        <w:rPr>
          <w:sz w:val="21"/>
        </w:rPr>
        <w:t>Electricity consumption increased steadily across all sectors (2022–2025).</w:t>
      </w:r>
    </w:p>
    <w:p>
      <w:pPr>
        <w:pStyle w:val="ListBullet"/>
      </w:pPr>
      <w:r>
        <w:rPr>
          <w:sz w:val="21"/>
        </w:rPr>
        <w:t>Agriculture remains the largest consumer at 98.45 BU (48.4% share).</w:t>
      </w:r>
    </w:p>
    <w:p>
      <w:pPr>
        <w:pStyle w:val="ListBullet"/>
      </w:pPr>
      <w:r>
        <w:rPr>
          <w:sz w:val="21"/>
        </w:rPr>
        <w:t>Industrial sector recorded the highest growth at 43.3%, driven by industrial expansion.</w:t>
      </w:r>
    </w:p>
    <w:p>
      <w:pPr>
        <w:pStyle w:val="ListBullet"/>
      </w:pPr>
      <w:r>
        <w:rPr>
          <w:sz w:val="21"/>
        </w:rPr>
        <w:t>Domestic consumption grew 21.9% due to urbanisation and higher AC use.</w:t>
      </w:r>
    </w:p>
    <w:p>
      <w:pPr>
        <w:pStyle w:val="ListBullet"/>
      </w:pPr>
      <w:r>
        <w:rPr>
          <w:sz w:val="21"/>
        </w:rPr>
        <w:t>Demand-supply gap widened from 4 BU to 9 BU — supply falling behind demand.</w:t>
      </w:r>
    </w:p>
    <w:p>
      <w:pPr>
        <w:pStyle w:val="ListBullet"/>
      </w:pPr>
      <w:r>
        <w:rPr>
          <w:sz w:val="21"/>
        </w:rPr>
        <w:t>Renewable energy share rose from 24% to 35%; T&amp;D losses fell from 18% to 15%.</w:t>
      </w:r>
    </w:p>
    <w:p>
      <w:pPr>
        <w:shd w:fill="D4EFF5"/>
      </w:pPr>
      <w:r>
        <w:rPr>
          <w:b/>
          <w:color w:val="1A6B7C"/>
          <w:sz w:val="22"/>
        </w:rPr>
        <w:t>Final Recommendations</w:t>
      </w:r>
    </w:p>
    <w:tbl>
      <w:tblPr>
        <w:tblStyle w:val="TableGrid"/>
        <w:tblW w:type="auto" w:w="0"/>
        <w:tblLook w:firstColumn="1" w:firstRow="1" w:lastColumn="0" w:lastRow="0" w:noHBand="0" w:noVBand="1" w:val="04A0"/>
      </w:tblPr>
      <w:tblGrid>
        <w:gridCol w:w="3249"/>
        <w:gridCol w:w="3249"/>
        <w:gridCol w:w="3249"/>
      </w:tblGrid>
      <w:tr>
        <w:tc>
          <w:tcPr>
            <w:tcW w:type="dxa" w:w="3249"/>
            <w:shd w:fill="1A6B7C"/>
          </w:tcPr>
          <w:p>
            <w:r>
              <w:rPr>
                <w:b/>
                <w:color w:val="FFFFFF"/>
                <w:sz w:val="20"/>
              </w:rPr>
              <w:t>#</w:t>
            </w:r>
          </w:p>
        </w:tc>
        <w:tc>
          <w:tcPr>
            <w:tcW w:type="dxa" w:w="3249"/>
            <w:shd w:fill="1A6B7C"/>
          </w:tcPr>
          <w:p>
            <w:r>
              <w:rPr>
                <w:b/>
                <w:color w:val="FFFFFF"/>
                <w:sz w:val="20"/>
              </w:rPr>
              <w:t>Measure</w:t>
            </w:r>
          </w:p>
        </w:tc>
        <w:tc>
          <w:tcPr>
            <w:tcW w:type="dxa" w:w="3249"/>
            <w:shd w:fill="1A6B7C"/>
          </w:tcPr>
          <w:p>
            <w:r>
              <w:rPr>
                <w:b/>
                <w:color w:val="FFFFFF"/>
                <w:sz w:val="20"/>
              </w:rPr>
              <w:t>Primary Objective</w:t>
            </w:r>
          </w:p>
        </w:tc>
      </w:tr>
      <w:tr>
        <w:tc>
          <w:tcPr>
            <w:tcW w:type="dxa" w:w="3249"/>
            <w:shd w:fill="B8E8DC"/>
          </w:tcPr>
          <w:p>
            <w:r>
              <w:rPr>
                <w:sz w:val="20"/>
              </w:rPr>
              <w:t>1</w:t>
            </w:r>
          </w:p>
        </w:tc>
        <w:tc>
          <w:tcPr>
            <w:tcW w:type="dxa" w:w="3249"/>
            <w:shd w:fill="B8E8DC"/>
          </w:tcPr>
          <w:p>
            <w:r>
              <w:rPr>
                <w:sz w:val="20"/>
              </w:rPr>
              <w:t>Demand-Side Management &amp; Peak Load Shaping</w:t>
            </w:r>
          </w:p>
        </w:tc>
        <w:tc>
          <w:tcPr>
            <w:tcW w:type="dxa" w:w="3249"/>
            <w:shd w:fill="B8E8DC"/>
          </w:tcPr>
          <w:p>
            <w:r>
              <w:rPr>
                <w:sz w:val="20"/>
              </w:rPr>
              <w:t>Reduce peak demand; moderate consumption growth</w:t>
            </w:r>
          </w:p>
        </w:tc>
      </w:tr>
      <w:tr>
        <w:tc>
          <w:tcPr>
            <w:tcW w:type="dxa" w:w="3249"/>
            <w:shd w:fill="B8E8DC"/>
          </w:tcPr>
          <w:p>
            <w:r>
              <w:rPr>
                <w:sz w:val="20"/>
              </w:rPr>
              <w:t>2</w:t>
            </w:r>
          </w:p>
        </w:tc>
        <w:tc>
          <w:tcPr>
            <w:tcW w:type="dxa" w:w="3249"/>
            <w:shd w:fill="B8E8DC"/>
          </w:tcPr>
          <w:p>
            <w:r>
              <w:rPr>
                <w:sz w:val="20"/>
              </w:rPr>
              <w:t>RE &amp; Storage Corridor Development</w:t>
            </w:r>
          </w:p>
        </w:tc>
        <w:tc>
          <w:tcPr>
            <w:tcW w:type="dxa" w:w="3249"/>
            <w:shd w:fill="B8E8DC"/>
          </w:tcPr>
          <w:p>
            <w:r>
              <w:rPr>
                <w:sz w:val="20"/>
              </w:rPr>
              <w:t>Integrate renewables with storage for reliable clean power</w:t>
            </w:r>
          </w:p>
        </w:tc>
      </w:tr>
      <w:tr>
        <w:tc>
          <w:tcPr>
            <w:tcW w:type="dxa" w:w="3249"/>
            <w:shd w:fill="B8E8DC"/>
          </w:tcPr>
          <w:p>
            <w:r>
              <w:rPr>
                <w:sz w:val="20"/>
              </w:rPr>
              <w:t>3</w:t>
            </w:r>
          </w:p>
        </w:tc>
        <w:tc>
          <w:tcPr>
            <w:tcW w:type="dxa" w:w="3249"/>
            <w:shd w:fill="B8E8DC"/>
          </w:tcPr>
          <w:p>
            <w:r>
              <w:rPr>
                <w:sz w:val="20"/>
              </w:rPr>
              <w:t>DISCOM Modernisation &amp; Loss Reduction</w:t>
            </w:r>
          </w:p>
        </w:tc>
        <w:tc>
          <w:tcPr>
            <w:tcW w:type="dxa" w:w="3249"/>
            <w:shd w:fill="B8E8DC"/>
          </w:tcPr>
          <w:p>
            <w:r>
              <w:rPr>
                <w:sz w:val="20"/>
              </w:rPr>
              <w:t>Recover lost electricity; strengthen distribution</w:t>
            </w:r>
          </w:p>
        </w:tc>
      </w:tr>
    </w:tbl>
    <w:p/>
    <w:p>
      <w:pPr>
        <w:shd w:fill="E8F6F3"/>
      </w:pPr>
      <w:r>
        <w:rPr>
          <w:sz w:val="21"/>
        </w:rPr>
        <w:t>The EDCC recommends prompt coordination with Ministry of Power, MNRE, and state governments to implement these measures and address the Chairman's concerns over rising consumption and infrastructure pressure.</w:t>
      </w:r>
    </w:p>
    <w:p>
      <w:pPr>
        <w:jc w:val="center"/>
      </w:pPr>
      <w:r>
        <w:rPr>
          <w:i/>
          <w:color w:val="788C96"/>
          <w:sz w:val="16"/>
        </w:rPr>
        <w:t>Page 9 | EDCC Complete Analytical Report</w:t>
      </w:r>
    </w:p>
    <w:p>
      <w:r>
        <w:br w:type="page"/>
      </w:r>
    </w:p>
    <w:p>
      <w:pPr>
        <w:spacing w:after="0"/>
        <w:jc w:val="center"/>
        <w:shd w:fill="1A6B7C"/>
      </w:pPr>
      <w:r>
        <w:rPr>
          <w:b/>
          <w:color w:val="FFFFFF"/>
          <w:sz w:val="28"/>
        </w:rPr>
        <w:t>References and Appendices</w:t>
      </w:r>
    </w:p>
    <w:p>
      <w:pPr>
        <w:spacing w:after="0"/>
        <w:jc w:val="center"/>
        <w:shd w:fill="3D9EB5"/>
      </w:pPr>
      <w:r>
        <w:rPr>
          <w:b/>
          <w:color w:val="FFFFFF"/>
          <w:sz w:val="22"/>
        </w:rPr>
        <w:t>Sources &amp; Data Appendix</w:t>
      </w:r>
    </w:p>
    <w:p>
      <w:r>
        <w:rPr>
          <w:sz w:val="20"/>
        </w:rPr>
        <w:t>1. Energy Development and Conservation Council (EDCC). (2026). Sector-wise Electricity Consumption Data, 2022–2025. Internal Council Tables 1–3.</w:t>
      </w:r>
    </w:p>
    <w:p>
      <w:r>
        <w:rPr>
          <w:sz w:val="20"/>
        </w:rPr>
        <w:t>2. Central Electricity Authority. (2024). Load Generation Balance Report 2024-25. Ministry of Power, Government of India. https://cea.nic.in/l-g-b-r-report/</w:t>
      </w:r>
    </w:p>
    <w:p>
      <w:r>
        <w:rPr>
          <w:sz w:val="20"/>
        </w:rPr>
        <w:t>3. Press Information Bureau. (2025). India's Energy Landscape: Powering Growth with Sustainable Energy. Government of India. https://static.pib.gov.in/</w:t>
      </w:r>
    </w:p>
    <w:p>
      <w:r>
        <w:rPr>
          <w:sz w:val="20"/>
        </w:rPr>
        <w:t>4. Ministry of Statistics and Programme Implementation. (2025). Energy Statistics India 2025. https://mospi.gov.in/</w:t>
      </w:r>
    </w:p>
    <w:p>
      <w:r>
        <w:rPr>
          <w:sz w:val="20"/>
        </w:rPr>
        <w:t>5. Bureau of Energy Efficiency. (2024). Impact of Energy Efficiency Measures for the Year 2022-23. Ministry of Power. https://beeindia.gov.in/</w:t>
      </w:r>
    </w:p>
    <w:p>
      <w:r>
        <w:rPr>
          <w:sz w:val="20"/>
        </w:rPr>
        <w:t>6. Government of India. (2022). Revamped Distribution Sector Scheme (RDSS) Guidelines. Ministry of Power.</w:t>
      </w:r>
    </w:p>
    <w:p>
      <w:pPr>
        <w:shd w:fill="D4EFF5"/>
      </w:pPr>
      <w:r>
        <w:rPr>
          <w:b/>
          <w:color w:val="1A6B7C"/>
          <w:sz w:val="22"/>
        </w:rPr>
        <w:t>Appendix A: Key Calculations</w:t>
      </w:r>
    </w:p>
    <w:tbl>
      <w:tblPr>
        <w:tblStyle w:val="TableGrid"/>
        <w:tblW w:type="auto" w:w="0"/>
        <w:tblLook w:firstColumn="1" w:firstRow="1" w:lastColumn="0" w:lastRow="0" w:noHBand="0" w:noVBand="1" w:val="04A0"/>
      </w:tblPr>
      <w:tblGrid>
        <w:gridCol w:w="4873"/>
        <w:gridCol w:w="4873"/>
      </w:tblGrid>
      <w:tr>
        <w:tc>
          <w:tcPr>
            <w:tcW w:type="dxa" w:w="4873"/>
            <w:shd w:fill="1A6B7C"/>
          </w:tcPr>
          <w:p>
            <w:r>
              <w:rPr>
                <w:b/>
                <w:color w:val="FFFFFF"/>
                <w:sz w:val="20"/>
              </w:rPr>
              <w:t>Calculation</w:t>
            </w:r>
          </w:p>
        </w:tc>
        <w:tc>
          <w:tcPr>
            <w:tcW w:type="dxa" w:w="4873"/>
            <w:shd w:fill="1A6B7C"/>
          </w:tcPr>
          <w:p>
            <w:r>
              <w:rPr>
                <w:b/>
                <w:color w:val="FFFFFF"/>
                <w:sz w:val="20"/>
              </w:rPr>
              <w:t>Result</w:t>
            </w:r>
          </w:p>
        </w:tc>
      </w:tr>
      <w:tr>
        <w:tc>
          <w:tcPr>
            <w:tcW w:type="dxa" w:w="4873"/>
          </w:tcPr>
          <w:p>
            <w:r>
              <w:rPr>
                <w:sz w:val="20"/>
              </w:rPr>
              <w:t>Agriculture growth 2022–2025</w:t>
            </w:r>
          </w:p>
        </w:tc>
        <w:tc>
          <w:tcPr>
            <w:tcW w:type="dxa" w:w="4873"/>
          </w:tcPr>
          <w:p>
            <w:r>
              <w:rPr>
                <w:sz w:val="20"/>
              </w:rPr>
              <w:t>(98.45-83.30)/83.30 = 18.2%</w:t>
            </w:r>
          </w:p>
        </w:tc>
      </w:tr>
      <w:tr>
        <w:tc>
          <w:tcPr>
            <w:tcW w:type="dxa" w:w="4873"/>
            <w:shd w:fill="B8E8DC"/>
          </w:tcPr>
          <w:p>
            <w:r>
              <w:rPr>
                <w:sz w:val="20"/>
              </w:rPr>
              <w:t>Industrial growth 2022–2025</w:t>
            </w:r>
          </w:p>
        </w:tc>
        <w:tc>
          <w:tcPr>
            <w:tcW w:type="dxa" w:w="4873"/>
            <w:shd w:fill="B8E8DC"/>
          </w:tcPr>
          <w:p>
            <w:r>
              <w:rPr>
                <w:sz w:val="20"/>
              </w:rPr>
              <w:t>(33.65-23.48)/23.48 = 43.3% ★ Highest</w:t>
            </w:r>
          </w:p>
        </w:tc>
      </w:tr>
      <w:tr>
        <w:tc>
          <w:tcPr>
            <w:tcW w:type="dxa" w:w="4873"/>
            <w:shd w:fill="B8E8DC"/>
          </w:tcPr>
          <w:p>
            <w:r>
              <w:rPr>
                <w:sz w:val="20"/>
              </w:rPr>
              <w:t>Combined CAGR</w:t>
            </w:r>
          </w:p>
        </w:tc>
        <w:tc>
          <w:tcPr>
            <w:tcW w:type="dxa" w:w="4873"/>
            <w:shd w:fill="B8E8DC"/>
          </w:tcPr>
          <w:p>
            <w:r>
              <w:rPr>
                <w:sz w:val="20"/>
              </w:rPr>
              <w:t>7.1%</w:t>
            </w:r>
          </w:p>
        </w:tc>
      </w:tr>
      <w:tr>
        <w:tc>
          <w:tcPr>
            <w:tcW w:type="dxa" w:w="4873"/>
            <w:shd w:fill="B8E8DC"/>
          </w:tcPr>
          <w:p>
            <w:r>
              <w:rPr>
                <w:sz w:val="20"/>
              </w:rPr>
              <w:t>Demand-supply gap 2025</w:t>
            </w:r>
          </w:p>
        </w:tc>
        <w:tc>
          <w:tcPr>
            <w:tcW w:type="dxa" w:w="4873"/>
            <w:shd w:fill="B8E8DC"/>
          </w:tcPr>
          <w:p>
            <w:r>
              <w:rPr>
                <w:sz w:val="20"/>
              </w:rPr>
              <w:t>221-212 = 9 BU (4.1% of demand)</w:t>
            </w:r>
          </w:p>
        </w:tc>
      </w:tr>
      <w:tr>
        <w:tc>
          <w:tcPr>
            <w:tcW w:type="dxa" w:w="4873"/>
            <w:shd w:fill="B8E8DC"/>
          </w:tcPr>
          <w:p>
            <w:r>
              <w:rPr>
                <w:sz w:val="20"/>
              </w:rPr>
              <w:t>Renewable share change</w:t>
            </w:r>
          </w:p>
        </w:tc>
        <w:tc>
          <w:tcPr>
            <w:tcW w:type="dxa" w:w="4873"/>
            <w:shd w:fill="B8E8DC"/>
          </w:tcPr>
          <w:p>
            <w:r>
              <w:rPr>
                <w:sz w:val="20"/>
              </w:rPr>
              <w:t>35%-24% = +11 percentage points</w:t>
            </w:r>
          </w:p>
        </w:tc>
      </w:tr>
      <w:tr>
        <w:tc>
          <w:tcPr>
            <w:tcW w:type="dxa" w:w="4873"/>
            <w:shd w:fill="B8E8DC"/>
          </w:tcPr>
          <w:p>
            <w:r>
              <w:rPr>
                <w:sz w:val="20"/>
              </w:rPr>
              <w:t>T&amp;D loss reduction</w:t>
            </w:r>
          </w:p>
        </w:tc>
        <w:tc>
          <w:tcPr>
            <w:tcW w:type="dxa" w:w="4873"/>
            <w:shd w:fill="B8E8DC"/>
          </w:tcPr>
          <w:p>
            <w:r>
              <w:rPr>
                <w:sz w:val="20"/>
              </w:rPr>
              <w:t>18%-15% = -3 percentage points</w:t>
            </w:r>
          </w:p>
        </w:tc>
      </w:tr>
    </w:tbl>
    <w:p/>
    <w:p>
      <w:pPr>
        <w:jc w:val="center"/>
      </w:pPr>
      <w:r>
        <w:rPr>
          <w:i/>
          <w:color w:val="788C96"/>
          <w:sz w:val="16"/>
        </w:rPr>
        <w:t>Page 10 | EDCC Complete Analytical Report — End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