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6B7C"/>
          <w:sz w:val="30"/>
        </w:rPr>
        <w:t>ANALYTICAL REPORT ON ELECTRICITY CONSUMPTION TRENDS</w:t>
        <w:br/>
        <w:t>AND SUSTAINABLE ENERGY MANAGEMENT IN INDIA</w:t>
      </w:r>
    </w:p>
    <w:p>
      <w:pPr>
        <w:jc w:val="center"/>
      </w:pPr>
      <w:r>
        <w:rPr>
          <w:sz w:val="20"/>
        </w:rPr>
        <w:t>Submitted to: The Chairman, Energy Development and Conservation Council (EDCC), New Delhi</w:t>
      </w:r>
    </w:p>
    <w:p>
      <w:pPr>
        <w:jc w:val="center"/>
      </w:pPr>
      <w:r>
        <w:rPr>
          <w:sz w:val="20"/>
        </w:rPr>
        <w:t>Submitted by: Secretary, EDCC</w:t>
      </w:r>
    </w:p>
    <w:p>
      <w:pPr>
        <w:jc w:val="center"/>
      </w:pPr>
      <w:r>
        <w:rPr>
          <w:sz w:val="20"/>
        </w:rPr>
        <w:t>Date: August 2026</w:t>
      </w:r>
    </w:p>
    <w:p>
      <w:pPr>
        <w:spacing w:after="0"/>
        <w:jc w:val="center"/>
        <w:shd w:fill="1A6B7C"/>
      </w:pPr>
      <w:r>
        <w:rPr>
          <w:b/>
          <w:color w:val="FFFFFF"/>
          <w:sz w:val="28"/>
        </w:rPr>
        <w:t>Introduction</w:t>
      </w:r>
    </w:p>
    <w:p>
      <w:pPr>
        <w:spacing w:after="0"/>
        <w:jc w:val="center"/>
        <w:shd w:fill="3D9EB5"/>
      </w:pPr>
      <w:r>
        <w:rPr>
          <w:b/>
          <w:color w:val="FFFFFF"/>
          <w:sz w:val="22"/>
        </w:rPr>
        <w:t>Background, Scope and Objectives</w:t>
      </w:r>
    </w:p>
    <w:p>
      <w:pPr>
        <w:shd w:fill="3D9EB5"/>
      </w:pPr>
      <w:r>
        <w:rPr>
          <w:b/>
          <w:color w:val="FFFFFF"/>
          <w:sz w:val="22"/>
        </w:rPr>
        <w:t>Key Points</w:t>
      </w:r>
    </w:p>
    <w:p>
      <w:pPr>
        <w:pStyle w:val="ListBullet"/>
        <w:shd w:fill="E8F6F3"/>
      </w:pPr>
      <w:r>
        <w:rPr>
          <w:sz w:val="20"/>
        </w:rPr>
        <w:t>The Chairman is concerned about rising electricity use and pressure on power infrastructure.</w:t>
      </w:r>
    </w:p>
    <w:p>
      <w:pPr>
        <w:pStyle w:val="ListBullet"/>
        <w:shd w:fill="E8F6F3"/>
      </w:pPr>
      <w:r>
        <w:rPr>
          <w:sz w:val="20"/>
        </w:rPr>
        <w:t>This report is based only on the data provided for the end-term assessment (Tables 1, 2 and 3).</w:t>
      </w:r>
    </w:p>
    <w:p>
      <w:pPr>
        <w:pStyle w:val="ListBullet"/>
        <w:shd w:fill="E8F6F3"/>
      </w:pPr>
      <w:r>
        <w:rPr>
          <w:sz w:val="20"/>
        </w:rPr>
        <w:t>Electricity demand has increased due to urbanisation, industrial expansion, AC use, and farm irrigation.</w:t>
      </w:r>
    </w:p>
    <w:p>
      <w:pPr>
        <w:pStyle w:val="ListBullet"/>
        <w:shd w:fill="E8F6F3"/>
      </w:pPr>
      <w:r>
        <w:rPr>
          <w:sz w:val="20"/>
        </w:rPr>
        <w:t>Peak demand has grown because of cooling needs, industry, and agriculture.</w:t>
      </w:r>
    </w:p>
    <w:p>
      <w:pPr>
        <w:pStyle w:val="ListBullet"/>
        <w:shd w:fill="E8F6F3"/>
      </w:pPr>
      <w:r>
        <w:rPr>
          <w:sz w:val="20"/>
        </w:rPr>
        <w:t>The government is promoting renewable energy, smart grids, efficient appliances, and demand-side management.</w:t>
      </w:r>
    </w:p>
    <w:p>
      <w:pPr>
        <w:shd w:fill="D4EFF5"/>
      </w:pPr>
      <w:r>
        <w:rPr>
          <w:b/>
          <w:color w:val="1A6B7C"/>
          <w:sz w:val="22"/>
        </w:rPr>
        <w:t>Background and Scope</w:t>
      </w:r>
    </w:p>
    <w:p>
      <w:pPr>
        <w:jc w:val="both"/>
      </w:pPr>
      <w:r>
        <w:rPr>
          <w:sz w:val="21"/>
        </w:rPr>
        <w:t>The Chairman of the Energy Development and Conservation Council (EDCC) has expressed concern over the steady rise in electricity consumption and the increasing pressure on India's power infrastructure. The Council is reviewing recent consumption trends to support future energy planning and promote sustainable electricity use. This report analyses the sector-wise consumption figures, demand–supply position, and renewable energy indicators provided in the end-term data for the period 2022 to 2025.</w:t>
      </w:r>
    </w:p>
    <w:p>
      <w:pPr>
        <w:shd w:fill="D4EFF5"/>
      </w:pPr>
      <w:r>
        <w:rPr>
          <w:b/>
          <w:color w:val="1A6B7C"/>
          <w:sz w:val="22"/>
        </w:rPr>
        <w:t>Objectives</w:t>
      </w:r>
    </w:p>
    <w:p>
      <w:pPr>
        <w:pStyle w:val="ListNumber"/>
      </w:pPr>
      <w:r>
        <w:rPr>
          <w:sz w:val="21"/>
        </w:rPr>
        <w:t>To analyse trends in electricity consumption from 2022 to 2025.</w:t>
      </w:r>
    </w:p>
    <w:p>
      <w:pPr>
        <w:pStyle w:val="ListNumber"/>
      </w:pPr>
      <w:r>
        <w:rPr>
          <w:sz w:val="21"/>
        </w:rPr>
        <w:t>To identify the sector with the highest growth and explain possible reasons.</w:t>
      </w:r>
    </w:p>
    <w:p>
      <w:pPr>
        <w:pStyle w:val="ListNumber"/>
      </w:pPr>
      <w:r>
        <w:rPr>
          <w:sz w:val="21"/>
        </w:rPr>
        <w:t>To compare electricity demand and supply trends and state concerns.</w:t>
      </w:r>
    </w:p>
    <w:p>
      <w:pPr>
        <w:pStyle w:val="ListNumber"/>
      </w:pPr>
      <w:r>
        <w:rPr>
          <w:sz w:val="21"/>
        </w:rPr>
        <w:t>To evaluate progress in renewable energy adoption and reduction in transmission losses.</w:t>
      </w:r>
    </w:p>
    <w:p>
      <w:pPr>
        <w:pStyle w:val="ListNumber"/>
      </w:pPr>
      <w:r>
        <w:rPr>
          <w:sz w:val="21"/>
        </w:rPr>
        <w:t>To recommend three practical measures for sustainable electricity management.</w:t>
      </w:r>
    </w:p>
    <w:p>
      <w:pPr>
        <w:jc w:val="center"/>
      </w:pPr>
      <w:r>
        <w:rPr>
          <w:i/>
          <w:color w:val="788C96"/>
          <w:sz w:val="16"/>
        </w:rPr>
        <w:t>Page 1 | Source: End-Term Data Only</w:t>
      </w:r>
    </w:p>
    <w:p>
      <w:r>
        <w:br w:type="page"/>
      </w:r>
    </w:p>
    <w:p>
      <w:pPr>
        <w:spacing w:after="0"/>
        <w:jc w:val="center"/>
        <w:shd w:fill="1A6B7C"/>
      </w:pPr>
      <w:r>
        <w:rPr>
          <w:b/>
          <w:color w:val="FFFFFF"/>
          <w:sz w:val="28"/>
        </w:rPr>
        <w:t>Trend in Electricity Consumption</w:t>
      </w:r>
    </w:p>
    <w:p>
      <w:pPr>
        <w:spacing w:after="0"/>
        <w:jc w:val="center"/>
        <w:shd w:fill="3D9EB5"/>
      </w:pPr>
      <w:r>
        <w:rPr>
          <w:b/>
          <w:color w:val="FFFFFF"/>
          <w:sz w:val="22"/>
        </w:rPr>
        <w:t>Sector-wise Consumption Analysis (2022–2025)</w:t>
      </w:r>
    </w:p>
    <w:p>
      <w:pPr>
        <w:shd w:fill="3D9EB5"/>
      </w:pPr>
      <w:r>
        <w:rPr>
          <w:b/>
          <w:color w:val="FFFFFF"/>
          <w:sz w:val="22"/>
        </w:rPr>
        <w:t>Key Points — Table 1</w:t>
      </w:r>
    </w:p>
    <w:p>
      <w:pPr>
        <w:pStyle w:val="ListBullet"/>
        <w:shd w:fill="E8F6F3"/>
      </w:pPr>
      <w:r>
        <w:rPr>
          <w:sz w:val="20"/>
        </w:rPr>
        <w:t>Agriculture: 83.30 BU (2022) to 98.45 BU (2025) — growth of 18.2%.</w:t>
      </w:r>
    </w:p>
    <w:p>
      <w:pPr>
        <w:pStyle w:val="ListBullet"/>
        <w:shd w:fill="E8F6F3"/>
      </w:pPr>
      <w:r>
        <w:rPr>
          <w:sz w:val="20"/>
        </w:rPr>
        <w:t>Domestic: 58.44 BU to 71.25 BU — growth of 21.9%.</w:t>
      </w:r>
    </w:p>
    <w:p>
      <w:pPr>
        <w:pStyle w:val="ListBullet"/>
        <w:shd w:fill="E8F6F3"/>
      </w:pPr>
      <w:r>
        <w:rPr>
          <w:sz w:val="20"/>
        </w:rPr>
        <w:t>Industrial: 23.48 BU to 33.65 BU — growth of 43.3%.</w:t>
      </w:r>
    </w:p>
    <w:p>
      <w:pPr>
        <w:pStyle w:val="ListBullet"/>
        <w:shd w:fill="E8F6F3"/>
      </w:pPr>
      <w:r>
        <w:rPr>
          <w:sz w:val="20"/>
        </w:rPr>
        <w:t>Combined three-sector total: 165.22 BU to 203.35 BU — growth of 23.1%.</w:t>
      </w:r>
    </w:p>
    <w:p>
      <w:pPr>
        <w:pStyle w:val="ListBullet"/>
        <w:shd w:fill="E8F6F3"/>
      </w:pPr>
      <w:r>
        <w:rPr>
          <w:sz w:val="20"/>
        </w:rPr>
        <w:t>Agriculture is the largest consumer (48.4% share in 2025).</w:t>
      </w:r>
    </w:p>
    <w:p>
      <w:pPr>
        <w:jc w:val="both"/>
      </w:pPr>
      <w:r>
        <w:rPr>
          <w:sz w:val="21"/>
        </w:rPr>
        <w:t>Table 1 shows that electricity consumption increased in all three sectors during every year from 2022 to 2025. No sector recorded a decline in any year. This confirms a steady rise in electricity use across agriculture, industry, and households.</w:t>
      </w:r>
    </w:p>
    <w:p>
      <w:pPr>
        <w:shd w:fill="D4EFF5"/>
      </w:pPr>
      <w:r>
        <w:rPr>
          <w:b/>
          <w:color w:val="1A6B7C"/>
          <w:sz w:val="22"/>
        </w:rPr>
        <w:t>Table 1: Sector-wise Electricity Consumption (Billion Units)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fill="1A6B7C"/>
          </w:tcPr>
          <w:p>
            <w:r>
              <w:rPr>
                <w:b/>
                <w:color w:val="FFFFFF"/>
                <w:sz w:val="20"/>
              </w:rPr>
              <w:t>Sector</w:t>
            </w:r>
          </w:p>
        </w:tc>
        <w:tc>
          <w:tcPr>
            <w:tcW w:type="dxa" w:w="1624"/>
            <w:shd w:fill="1A6B7C"/>
          </w:tcPr>
          <w:p>
            <w:r>
              <w:rPr>
                <w:b/>
                <w:color w:val="FFFFFF"/>
                <w:sz w:val="20"/>
              </w:rPr>
              <w:t>2022</w:t>
            </w:r>
          </w:p>
        </w:tc>
        <w:tc>
          <w:tcPr>
            <w:tcW w:type="dxa" w:w="1624"/>
            <w:shd w:fill="1A6B7C"/>
          </w:tcPr>
          <w:p>
            <w:r>
              <w:rPr>
                <w:b/>
                <w:color w:val="FFFFFF"/>
                <w:sz w:val="20"/>
              </w:rPr>
              <w:t>2023</w:t>
            </w:r>
          </w:p>
        </w:tc>
        <w:tc>
          <w:tcPr>
            <w:tcW w:type="dxa" w:w="1624"/>
            <w:shd w:fill="1A6B7C"/>
          </w:tcPr>
          <w:p>
            <w:r>
              <w:rPr>
                <w:b/>
                <w:color w:val="FFFFFF"/>
                <w:sz w:val="20"/>
              </w:rPr>
              <w:t>2024</w:t>
            </w:r>
          </w:p>
        </w:tc>
        <w:tc>
          <w:tcPr>
            <w:tcW w:type="dxa" w:w="1624"/>
            <w:shd w:fill="1A6B7C"/>
          </w:tcPr>
          <w:p>
            <w:r>
              <w:rPr>
                <w:b/>
                <w:color w:val="FFFFFF"/>
                <w:sz w:val="20"/>
              </w:rPr>
              <w:t>2025</w:t>
            </w:r>
          </w:p>
        </w:tc>
        <w:tc>
          <w:tcPr>
            <w:tcW w:type="dxa" w:w="1624"/>
            <w:shd w:fill="1A6B7C"/>
          </w:tcPr>
          <w:p>
            <w:r>
              <w:rPr>
                <w:b/>
                <w:color w:val="FFFFFF"/>
                <w:sz w:val="20"/>
              </w:rPr>
              <w:t>Growth (%)</w:t>
            </w:r>
          </w:p>
        </w:tc>
      </w:tr>
      <w:tr>
        <w:tc>
          <w:tcPr>
            <w:tcW w:type="dxa" w:w="1624"/>
          </w:tcPr>
          <w:p>
            <w:r>
              <w:rPr>
                <w:sz w:val="20"/>
              </w:rPr>
              <w:t>Agriculture</w:t>
            </w:r>
          </w:p>
        </w:tc>
        <w:tc>
          <w:tcPr>
            <w:tcW w:type="dxa" w:w="1624"/>
          </w:tcPr>
          <w:p>
            <w:r>
              <w:rPr>
                <w:sz w:val="20"/>
              </w:rPr>
              <w:t>83.30</w:t>
            </w:r>
          </w:p>
        </w:tc>
        <w:tc>
          <w:tcPr>
            <w:tcW w:type="dxa" w:w="1624"/>
          </w:tcPr>
          <w:p>
            <w:r>
              <w:rPr>
                <w:sz w:val="20"/>
              </w:rPr>
              <w:t>88.96</w:t>
            </w:r>
          </w:p>
        </w:tc>
        <w:tc>
          <w:tcPr>
            <w:tcW w:type="dxa" w:w="1624"/>
          </w:tcPr>
          <w:p>
            <w:r>
              <w:rPr>
                <w:sz w:val="20"/>
              </w:rPr>
              <w:t>93.67</w:t>
            </w:r>
          </w:p>
        </w:tc>
        <w:tc>
          <w:tcPr>
            <w:tcW w:type="dxa" w:w="1624"/>
          </w:tcPr>
          <w:p>
            <w:r>
              <w:rPr>
                <w:sz w:val="20"/>
              </w:rPr>
              <w:t>98.45</w:t>
            </w:r>
          </w:p>
        </w:tc>
        <w:tc>
          <w:tcPr>
            <w:tcW w:type="dxa" w:w="1624"/>
          </w:tcPr>
          <w:p>
            <w:r>
              <w:rPr>
                <w:sz w:val="20"/>
              </w:rPr>
              <w:t>18.2</w:t>
            </w:r>
          </w:p>
        </w:tc>
      </w:tr>
      <w:tr>
        <w:tc>
          <w:tcPr>
            <w:tcW w:type="dxa" w:w="1624"/>
            <w:shd w:fill="B8E8DC"/>
          </w:tcPr>
          <w:p>
            <w:r>
              <w:rPr>
                <w:sz w:val="20"/>
              </w:rPr>
              <w:t>Industrial</w:t>
            </w:r>
          </w:p>
        </w:tc>
        <w:tc>
          <w:tcPr>
            <w:tcW w:type="dxa" w:w="1624"/>
            <w:shd w:fill="B8E8DC"/>
          </w:tcPr>
          <w:p>
            <w:r>
              <w:rPr>
                <w:sz w:val="20"/>
              </w:rPr>
              <w:t>23.48</w:t>
            </w:r>
          </w:p>
        </w:tc>
        <w:tc>
          <w:tcPr>
            <w:tcW w:type="dxa" w:w="1624"/>
            <w:shd w:fill="B8E8DC"/>
          </w:tcPr>
          <w:p>
            <w:r>
              <w:rPr>
                <w:sz w:val="20"/>
              </w:rPr>
              <w:t>28.78</w:t>
            </w:r>
          </w:p>
        </w:tc>
        <w:tc>
          <w:tcPr>
            <w:tcW w:type="dxa" w:w="1624"/>
            <w:shd w:fill="B8E8DC"/>
          </w:tcPr>
          <w:p>
            <w:r>
              <w:rPr>
                <w:sz w:val="20"/>
              </w:rPr>
              <w:t>30.78</w:t>
            </w:r>
          </w:p>
        </w:tc>
        <w:tc>
          <w:tcPr>
            <w:tcW w:type="dxa" w:w="1624"/>
            <w:shd w:fill="B8E8DC"/>
          </w:tcPr>
          <w:p>
            <w:r>
              <w:rPr>
                <w:sz w:val="20"/>
              </w:rPr>
              <w:t>33.65</w:t>
            </w:r>
          </w:p>
        </w:tc>
        <w:tc>
          <w:tcPr>
            <w:tcW w:type="dxa" w:w="1624"/>
            <w:shd w:fill="B8E8DC"/>
          </w:tcPr>
          <w:p>
            <w:r>
              <w:rPr>
                <w:sz w:val="20"/>
              </w:rPr>
              <w:t>43.3</w:t>
            </w:r>
          </w:p>
        </w:tc>
      </w:tr>
      <w:tr>
        <w:tc>
          <w:tcPr>
            <w:tcW w:type="dxa" w:w="1624"/>
            <w:shd w:fill="B8E8DC"/>
          </w:tcPr>
          <w:p>
            <w:r>
              <w:rPr>
                <w:sz w:val="20"/>
              </w:rPr>
              <w:t>Domestic</w:t>
            </w:r>
          </w:p>
        </w:tc>
        <w:tc>
          <w:tcPr>
            <w:tcW w:type="dxa" w:w="1624"/>
            <w:shd w:fill="B8E8DC"/>
          </w:tcPr>
          <w:p>
            <w:r>
              <w:rPr>
                <w:sz w:val="20"/>
              </w:rPr>
              <w:t>58.44</w:t>
            </w:r>
          </w:p>
        </w:tc>
        <w:tc>
          <w:tcPr>
            <w:tcW w:type="dxa" w:w="1624"/>
            <w:shd w:fill="B8E8DC"/>
          </w:tcPr>
          <w:p>
            <w:r>
              <w:rPr>
                <w:sz w:val="20"/>
              </w:rPr>
              <w:t>64.20</w:t>
            </w:r>
          </w:p>
        </w:tc>
        <w:tc>
          <w:tcPr>
            <w:tcW w:type="dxa" w:w="1624"/>
            <w:shd w:fill="B8E8DC"/>
          </w:tcPr>
          <w:p>
            <w:r>
              <w:rPr>
                <w:sz w:val="20"/>
              </w:rPr>
              <w:t>67.80</w:t>
            </w:r>
          </w:p>
        </w:tc>
        <w:tc>
          <w:tcPr>
            <w:tcW w:type="dxa" w:w="1624"/>
            <w:shd w:fill="B8E8DC"/>
          </w:tcPr>
          <w:p>
            <w:r>
              <w:rPr>
                <w:sz w:val="20"/>
              </w:rPr>
              <w:t>71.25</w:t>
            </w:r>
          </w:p>
        </w:tc>
        <w:tc>
          <w:tcPr>
            <w:tcW w:type="dxa" w:w="1624"/>
            <w:shd w:fill="B8E8DC"/>
          </w:tcPr>
          <w:p>
            <w:r>
              <w:rPr>
                <w:sz w:val="20"/>
              </w:rPr>
              <w:t>21.9</w:t>
            </w:r>
          </w:p>
        </w:tc>
      </w:tr>
    </w:tbl>
    <w:p/>
    <w:p>
      <w:pPr>
        <w:shd w:fill="D4EFF5"/>
      </w:pPr>
      <w:r>
        <w:rPr>
          <w:b/>
          <w:color w:val="1A6B7C"/>
          <w:sz w:val="22"/>
        </w:rPr>
        <w:t>Year-on-Year Growth by Sector</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A6B7C"/>
          </w:tcPr>
          <w:p>
            <w:r>
              <w:rPr>
                <w:b/>
                <w:color w:val="FFFFFF"/>
                <w:sz w:val="20"/>
              </w:rPr>
              <w:t>Sector</w:t>
            </w:r>
          </w:p>
        </w:tc>
        <w:tc>
          <w:tcPr>
            <w:tcW w:type="dxa" w:w="2436"/>
            <w:shd w:fill="1A6B7C"/>
          </w:tcPr>
          <w:p>
            <w:r>
              <w:rPr>
                <w:b/>
                <w:color w:val="FFFFFF"/>
                <w:sz w:val="20"/>
              </w:rPr>
              <w:t>2022–23 (%)</w:t>
            </w:r>
          </w:p>
        </w:tc>
        <w:tc>
          <w:tcPr>
            <w:tcW w:type="dxa" w:w="2436"/>
            <w:shd w:fill="1A6B7C"/>
          </w:tcPr>
          <w:p>
            <w:r>
              <w:rPr>
                <w:b/>
                <w:color w:val="FFFFFF"/>
                <w:sz w:val="20"/>
              </w:rPr>
              <w:t>2023–24 (%)</w:t>
            </w:r>
          </w:p>
        </w:tc>
        <w:tc>
          <w:tcPr>
            <w:tcW w:type="dxa" w:w="2436"/>
            <w:shd w:fill="1A6B7C"/>
          </w:tcPr>
          <w:p>
            <w:r>
              <w:rPr>
                <w:b/>
                <w:color w:val="FFFFFF"/>
                <w:sz w:val="20"/>
              </w:rPr>
              <w:t>2024–25 (%)</w:t>
            </w:r>
          </w:p>
        </w:tc>
      </w:tr>
      <w:tr>
        <w:tc>
          <w:tcPr>
            <w:tcW w:type="dxa" w:w="2436"/>
          </w:tcPr>
          <w:p>
            <w:r>
              <w:rPr>
                <w:sz w:val="20"/>
              </w:rPr>
              <w:t>Agriculture</w:t>
            </w:r>
          </w:p>
        </w:tc>
        <w:tc>
          <w:tcPr>
            <w:tcW w:type="dxa" w:w="2436"/>
          </w:tcPr>
          <w:p>
            <w:r>
              <w:rPr>
                <w:sz w:val="20"/>
              </w:rPr>
              <w:t>6.8</w:t>
            </w:r>
          </w:p>
        </w:tc>
        <w:tc>
          <w:tcPr>
            <w:tcW w:type="dxa" w:w="2436"/>
          </w:tcPr>
          <w:p>
            <w:r>
              <w:rPr>
                <w:sz w:val="20"/>
              </w:rPr>
              <w:t>5.3</w:t>
            </w:r>
          </w:p>
        </w:tc>
        <w:tc>
          <w:tcPr>
            <w:tcW w:type="dxa" w:w="2436"/>
          </w:tcPr>
          <w:p>
            <w:r>
              <w:rPr>
                <w:sz w:val="20"/>
              </w:rPr>
              <w:t>5.1</w:t>
            </w:r>
          </w:p>
        </w:tc>
      </w:tr>
      <w:tr>
        <w:tc>
          <w:tcPr>
            <w:tcW w:type="dxa" w:w="2436"/>
            <w:shd w:fill="B8E8DC"/>
          </w:tcPr>
          <w:p>
            <w:r>
              <w:rPr>
                <w:sz w:val="20"/>
              </w:rPr>
              <w:t>Industrial</w:t>
            </w:r>
          </w:p>
        </w:tc>
        <w:tc>
          <w:tcPr>
            <w:tcW w:type="dxa" w:w="2436"/>
            <w:shd w:fill="B8E8DC"/>
          </w:tcPr>
          <w:p>
            <w:r>
              <w:rPr>
                <w:sz w:val="20"/>
              </w:rPr>
              <w:t>22.6</w:t>
            </w:r>
          </w:p>
        </w:tc>
        <w:tc>
          <w:tcPr>
            <w:tcW w:type="dxa" w:w="2436"/>
            <w:shd w:fill="B8E8DC"/>
          </w:tcPr>
          <w:p>
            <w:r>
              <w:rPr>
                <w:sz w:val="20"/>
              </w:rPr>
              <w:t>7.0</w:t>
            </w:r>
          </w:p>
        </w:tc>
        <w:tc>
          <w:tcPr>
            <w:tcW w:type="dxa" w:w="2436"/>
            <w:shd w:fill="B8E8DC"/>
          </w:tcPr>
          <w:p>
            <w:r>
              <w:rPr>
                <w:sz w:val="20"/>
              </w:rPr>
              <w:t>9.3</w:t>
            </w:r>
          </w:p>
        </w:tc>
      </w:tr>
      <w:tr>
        <w:tc>
          <w:tcPr>
            <w:tcW w:type="dxa" w:w="2436"/>
          </w:tcPr>
          <w:p>
            <w:r>
              <w:rPr>
                <w:sz w:val="20"/>
              </w:rPr>
              <w:t>Domestic</w:t>
            </w:r>
          </w:p>
        </w:tc>
        <w:tc>
          <w:tcPr>
            <w:tcW w:type="dxa" w:w="2436"/>
          </w:tcPr>
          <w:p>
            <w:r>
              <w:rPr>
                <w:sz w:val="20"/>
              </w:rPr>
              <w:t>9.9</w:t>
            </w:r>
          </w:p>
        </w:tc>
        <w:tc>
          <w:tcPr>
            <w:tcW w:type="dxa" w:w="2436"/>
          </w:tcPr>
          <w:p>
            <w:r>
              <w:rPr>
                <w:sz w:val="20"/>
              </w:rPr>
              <w:t>5.6</w:t>
            </w:r>
          </w:p>
        </w:tc>
        <w:tc>
          <w:tcPr>
            <w:tcW w:type="dxa" w:w="2436"/>
          </w:tcPr>
          <w:p>
            <w:r>
              <w:rPr>
                <w:sz w:val="20"/>
              </w:rPr>
              <w:t>5.1</w:t>
            </w:r>
          </w:p>
        </w:tc>
      </w:tr>
    </w:tbl>
    <w:p/>
    <w:p>
      <w:pPr>
        <w:shd w:fill="D4EFF5"/>
      </w:pPr>
      <w:r>
        <w:rPr>
          <w:b/>
          <w:color w:val="1A6B7C"/>
          <w:sz w:val="22"/>
        </w:rPr>
        <w:t>Overall Growth Trends (2022–2025)</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A6B7C"/>
          </w:tcPr>
          <w:p>
            <w:r>
              <w:rPr>
                <w:b/>
                <w:color w:val="FFFFFF"/>
                <w:sz w:val="20"/>
              </w:rPr>
              <w:t>Year</w:t>
            </w:r>
          </w:p>
        </w:tc>
        <w:tc>
          <w:tcPr>
            <w:tcW w:type="dxa" w:w="2436"/>
            <w:shd w:fill="1A6B7C"/>
          </w:tcPr>
          <w:p>
            <w:r>
              <w:rPr>
                <w:b/>
                <w:color w:val="FFFFFF"/>
                <w:sz w:val="20"/>
              </w:rPr>
              <w:t>Combined BU</w:t>
            </w:r>
          </w:p>
        </w:tc>
        <w:tc>
          <w:tcPr>
            <w:tcW w:type="dxa" w:w="2436"/>
            <w:shd w:fill="1A6B7C"/>
          </w:tcPr>
          <w:p>
            <w:r>
              <w:rPr>
                <w:b/>
                <w:color w:val="FFFFFF"/>
                <w:sz w:val="20"/>
              </w:rPr>
              <w:t>Annual Increase</w:t>
            </w:r>
          </w:p>
        </w:tc>
        <w:tc>
          <w:tcPr>
            <w:tcW w:type="dxa" w:w="2436"/>
            <w:shd w:fill="1A6B7C"/>
          </w:tcPr>
          <w:p>
            <w:r>
              <w:rPr>
                <w:b/>
                <w:color w:val="FFFFFF"/>
                <w:sz w:val="20"/>
              </w:rPr>
              <w:t>YoY Growth (%)</w:t>
            </w:r>
          </w:p>
        </w:tc>
      </w:tr>
      <w:tr>
        <w:tc>
          <w:tcPr>
            <w:tcW w:type="dxa" w:w="2436"/>
          </w:tcPr>
          <w:p>
            <w:r>
              <w:rPr>
                <w:sz w:val="20"/>
              </w:rPr>
              <w:t>2022</w:t>
            </w:r>
          </w:p>
        </w:tc>
        <w:tc>
          <w:tcPr>
            <w:tcW w:type="dxa" w:w="2436"/>
          </w:tcPr>
          <w:p>
            <w:r>
              <w:rPr>
                <w:sz w:val="20"/>
              </w:rPr>
              <w:t>165.22</w:t>
            </w:r>
          </w:p>
        </w:tc>
        <w:tc>
          <w:tcPr>
            <w:tcW w:type="dxa" w:w="2436"/>
          </w:tcPr>
          <w:p>
            <w:r>
              <w:rPr>
                <w:sz w:val="20"/>
              </w:rPr>
              <w:t>—</w:t>
            </w:r>
          </w:p>
        </w:tc>
        <w:tc>
          <w:tcPr>
            <w:tcW w:type="dxa" w:w="2436"/>
          </w:tcPr>
          <w:p>
            <w:r>
              <w:rPr>
                <w:sz w:val="20"/>
              </w:rPr>
              <w:t>—</w:t>
            </w:r>
          </w:p>
        </w:tc>
      </w:tr>
      <w:tr>
        <w:tc>
          <w:tcPr>
            <w:tcW w:type="dxa" w:w="2436"/>
            <w:shd w:fill="E8F6F3"/>
          </w:tcPr>
          <w:p>
            <w:r>
              <w:rPr>
                <w:sz w:val="20"/>
              </w:rPr>
              <w:t>2023</w:t>
            </w:r>
          </w:p>
        </w:tc>
        <w:tc>
          <w:tcPr>
            <w:tcW w:type="dxa" w:w="2436"/>
            <w:shd w:fill="E8F6F3"/>
          </w:tcPr>
          <w:p>
            <w:r>
              <w:rPr>
                <w:sz w:val="20"/>
              </w:rPr>
              <w:t>181.94</w:t>
            </w:r>
          </w:p>
        </w:tc>
        <w:tc>
          <w:tcPr>
            <w:tcW w:type="dxa" w:w="2436"/>
            <w:shd w:fill="E8F6F3"/>
          </w:tcPr>
          <w:p>
            <w:r>
              <w:rPr>
                <w:sz w:val="20"/>
              </w:rPr>
              <w:t>+16.72</w:t>
            </w:r>
          </w:p>
        </w:tc>
        <w:tc>
          <w:tcPr>
            <w:tcW w:type="dxa" w:w="2436"/>
            <w:shd w:fill="E8F6F3"/>
          </w:tcPr>
          <w:p>
            <w:r>
              <w:rPr>
                <w:sz w:val="20"/>
              </w:rPr>
              <w:t>10.1</w:t>
            </w:r>
          </w:p>
        </w:tc>
      </w:tr>
      <w:tr>
        <w:tc>
          <w:tcPr>
            <w:tcW w:type="dxa" w:w="2436"/>
          </w:tcPr>
          <w:p>
            <w:r>
              <w:rPr>
                <w:sz w:val="20"/>
              </w:rPr>
              <w:t>2024</w:t>
            </w:r>
          </w:p>
        </w:tc>
        <w:tc>
          <w:tcPr>
            <w:tcW w:type="dxa" w:w="2436"/>
          </w:tcPr>
          <w:p>
            <w:r>
              <w:rPr>
                <w:sz w:val="20"/>
              </w:rPr>
              <w:t>192.25</w:t>
            </w:r>
          </w:p>
        </w:tc>
        <w:tc>
          <w:tcPr>
            <w:tcW w:type="dxa" w:w="2436"/>
          </w:tcPr>
          <w:p>
            <w:r>
              <w:rPr>
                <w:sz w:val="20"/>
              </w:rPr>
              <w:t>+10.31</w:t>
            </w:r>
          </w:p>
        </w:tc>
        <w:tc>
          <w:tcPr>
            <w:tcW w:type="dxa" w:w="2436"/>
          </w:tcPr>
          <w:p>
            <w:r>
              <w:rPr>
                <w:sz w:val="20"/>
              </w:rPr>
              <w:t>5.7</w:t>
            </w:r>
          </w:p>
        </w:tc>
      </w:tr>
      <w:tr>
        <w:tc>
          <w:tcPr>
            <w:tcW w:type="dxa" w:w="2436"/>
            <w:shd w:fill="B8E8DC"/>
          </w:tcPr>
          <w:p>
            <w:r>
              <w:rPr>
                <w:sz w:val="20"/>
              </w:rPr>
              <w:t>2025</w:t>
            </w:r>
          </w:p>
        </w:tc>
        <w:tc>
          <w:tcPr>
            <w:tcW w:type="dxa" w:w="2436"/>
            <w:shd w:fill="B8E8DC"/>
          </w:tcPr>
          <w:p>
            <w:r>
              <w:rPr>
                <w:sz w:val="20"/>
              </w:rPr>
              <w:t>203.35</w:t>
            </w:r>
          </w:p>
        </w:tc>
        <w:tc>
          <w:tcPr>
            <w:tcW w:type="dxa" w:w="2436"/>
            <w:shd w:fill="B8E8DC"/>
          </w:tcPr>
          <w:p>
            <w:r>
              <w:rPr>
                <w:sz w:val="20"/>
              </w:rPr>
              <w:t>+11.10</w:t>
            </w:r>
          </w:p>
        </w:tc>
        <w:tc>
          <w:tcPr>
            <w:tcW w:type="dxa" w:w="2436"/>
            <w:shd w:fill="B8E8DC"/>
          </w:tcPr>
          <w:p>
            <w:r>
              <w:rPr>
                <w:sz w:val="20"/>
              </w:rPr>
              <w:t>5.8</w:t>
            </w:r>
          </w:p>
        </w:tc>
      </w:tr>
    </w:tbl>
    <w:p/>
    <w:p>
      <w:pPr>
        <w:jc w:val="both"/>
      </w:pPr>
      <w:r>
        <w:rPr>
          <w:sz w:val="21"/>
        </w:rPr>
        <w:t>The combined consumption of the three sectors grew from 165.22 BU to 203.35 BU. The total increase was 38.13 BU, which is 23.1% over four years. The highest yearly rise was in 2022–23 (+16.72 BU), mainly due to the sharp increase in industrial consumption.</w:t>
      </w:r>
    </w:p>
    <w:p>
      <w:pPr>
        <w:jc w:val="center"/>
      </w:pPr>
      <w:r>
        <w:drawing>
          <wp:inline xmlns:a="http://schemas.openxmlformats.org/drawingml/2006/main" xmlns:pic="http://schemas.openxmlformats.org/drawingml/2006/picture">
            <wp:extent cx="2606040" cy="1874520"/>
            <wp:docPr id="1" name="Picture 1"/>
            <wp:cNvGraphicFramePr>
              <a:graphicFrameLocks noChangeAspect="1"/>
            </wp:cNvGraphicFramePr>
            <a:graphic>
              <a:graphicData uri="http://schemas.openxmlformats.org/drawingml/2006/picture">
                <pic:pic>
                  <pic:nvPicPr>
                    <pic:cNvPr id="0" name="c01_sector_2025.png"/>
                    <pic:cNvPicPr/>
                  </pic:nvPicPr>
                  <pic:blipFill>
                    <a:blip r:embed="rId9"/>
                    <a:stretch>
                      <a:fillRect/>
                    </a:stretch>
                  </pic:blipFill>
                  <pic:spPr>
                    <a:xfrm>
                      <a:off x="0" y="0"/>
                      <a:ext cx="2606040" cy="1874520"/>
                    </a:xfrm>
                    <a:prstGeom prst="rect"/>
                  </pic:spPr>
                </pic:pic>
              </a:graphicData>
            </a:graphic>
          </wp:inline>
        </w:drawing>
      </w:r>
      <w:r>
        <w:t xml:space="preserve">   </w:t>
      </w:r>
      <w:r>
        <w:drawing>
          <wp:inline xmlns:a="http://schemas.openxmlformats.org/drawingml/2006/main" xmlns:pic="http://schemas.openxmlformats.org/drawingml/2006/picture">
            <wp:extent cx="2606040" cy="1873878"/>
            <wp:docPr id="2" name="Picture 2"/>
            <wp:cNvGraphicFramePr>
              <a:graphicFrameLocks noChangeAspect="1"/>
            </wp:cNvGraphicFramePr>
            <a:graphic>
              <a:graphicData uri="http://schemas.openxmlformats.org/drawingml/2006/picture">
                <pic:pic>
                  <pic:nvPicPr>
                    <pic:cNvPr id="0" name="c09_sector_trend.png"/>
                    <pic:cNvPicPr/>
                  </pic:nvPicPr>
                  <pic:blipFill>
                    <a:blip r:embed="rId10"/>
                    <a:stretch>
                      <a:fillRect/>
                    </a:stretch>
                  </pic:blipFill>
                  <pic:spPr>
                    <a:xfrm>
                      <a:off x="0" y="0"/>
                      <a:ext cx="2606040" cy="1873878"/>
                    </a:xfrm>
                    <a:prstGeom prst="rect"/>
                  </pic:spPr>
                </pic:pic>
              </a:graphicData>
            </a:graphic>
          </wp:inline>
        </w:drawing>
      </w:r>
    </w:p>
    <w:p>
      <w:pPr>
        <w:jc w:val="center"/>
      </w:pPr>
      <w:r>
        <w:rPr>
          <w:i/>
          <w:color w:val="788C96"/>
          <w:sz w:val="16"/>
        </w:rPr>
        <w:t>Page 2 | Source: Table 1 — End-Term Data</w:t>
      </w:r>
    </w:p>
    <w:p>
      <w:r>
        <w:br w:type="page"/>
      </w:r>
    </w:p>
    <w:p>
      <w:pPr>
        <w:spacing w:after="0"/>
        <w:jc w:val="center"/>
        <w:shd w:fill="1A6B7C"/>
      </w:pPr>
      <w:r>
        <w:rPr>
          <w:b/>
          <w:color w:val="FFFFFF"/>
          <w:sz w:val="28"/>
        </w:rPr>
        <w:t>Highest Growth Sector Analysis</w:t>
      </w:r>
    </w:p>
    <w:p>
      <w:pPr>
        <w:spacing w:after="0"/>
        <w:jc w:val="center"/>
        <w:shd w:fill="3D9EB5"/>
      </w:pPr>
      <w:r>
        <w:rPr>
          <w:b/>
          <w:color w:val="FFFFFF"/>
          <w:sz w:val="22"/>
        </w:rPr>
        <w:t>Identification of Dominant Sector and Key Drivers</w:t>
      </w:r>
    </w:p>
    <w:p>
      <w:pPr>
        <w:shd w:fill="3D9EB5"/>
      </w:pPr>
      <w:r>
        <w:rPr>
          <w:b/>
          <w:color w:val="FFFFFF"/>
          <w:sz w:val="22"/>
        </w:rPr>
        <w:t>Key Points</w:t>
      </w:r>
    </w:p>
    <w:p>
      <w:pPr>
        <w:pStyle w:val="ListBullet"/>
        <w:shd w:fill="E8F6F3"/>
      </w:pPr>
      <w:r>
        <w:rPr>
          <w:sz w:val="20"/>
        </w:rPr>
        <w:t>The industrial sector recorded the highest growth: 43.3% (2022–2025).</w:t>
      </w:r>
    </w:p>
    <w:p>
      <w:pPr>
        <w:pStyle w:val="ListBullet"/>
        <w:shd w:fill="E8F6F3"/>
      </w:pPr>
      <w:r>
        <w:rPr>
          <w:sz w:val="20"/>
        </w:rPr>
        <w:t>Industrial CAGR: 12.7% — higher than agriculture (5.8%) and domestic (6.7%).</w:t>
      </w:r>
    </w:p>
    <w:p>
      <w:pPr>
        <w:pStyle w:val="ListBullet"/>
        <w:shd w:fill="E8F6F3"/>
      </w:pPr>
      <w:r>
        <w:rPr>
          <w:sz w:val="20"/>
        </w:rPr>
        <w:t>Highest single-year growth: 22.6% in industry (2022–23).</w:t>
      </w:r>
    </w:p>
    <w:p>
      <w:pPr>
        <w:pStyle w:val="ListBullet"/>
        <w:shd w:fill="E8F6F3"/>
      </w:pPr>
      <w:r>
        <w:rPr>
          <w:sz w:val="20"/>
        </w:rPr>
        <w:t>Agriculture added the most in absolute terms (+15.15 BU) but grew more slowly.</w:t>
      </w:r>
    </w:p>
    <w:p>
      <w:pPr>
        <w:pStyle w:val="ListBullet"/>
        <w:shd w:fill="E8F6F3"/>
      </w:pPr>
      <w:r>
        <w:rPr>
          <w:sz w:val="20"/>
        </w:rPr>
        <w:t>Drivers (from additional information): industrial expansion, irrigation, urbanisation, and AC use.</w:t>
      </w:r>
    </w:p>
    <w:p>
      <w:pPr>
        <w:shd w:fill="D4EFF5"/>
      </w:pPr>
      <w:r>
        <w:rPr>
          <w:sz w:val="21"/>
        </w:rPr>
        <w:t>Finding: The industrial sector recorded the highest growth in electricity consumption during 2022–2025.</w:t>
      </w:r>
    </w:p>
    <w:p>
      <w:pPr>
        <w:jc w:val="both"/>
      </w:pPr>
      <w:r>
        <w:rPr>
          <w:sz w:val="21"/>
        </w:rPr>
        <w:t>A comparison of the three sectors shows that industry had the fastest growth rate, even though agriculture consumed the highest volume of electricity. In 2022, industrial consumption was about 40.2% of domestic consumption. By 2025, this increased to 47.2%.</w:t>
      </w:r>
    </w:p>
    <w:p>
      <w:pPr>
        <w:shd w:fill="D4EFF5"/>
      </w:pPr>
      <w:r>
        <w:rPr>
          <w:b/>
          <w:color w:val="1A6B7C"/>
          <w:sz w:val="22"/>
        </w:rPr>
        <w:t>Comparative Analysis (2022–2025)</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A6B7C"/>
          </w:tcPr>
          <w:p>
            <w:r>
              <w:rPr>
                <w:b/>
                <w:color w:val="FFFFFF"/>
                <w:sz w:val="20"/>
              </w:rPr>
              <w:t>Measure</w:t>
            </w:r>
          </w:p>
        </w:tc>
        <w:tc>
          <w:tcPr>
            <w:tcW w:type="dxa" w:w="2436"/>
            <w:shd w:fill="1A6B7C"/>
          </w:tcPr>
          <w:p>
            <w:r>
              <w:rPr>
                <w:b/>
                <w:color w:val="FFFFFF"/>
                <w:sz w:val="20"/>
              </w:rPr>
              <w:t>Agriculture</w:t>
            </w:r>
          </w:p>
        </w:tc>
        <w:tc>
          <w:tcPr>
            <w:tcW w:type="dxa" w:w="2436"/>
            <w:shd w:fill="1A6B7C"/>
          </w:tcPr>
          <w:p>
            <w:r>
              <w:rPr>
                <w:b/>
                <w:color w:val="FFFFFF"/>
                <w:sz w:val="20"/>
              </w:rPr>
              <w:t>Industrial</w:t>
            </w:r>
          </w:p>
        </w:tc>
        <w:tc>
          <w:tcPr>
            <w:tcW w:type="dxa" w:w="2436"/>
            <w:shd w:fill="1A6B7C"/>
          </w:tcPr>
          <w:p>
            <w:r>
              <w:rPr>
                <w:b/>
                <w:color w:val="FFFFFF"/>
                <w:sz w:val="20"/>
              </w:rPr>
              <w:t>Domestic</w:t>
            </w:r>
          </w:p>
        </w:tc>
      </w:tr>
      <w:tr>
        <w:tc>
          <w:tcPr>
            <w:tcW w:type="dxa" w:w="2436"/>
          </w:tcPr>
          <w:p>
            <w:r>
              <w:rPr>
                <w:sz w:val="20"/>
              </w:rPr>
              <w:t>2022 (BU)</w:t>
            </w:r>
          </w:p>
        </w:tc>
        <w:tc>
          <w:tcPr>
            <w:tcW w:type="dxa" w:w="2436"/>
          </w:tcPr>
          <w:p>
            <w:r>
              <w:rPr>
                <w:sz w:val="20"/>
              </w:rPr>
              <w:t>83.30</w:t>
            </w:r>
          </w:p>
        </w:tc>
        <w:tc>
          <w:tcPr>
            <w:tcW w:type="dxa" w:w="2436"/>
          </w:tcPr>
          <w:p>
            <w:r>
              <w:rPr>
                <w:sz w:val="20"/>
              </w:rPr>
              <w:t>23.48</w:t>
            </w:r>
          </w:p>
        </w:tc>
        <w:tc>
          <w:tcPr>
            <w:tcW w:type="dxa" w:w="2436"/>
          </w:tcPr>
          <w:p>
            <w:r>
              <w:rPr>
                <w:sz w:val="20"/>
              </w:rPr>
              <w:t>58.44</w:t>
            </w:r>
          </w:p>
        </w:tc>
      </w:tr>
      <w:tr>
        <w:tc>
          <w:tcPr>
            <w:tcW w:type="dxa" w:w="2436"/>
            <w:shd w:fill="E8F6F3"/>
          </w:tcPr>
          <w:p>
            <w:r>
              <w:rPr>
                <w:sz w:val="20"/>
              </w:rPr>
              <w:t>2025 (BU)</w:t>
            </w:r>
          </w:p>
        </w:tc>
        <w:tc>
          <w:tcPr>
            <w:tcW w:type="dxa" w:w="2436"/>
            <w:shd w:fill="E8F6F3"/>
          </w:tcPr>
          <w:p>
            <w:r>
              <w:rPr>
                <w:sz w:val="20"/>
              </w:rPr>
              <w:t>98.45</w:t>
            </w:r>
          </w:p>
        </w:tc>
        <w:tc>
          <w:tcPr>
            <w:tcW w:type="dxa" w:w="2436"/>
            <w:shd w:fill="E8F6F3"/>
          </w:tcPr>
          <w:p>
            <w:r>
              <w:rPr>
                <w:sz w:val="20"/>
              </w:rPr>
              <w:t>33.65</w:t>
            </w:r>
          </w:p>
        </w:tc>
        <w:tc>
          <w:tcPr>
            <w:tcW w:type="dxa" w:w="2436"/>
            <w:shd w:fill="E8F6F3"/>
          </w:tcPr>
          <w:p>
            <w:r>
              <w:rPr>
                <w:sz w:val="20"/>
              </w:rPr>
              <w:t>71.25</w:t>
            </w:r>
          </w:p>
        </w:tc>
      </w:tr>
      <w:tr>
        <w:tc>
          <w:tcPr>
            <w:tcW w:type="dxa" w:w="2436"/>
          </w:tcPr>
          <w:p>
            <w:r>
              <w:rPr>
                <w:sz w:val="20"/>
              </w:rPr>
              <w:t>Absolute Growth (BU)</w:t>
            </w:r>
          </w:p>
        </w:tc>
        <w:tc>
          <w:tcPr>
            <w:tcW w:type="dxa" w:w="2436"/>
          </w:tcPr>
          <w:p>
            <w:r>
              <w:rPr>
                <w:sz w:val="20"/>
              </w:rPr>
              <w:t>+15.15</w:t>
            </w:r>
          </w:p>
        </w:tc>
        <w:tc>
          <w:tcPr>
            <w:tcW w:type="dxa" w:w="2436"/>
          </w:tcPr>
          <w:p>
            <w:r>
              <w:rPr>
                <w:sz w:val="20"/>
              </w:rPr>
              <w:t>+10.17</w:t>
            </w:r>
          </w:p>
        </w:tc>
        <w:tc>
          <w:tcPr>
            <w:tcW w:type="dxa" w:w="2436"/>
          </w:tcPr>
          <w:p>
            <w:r>
              <w:rPr>
                <w:sz w:val="20"/>
              </w:rPr>
              <w:t>+12.81</w:t>
            </w:r>
          </w:p>
        </w:tc>
      </w:tr>
      <w:tr>
        <w:tc>
          <w:tcPr>
            <w:tcW w:type="dxa" w:w="2436"/>
            <w:shd w:fill="B8E8DC"/>
          </w:tcPr>
          <w:p>
            <w:r>
              <w:rPr>
                <w:sz w:val="20"/>
              </w:rPr>
              <w:t>Growth (%)</w:t>
            </w:r>
          </w:p>
        </w:tc>
        <w:tc>
          <w:tcPr>
            <w:tcW w:type="dxa" w:w="2436"/>
            <w:shd w:fill="B8E8DC"/>
          </w:tcPr>
          <w:p>
            <w:r>
              <w:rPr>
                <w:sz w:val="20"/>
              </w:rPr>
              <w:t>18.2</w:t>
            </w:r>
          </w:p>
        </w:tc>
        <w:tc>
          <w:tcPr>
            <w:tcW w:type="dxa" w:w="2436"/>
            <w:shd w:fill="B8E8DC"/>
          </w:tcPr>
          <w:p>
            <w:r>
              <w:rPr>
                <w:sz w:val="20"/>
              </w:rPr>
              <w:t>43.3</w:t>
            </w:r>
          </w:p>
        </w:tc>
        <w:tc>
          <w:tcPr>
            <w:tcW w:type="dxa" w:w="2436"/>
            <w:shd w:fill="B8E8DC"/>
          </w:tcPr>
          <w:p>
            <w:r>
              <w:rPr>
                <w:sz w:val="20"/>
              </w:rPr>
              <w:t>21.9</w:t>
            </w:r>
          </w:p>
        </w:tc>
      </w:tr>
      <w:tr>
        <w:tc>
          <w:tcPr>
            <w:tcW w:type="dxa" w:w="2436"/>
            <w:shd w:fill="B8E8DC"/>
          </w:tcPr>
          <w:p>
            <w:r>
              <w:rPr>
                <w:sz w:val="20"/>
              </w:rPr>
              <w:t>CAGR (%)</w:t>
            </w:r>
          </w:p>
        </w:tc>
        <w:tc>
          <w:tcPr>
            <w:tcW w:type="dxa" w:w="2436"/>
            <w:shd w:fill="B8E8DC"/>
          </w:tcPr>
          <w:p>
            <w:r>
              <w:rPr>
                <w:sz w:val="20"/>
              </w:rPr>
              <w:t>5.8</w:t>
            </w:r>
          </w:p>
        </w:tc>
        <w:tc>
          <w:tcPr>
            <w:tcW w:type="dxa" w:w="2436"/>
            <w:shd w:fill="B8E8DC"/>
          </w:tcPr>
          <w:p>
            <w:r>
              <w:rPr>
                <w:sz w:val="20"/>
              </w:rPr>
              <w:t>12.7</w:t>
            </w:r>
          </w:p>
        </w:tc>
        <w:tc>
          <w:tcPr>
            <w:tcW w:type="dxa" w:w="2436"/>
            <w:shd w:fill="B8E8DC"/>
          </w:tcPr>
          <w:p>
            <w:r>
              <w:rPr>
                <w:sz w:val="20"/>
              </w:rPr>
              <w:t>6.7</w:t>
            </w:r>
          </w:p>
        </w:tc>
      </w:tr>
    </w:tbl>
    <w:p/>
    <w:p>
      <w:pPr>
        <w:shd w:fill="D4EFF5"/>
      </w:pPr>
      <w:r>
        <w:rPr>
          <w:b/>
          <w:color w:val="1A6B7C"/>
          <w:sz w:val="22"/>
        </w:rPr>
        <w:t>Key Drivers of Sectoral Growth (from Additional Information)</w:t>
      </w:r>
    </w:p>
    <w:p>
      <w:pPr>
        <w:jc w:val="both"/>
      </w:pPr>
      <w:r>
        <w:rPr>
          <w:sz w:val="21"/>
        </w:rPr>
        <w:t>The additional information provided with the end-term data states that electricity demand has increased due to rapid urbanisation, industrial expansion, higher use of air conditioners, and increased agricultural irrigation. Peak electricity demand has grown because of cooling demand, industry, and agriculture.</w:t>
      </w:r>
    </w:p>
    <w:tbl>
      <w:tblPr>
        <w:tblStyle w:val="TableGrid"/>
        <w:tblW w:type="auto" w:w="0"/>
        <w:tblLook w:firstColumn="1" w:firstRow="1" w:lastColumn="0" w:lastRow="0" w:noHBand="0" w:noVBand="1" w:val="04A0"/>
      </w:tblPr>
      <w:tblGrid>
        <w:gridCol w:w="3249"/>
        <w:gridCol w:w="3249"/>
        <w:gridCol w:w="3249"/>
      </w:tblGrid>
      <w:tr>
        <w:tc>
          <w:tcPr>
            <w:tcW w:type="dxa" w:w="3249"/>
            <w:shd w:fill="1A6B7C"/>
          </w:tcPr>
          <w:p>
            <w:r>
              <w:rPr>
                <w:b/>
                <w:color w:val="FFFFFF"/>
                <w:sz w:val="20"/>
              </w:rPr>
              <w:t>Sector</w:t>
            </w:r>
          </w:p>
        </w:tc>
        <w:tc>
          <w:tcPr>
            <w:tcW w:type="dxa" w:w="3249"/>
            <w:shd w:fill="1A6B7C"/>
          </w:tcPr>
          <w:p>
            <w:r>
              <w:rPr>
                <w:b/>
                <w:color w:val="FFFFFF"/>
                <w:sz w:val="20"/>
              </w:rPr>
              <w:t>Growth (%)</w:t>
            </w:r>
          </w:p>
        </w:tc>
        <w:tc>
          <w:tcPr>
            <w:tcW w:type="dxa" w:w="3249"/>
            <w:shd w:fill="1A6B7C"/>
          </w:tcPr>
          <w:p>
            <w:r>
              <w:rPr>
                <w:b/>
                <w:color w:val="FFFFFF"/>
                <w:sz w:val="20"/>
              </w:rPr>
              <w:t>Reason (from given data)</w:t>
            </w:r>
          </w:p>
        </w:tc>
      </w:tr>
      <w:tr>
        <w:tc>
          <w:tcPr>
            <w:tcW w:type="dxa" w:w="3249"/>
            <w:shd w:fill="B8E8DC"/>
          </w:tcPr>
          <w:p>
            <w:r>
              <w:rPr>
                <w:sz w:val="20"/>
              </w:rPr>
              <w:t>Industrial</w:t>
            </w:r>
          </w:p>
        </w:tc>
        <w:tc>
          <w:tcPr>
            <w:tcW w:type="dxa" w:w="3249"/>
            <w:shd w:fill="B8E8DC"/>
          </w:tcPr>
          <w:p>
            <w:r>
              <w:rPr>
                <w:sz w:val="20"/>
              </w:rPr>
              <w:t>43.3</w:t>
            </w:r>
          </w:p>
        </w:tc>
        <w:tc>
          <w:tcPr>
            <w:tcW w:type="dxa" w:w="3249"/>
            <w:shd w:fill="B8E8DC"/>
          </w:tcPr>
          <w:p>
            <w:r>
              <w:rPr>
                <w:sz w:val="20"/>
              </w:rPr>
              <w:t>Industrial expansion; contributes to peak demand</w:t>
            </w:r>
          </w:p>
        </w:tc>
      </w:tr>
      <w:tr>
        <w:tc>
          <w:tcPr>
            <w:tcW w:type="dxa" w:w="3249"/>
            <w:shd w:fill="E8F6F3"/>
          </w:tcPr>
          <w:p>
            <w:r>
              <w:rPr>
                <w:sz w:val="20"/>
              </w:rPr>
              <w:t>Agriculture</w:t>
            </w:r>
          </w:p>
        </w:tc>
        <w:tc>
          <w:tcPr>
            <w:tcW w:type="dxa" w:w="3249"/>
            <w:shd w:fill="E8F6F3"/>
          </w:tcPr>
          <w:p>
            <w:r>
              <w:rPr>
                <w:sz w:val="20"/>
              </w:rPr>
              <w:t>18.2</w:t>
            </w:r>
          </w:p>
        </w:tc>
        <w:tc>
          <w:tcPr>
            <w:tcW w:type="dxa" w:w="3249"/>
            <w:shd w:fill="E8F6F3"/>
          </w:tcPr>
          <w:p>
            <w:r>
              <w:rPr>
                <w:sz w:val="20"/>
              </w:rPr>
              <w:t>Increased agricultural irrigation; contributes to peak demand</w:t>
            </w:r>
          </w:p>
        </w:tc>
      </w:tr>
      <w:tr>
        <w:tc>
          <w:tcPr>
            <w:tcW w:type="dxa" w:w="3249"/>
          </w:tcPr>
          <w:p>
            <w:r>
              <w:rPr>
                <w:sz w:val="20"/>
              </w:rPr>
              <w:t>Domestic</w:t>
            </w:r>
          </w:p>
        </w:tc>
        <w:tc>
          <w:tcPr>
            <w:tcW w:type="dxa" w:w="3249"/>
          </w:tcPr>
          <w:p>
            <w:r>
              <w:rPr>
                <w:sz w:val="20"/>
              </w:rPr>
              <w:t>21.9</w:t>
            </w:r>
          </w:p>
        </w:tc>
        <w:tc>
          <w:tcPr>
            <w:tcW w:type="dxa" w:w="3249"/>
          </w:tcPr>
          <w:p>
            <w:r>
              <w:rPr>
                <w:sz w:val="20"/>
              </w:rPr>
              <w:t>Rapid urbanisation; higher use of air conditioners</w:t>
            </w:r>
          </w:p>
        </w:tc>
      </w:tr>
    </w:tbl>
    <w:p/>
    <w:p>
      <w:pPr>
        <w:jc w:val="center"/>
      </w:pPr>
      <w:r>
        <w:drawing>
          <wp:inline xmlns:a="http://schemas.openxmlformats.org/drawingml/2006/main" xmlns:pic="http://schemas.openxmlformats.org/drawingml/2006/picture">
            <wp:extent cx="2606040" cy="1874520"/>
            <wp:docPr id="3" name="Picture 3"/>
            <wp:cNvGraphicFramePr>
              <a:graphicFrameLocks noChangeAspect="1"/>
            </wp:cNvGraphicFramePr>
            <a:graphic>
              <a:graphicData uri="http://schemas.openxmlformats.org/drawingml/2006/picture">
                <pic:pic>
                  <pic:nvPicPr>
                    <pic:cNvPr id="0" name="c03_growth_rates.png"/>
                    <pic:cNvPicPr/>
                  </pic:nvPicPr>
                  <pic:blipFill>
                    <a:blip r:embed="rId11"/>
                    <a:stretch>
                      <a:fillRect/>
                    </a:stretch>
                  </pic:blipFill>
                  <pic:spPr>
                    <a:xfrm>
                      <a:off x="0" y="0"/>
                      <a:ext cx="2606040" cy="1874520"/>
                    </a:xfrm>
                    <a:prstGeom prst="rect"/>
                  </pic:spPr>
                </pic:pic>
              </a:graphicData>
            </a:graphic>
          </wp:inline>
        </w:drawing>
      </w:r>
      <w:r>
        <w:t xml:space="preserve">   </w:t>
      </w:r>
      <w:r>
        <w:drawing>
          <wp:inline xmlns:a="http://schemas.openxmlformats.org/drawingml/2006/main" xmlns:pic="http://schemas.openxmlformats.org/drawingml/2006/picture">
            <wp:extent cx="2606040" cy="1874520"/>
            <wp:docPr id="4" name="Picture 4"/>
            <wp:cNvGraphicFramePr>
              <a:graphicFrameLocks noChangeAspect="1"/>
            </wp:cNvGraphicFramePr>
            <a:graphic>
              <a:graphicData uri="http://schemas.openxmlformats.org/drawingml/2006/picture">
                <pic:pic>
                  <pic:nvPicPr>
                    <pic:cNvPr id="0" name="c04_industrial.png"/>
                    <pic:cNvPicPr/>
                  </pic:nvPicPr>
                  <pic:blipFill>
                    <a:blip r:embed="rId12"/>
                    <a:stretch>
                      <a:fillRect/>
                    </a:stretch>
                  </pic:blipFill>
                  <pic:spPr>
                    <a:xfrm>
                      <a:off x="0" y="0"/>
                      <a:ext cx="2606040" cy="1874520"/>
                    </a:xfrm>
                    <a:prstGeom prst="rect"/>
                  </pic:spPr>
                </pic:pic>
              </a:graphicData>
            </a:graphic>
          </wp:inline>
        </w:drawing>
      </w:r>
    </w:p>
    <w:p>
      <w:pPr>
        <w:jc w:val="center"/>
      </w:pPr>
      <w:r>
        <w:rPr>
          <w:i/>
          <w:color w:val="788C96"/>
          <w:sz w:val="16"/>
        </w:rPr>
        <w:t>Page 3 | Source: Table 1 &amp; Additional Information</w:t>
      </w:r>
    </w:p>
    <w:p>
      <w:r>
        <w:br w:type="page"/>
      </w:r>
    </w:p>
    <w:p>
      <w:pPr>
        <w:spacing w:after="0"/>
        <w:jc w:val="center"/>
        <w:shd w:fill="1A6B7C"/>
      </w:pPr>
      <w:r>
        <w:rPr>
          <w:b/>
          <w:color w:val="FFFFFF"/>
          <w:sz w:val="28"/>
        </w:rPr>
        <w:t>Electricity Demand and Supply Dynamics</w:t>
      </w:r>
    </w:p>
    <w:p>
      <w:pPr>
        <w:spacing w:after="0"/>
        <w:jc w:val="center"/>
        <w:shd w:fill="3D9EB5"/>
      </w:pPr>
      <w:r>
        <w:rPr>
          <w:b/>
          <w:color w:val="FFFFFF"/>
          <w:sz w:val="22"/>
        </w:rPr>
        <w:t>Comparison of Demand and Supply Trends</w:t>
      </w:r>
    </w:p>
    <w:p>
      <w:pPr>
        <w:shd w:fill="3D9EB5"/>
      </w:pPr>
      <w:r>
        <w:rPr>
          <w:b/>
          <w:color w:val="FFFFFF"/>
          <w:sz w:val="22"/>
        </w:rPr>
        <w:t>Key Points — Table 2</w:t>
      </w:r>
    </w:p>
    <w:p>
      <w:pPr>
        <w:pStyle w:val="ListBullet"/>
        <w:shd w:fill="E8F6F3"/>
      </w:pPr>
      <w:r>
        <w:rPr>
          <w:sz w:val="20"/>
        </w:rPr>
        <w:t>Total demand: 182 BU (2022) to 221 BU (2025) — growth of 21.4%.</w:t>
      </w:r>
    </w:p>
    <w:p>
      <w:pPr>
        <w:pStyle w:val="ListBullet"/>
        <w:shd w:fill="E8F6F3"/>
      </w:pPr>
      <w:r>
        <w:rPr>
          <w:sz w:val="20"/>
        </w:rPr>
        <w:t>Total supply: 178 BU (2022) to 212 BU (2025) — growth of 19.1%.</w:t>
      </w:r>
    </w:p>
    <w:p>
      <w:pPr>
        <w:pStyle w:val="ListBullet"/>
        <w:shd w:fill="E8F6F3"/>
      </w:pPr>
      <w:r>
        <w:rPr>
          <w:sz w:val="20"/>
        </w:rPr>
        <w:t>Demand–supply gap: 4 BU (2022) to 9 BU (2025).</w:t>
      </w:r>
    </w:p>
    <w:p>
      <w:pPr>
        <w:pStyle w:val="ListBullet"/>
        <w:shd w:fill="E8F6F3"/>
      </w:pPr>
      <w:r>
        <w:rPr>
          <w:sz w:val="20"/>
        </w:rPr>
        <w:t>Gap as % of demand: 2.2% to 4.1%.</w:t>
      </w:r>
    </w:p>
    <w:p>
      <w:pPr>
        <w:pStyle w:val="ListBullet"/>
        <w:shd w:fill="E8F6F3"/>
      </w:pPr>
      <w:r>
        <w:rPr>
          <w:sz w:val="20"/>
        </w:rPr>
        <w:t>Supply is growing, but demand is growing faster.</w:t>
      </w:r>
    </w:p>
    <w:p>
      <w:pPr>
        <w:shd w:fill="D4EFF5"/>
      </w:pPr>
      <w:r>
        <w:rPr>
          <w:sz w:val="21"/>
        </w:rPr>
        <w:t>Concern: The demand–supply gap has more than doubled from 4 BU to 9 BU between 2022 and 2025.</w:t>
      </w:r>
    </w:p>
    <w:p>
      <w:pPr>
        <w:jc w:val="both"/>
      </w:pPr>
      <w:r>
        <w:rPr>
          <w:sz w:val="21"/>
        </w:rPr>
        <w:t>Table 2 shows that although electricity supply is increasing, it is not keeping pace with rising demand. Each year, the shortfall increased by 1 to 2 BU. If this trend continues, it may create problems in meeting electricity needs, especially during peak periods.</w:t>
      </w:r>
    </w:p>
    <w:p>
      <w:pPr>
        <w:shd w:fill="D4EFF5"/>
      </w:pPr>
      <w:r>
        <w:rPr>
          <w:b/>
          <w:color w:val="1A6B7C"/>
          <w:sz w:val="22"/>
        </w:rPr>
        <w:t>Table 2: Electricity Demand and Supply (Billion Units)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1A6B7C"/>
          </w:tcPr>
          <w:p>
            <w:r>
              <w:rPr>
                <w:b/>
                <w:color w:val="FFFFFF"/>
                <w:sz w:val="20"/>
              </w:rPr>
              <w:t>Year</w:t>
            </w:r>
          </w:p>
        </w:tc>
        <w:tc>
          <w:tcPr>
            <w:tcW w:type="dxa" w:w="1949"/>
            <w:shd w:fill="1A6B7C"/>
          </w:tcPr>
          <w:p>
            <w:r>
              <w:rPr>
                <w:b/>
                <w:color w:val="FFFFFF"/>
                <w:sz w:val="20"/>
              </w:rPr>
              <w:t>Demand (BU)</w:t>
            </w:r>
          </w:p>
        </w:tc>
        <w:tc>
          <w:tcPr>
            <w:tcW w:type="dxa" w:w="1949"/>
            <w:shd w:fill="1A6B7C"/>
          </w:tcPr>
          <w:p>
            <w:r>
              <w:rPr>
                <w:b/>
                <w:color w:val="FFFFFF"/>
                <w:sz w:val="20"/>
              </w:rPr>
              <w:t>Supply (BU)</w:t>
            </w:r>
          </w:p>
        </w:tc>
        <w:tc>
          <w:tcPr>
            <w:tcW w:type="dxa" w:w="1949"/>
            <w:shd w:fill="1A6B7C"/>
          </w:tcPr>
          <w:p>
            <w:r>
              <w:rPr>
                <w:b/>
                <w:color w:val="FFFFFF"/>
                <w:sz w:val="20"/>
              </w:rPr>
              <w:t>Gap (BU)</w:t>
            </w:r>
          </w:p>
        </w:tc>
        <w:tc>
          <w:tcPr>
            <w:tcW w:type="dxa" w:w="1949"/>
            <w:shd w:fill="1A6B7C"/>
          </w:tcPr>
          <w:p>
            <w:r>
              <w:rPr>
                <w:b/>
                <w:color w:val="FFFFFF"/>
                <w:sz w:val="20"/>
              </w:rPr>
              <w:t>Gap (%)</w:t>
            </w:r>
          </w:p>
        </w:tc>
      </w:tr>
      <w:tr>
        <w:tc>
          <w:tcPr>
            <w:tcW w:type="dxa" w:w="1949"/>
          </w:tcPr>
          <w:p>
            <w:r>
              <w:rPr>
                <w:sz w:val="20"/>
              </w:rPr>
              <w:t>2022</w:t>
            </w:r>
          </w:p>
        </w:tc>
        <w:tc>
          <w:tcPr>
            <w:tcW w:type="dxa" w:w="1949"/>
          </w:tcPr>
          <w:p>
            <w:r>
              <w:rPr>
                <w:sz w:val="20"/>
              </w:rPr>
              <w:t>182</w:t>
            </w:r>
          </w:p>
        </w:tc>
        <w:tc>
          <w:tcPr>
            <w:tcW w:type="dxa" w:w="1949"/>
          </w:tcPr>
          <w:p>
            <w:r>
              <w:rPr>
                <w:sz w:val="20"/>
              </w:rPr>
              <w:t>178</w:t>
            </w:r>
          </w:p>
        </w:tc>
        <w:tc>
          <w:tcPr>
            <w:tcW w:type="dxa" w:w="1949"/>
          </w:tcPr>
          <w:p>
            <w:r>
              <w:rPr>
                <w:sz w:val="20"/>
              </w:rPr>
              <w:t>4</w:t>
            </w:r>
          </w:p>
        </w:tc>
        <w:tc>
          <w:tcPr>
            <w:tcW w:type="dxa" w:w="1949"/>
          </w:tcPr>
          <w:p>
            <w:r>
              <w:rPr>
                <w:sz w:val="20"/>
              </w:rPr>
              <w:t>2.2</w:t>
            </w:r>
          </w:p>
        </w:tc>
      </w:tr>
      <w:tr>
        <w:tc>
          <w:tcPr>
            <w:tcW w:type="dxa" w:w="1949"/>
            <w:shd w:fill="E8F6F3"/>
          </w:tcPr>
          <w:p>
            <w:r>
              <w:rPr>
                <w:sz w:val="20"/>
              </w:rPr>
              <w:t>2023</w:t>
            </w:r>
          </w:p>
        </w:tc>
        <w:tc>
          <w:tcPr>
            <w:tcW w:type="dxa" w:w="1949"/>
            <w:shd w:fill="E8F6F3"/>
          </w:tcPr>
          <w:p>
            <w:r>
              <w:rPr>
                <w:sz w:val="20"/>
              </w:rPr>
              <w:t>194</w:t>
            </w:r>
          </w:p>
        </w:tc>
        <w:tc>
          <w:tcPr>
            <w:tcW w:type="dxa" w:w="1949"/>
            <w:shd w:fill="E8F6F3"/>
          </w:tcPr>
          <w:p>
            <w:r>
              <w:rPr>
                <w:sz w:val="20"/>
              </w:rPr>
              <w:t>189</w:t>
            </w:r>
          </w:p>
        </w:tc>
        <w:tc>
          <w:tcPr>
            <w:tcW w:type="dxa" w:w="1949"/>
            <w:shd w:fill="E8F6F3"/>
          </w:tcPr>
          <w:p>
            <w:r>
              <w:rPr>
                <w:sz w:val="20"/>
              </w:rPr>
              <w:t>5</w:t>
            </w:r>
          </w:p>
        </w:tc>
        <w:tc>
          <w:tcPr>
            <w:tcW w:type="dxa" w:w="1949"/>
            <w:shd w:fill="E8F6F3"/>
          </w:tcPr>
          <w:p>
            <w:r>
              <w:rPr>
                <w:sz w:val="20"/>
              </w:rPr>
              <w:t>2.6</w:t>
            </w:r>
          </w:p>
        </w:tc>
      </w:tr>
      <w:tr>
        <w:tc>
          <w:tcPr>
            <w:tcW w:type="dxa" w:w="1949"/>
          </w:tcPr>
          <w:p>
            <w:r>
              <w:rPr>
                <w:sz w:val="20"/>
              </w:rPr>
              <w:t>2024</w:t>
            </w:r>
          </w:p>
        </w:tc>
        <w:tc>
          <w:tcPr>
            <w:tcW w:type="dxa" w:w="1949"/>
          </w:tcPr>
          <w:p>
            <w:r>
              <w:rPr>
                <w:sz w:val="20"/>
              </w:rPr>
              <w:t>206</w:t>
            </w:r>
          </w:p>
        </w:tc>
        <w:tc>
          <w:tcPr>
            <w:tcW w:type="dxa" w:w="1949"/>
          </w:tcPr>
          <w:p>
            <w:r>
              <w:rPr>
                <w:sz w:val="20"/>
              </w:rPr>
              <w:t>199</w:t>
            </w:r>
          </w:p>
        </w:tc>
        <w:tc>
          <w:tcPr>
            <w:tcW w:type="dxa" w:w="1949"/>
          </w:tcPr>
          <w:p>
            <w:r>
              <w:rPr>
                <w:sz w:val="20"/>
              </w:rPr>
              <w:t>7</w:t>
            </w:r>
          </w:p>
        </w:tc>
        <w:tc>
          <w:tcPr>
            <w:tcW w:type="dxa" w:w="1949"/>
          </w:tcPr>
          <w:p>
            <w:r>
              <w:rPr>
                <w:sz w:val="20"/>
              </w:rPr>
              <w:t>3.4</w:t>
            </w:r>
          </w:p>
        </w:tc>
      </w:tr>
      <w:tr>
        <w:tc>
          <w:tcPr>
            <w:tcW w:type="dxa" w:w="1949"/>
            <w:shd w:fill="B8E8DC"/>
          </w:tcPr>
          <w:p>
            <w:r>
              <w:rPr>
                <w:sz w:val="20"/>
              </w:rPr>
              <w:t>2025</w:t>
            </w:r>
          </w:p>
        </w:tc>
        <w:tc>
          <w:tcPr>
            <w:tcW w:type="dxa" w:w="1949"/>
            <w:shd w:fill="B8E8DC"/>
          </w:tcPr>
          <w:p>
            <w:r>
              <w:rPr>
                <w:sz w:val="20"/>
              </w:rPr>
              <w:t>221</w:t>
            </w:r>
          </w:p>
        </w:tc>
        <w:tc>
          <w:tcPr>
            <w:tcW w:type="dxa" w:w="1949"/>
            <w:shd w:fill="B8E8DC"/>
          </w:tcPr>
          <w:p>
            <w:r>
              <w:rPr>
                <w:sz w:val="20"/>
              </w:rPr>
              <w:t>212</w:t>
            </w:r>
          </w:p>
        </w:tc>
        <w:tc>
          <w:tcPr>
            <w:tcW w:type="dxa" w:w="1949"/>
            <w:shd w:fill="B8E8DC"/>
          </w:tcPr>
          <w:p>
            <w:r>
              <w:rPr>
                <w:sz w:val="20"/>
              </w:rPr>
              <w:t>9</w:t>
            </w:r>
          </w:p>
        </w:tc>
        <w:tc>
          <w:tcPr>
            <w:tcW w:type="dxa" w:w="1949"/>
            <w:shd w:fill="B8E8DC"/>
          </w:tcPr>
          <w:p>
            <w:r>
              <w:rPr>
                <w:sz w:val="20"/>
              </w:rPr>
              <w:t>4.1</w:t>
            </w:r>
          </w:p>
        </w:tc>
      </w:tr>
    </w:tbl>
    <w:p/>
    <w:p>
      <w:pPr>
        <w:shd w:fill="D4EFF5"/>
      </w:pPr>
      <w:r>
        <w:rPr>
          <w:b/>
          <w:color w:val="1A6B7C"/>
          <w:sz w:val="22"/>
        </w:rPr>
        <w:t>Concerns Observed</w:t>
      </w:r>
    </w:p>
    <w:p>
      <w:pPr>
        <w:pStyle w:val="ListBullet"/>
      </w:pPr>
      <w:r>
        <w:rPr>
          <w:sz w:val="20"/>
        </w:rPr>
        <w:t>The demand–supply gap is widening every year.</w:t>
      </w:r>
    </w:p>
    <w:p>
      <w:pPr>
        <w:pStyle w:val="ListBullet"/>
      </w:pPr>
      <w:r>
        <w:rPr>
          <w:sz w:val="20"/>
        </w:rPr>
        <w:t>Supply growth (19.1%) is lower than demand growth (21.4%).</w:t>
      </w:r>
    </w:p>
    <w:p>
      <w:pPr>
        <w:pStyle w:val="ListBullet"/>
      </w:pPr>
      <w:r>
        <w:rPr>
          <w:sz w:val="20"/>
        </w:rPr>
        <w:t>Peak demand from cooling, industry, and agriculture adds further pressure.</w:t>
      </w:r>
    </w:p>
    <w:p>
      <w:pPr>
        <w:pStyle w:val="ListBullet"/>
      </w:pPr>
      <w:r>
        <w:rPr>
          <w:sz w:val="20"/>
        </w:rPr>
        <w:t>A gap of 9 BU in 2025 means a larger share of demand cannot be met from available supply.</w:t>
      </w:r>
    </w:p>
    <w:p>
      <w:pPr>
        <w:pStyle w:val="ListBullet"/>
      </w:pPr>
      <w:r>
        <w:rPr>
          <w:sz w:val="20"/>
        </w:rPr>
        <w:t>This supports the Chairman's concern over pressure on power infrastructure.</w:t>
      </w:r>
    </w:p>
    <w:p>
      <w:pPr>
        <w:jc w:val="center"/>
      </w:pPr>
      <w:r>
        <w:drawing>
          <wp:inline xmlns:a="http://schemas.openxmlformats.org/drawingml/2006/main" xmlns:pic="http://schemas.openxmlformats.org/drawingml/2006/picture">
            <wp:extent cx="2606040" cy="1873878"/>
            <wp:docPr id="5" name="Picture 5"/>
            <wp:cNvGraphicFramePr>
              <a:graphicFrameLocks noChangeAspect="1"/>
            </wp:cNvGraphicFramePr>
            <a:graphic>
              <a:graphicData uri="http://schemas.openxmlformats.org/drawingml/2006/picture">
                <pic:pic>
                  <pic:nvPicPr>
                    <pic:cNvPr id="0" name="c05_demand_supply.png"/>
                    <pic:cNvPicPr/>
                  </pic:nvPicPr>
                  <pic:blipFill>
                    <a:blip r:embed="rId13"/>
                    <a:stretch>
                      <a:fillRect/>
                    </a:stretch>
                  </pic:blipFill>
                  <pic:spPr>
                    <a:xfrm>
                      <a:off x="0" y="0"/>
                      <a:ext cx="2606040" cy="1873878"/>
                    </a:xfrm>
                    <a:prstGeom prst="rect"/>
                  </pic:spPr>
                </pic:pic>
              </a:graphicData>
            </a:graphic>
          </wp:inline>
        </w:drawing>
      </w:r>
      <w:r>
        <w:t xml:space="preserve">   </w:t>
      </w:r>
      <w:r>
        <w:drawing>
          <wp:inline xmlns:a="http://schemas.openxmlformats.org/drawingml/2006/main" xmlns:pic="http://schemas.openxmlformats.org/drawingml/2006/picture">
            <wp:extent cx="2606040" cy="1874520"/>
            <wp:docPr id="6" name="Picture 6"/>
            <wp:cNvGraphicFramePr>
              <a:graphicFrameLocks noChangeAspect="1"/>
            </wp:cNvGraphicFramePr>
            <a:graphic>
              <a:graphicData uri="http://schemas.openxmlformats.org/drawingml/2006/picture">
                <pic:pic>
                  <pic:nvPicPr>
                    <pic:cNvPr id="0" name="c06_gap_trend.png"/>
                    <pic:cNvPicPr/>
                  </pic:nvPicPr>
                  <pic:blipFill>
                    <a:blip r:embed="rId14"/>
                    <a:stretch>
                      <a:fillRect/>
                    </a:stretch>
                  </pic:blipFill>
                  <pic:spPr>
                    <a:xfrm>
                      <a:off x="0" y="0"/>
                      <a:ext cx="2606040" cy="1874520"/>
                    </a:xfrm>
                    <a:prstGeom prst="rect"/>
                  </pic:spPr>
                </pic:pic>
              </a:graphicData>
            </a:graphic>
          </wp:inline>
        </w:drawing>
      </w:r>
    </w:p>
    <w:p>
      <w:pPr>
        <w:jc w:val="center"/>
      </w:pPr>
      <w:r>
        <w:rPr>
          <w:i/>
          <w:color w:val="788C96"/>
          <w:sz w:val="16"/>
        </w:rPr>
        <w:t>Page 4 | Source: Table 2 — End-Term Data</w:t>
      </w:r>
    </w:p>
    <w:p>
      <w:r>
        <w:br w:type="page"/>
      </w:r>
    </w:p>
    <w:p>
      <w:pPr>
        <w:spacing w:after="0"/>
        <w:jc w:val="center"/>
        <w:shd w:fill="1A6B7C"/>
      </w:pPr>
      <w:r>
        <w:rPr>
          <w:b/>
          <w:color w:val="FFFFFF"/>
          <w:sz w:val="28"/>
        </w:rPr>
        <w:t>Renewable Energy and Transmission Losses</w:t>
      </w:r>
    </w:p>
    <w:p>
      <w:pPr>
        <w:spacing w:after="0"/>
        <w:jc w:val="center"/>
        <w:shd w:fill="3D9EB5"/>
      </w:pPr>
      <w:r>
        <w:rPr>
          <w:b/>
          <w:color w:val="FFFFFF"/>
          <w:sz w:val="22"/>
        </w:rPr>
        <w:t>Progress from 2022 to 2025</w:t>
      </w:r>
    </w:p>
    <w:p>
      <w:pPr>
        <w:shd w:fill="3D9EB5"/>
      </w:pPr>
      <w:r>
        <w:rPr>
          <w:b/>
          <w:color w:val="FFFFFF"/>
          <w:sz w:val="22"/>
        </w:rPr>
        <w:t>Key Points — Table 3</w:t>
      </w:r>
    </w:p>
    <w:p>
      <w:pPr>
        <w:pStyle w:val="ListBullet"/>
        <w:shd w:fill="E8F6F3"/>
      </w:pPr>
      <w:r>
        <w:rPr>
          <w:sz w:val="20"/>
        </w:rPr>
        <w:t>Renewable energy share: 24% (2022) to 35% (2025) — increase of 11 percentage points.</w:t>
      </w:r>
    </w:p>
    <w:p>
      <w:pPr>
        <w:pStyle w:val="ListBullet"/>
        <w:shd w:fill="E8F6F3"/>
      </w:pPr>
      <w:r>
        <w:rPr>
          <w:sz w:val="20"/>
        </w:rPr>
        <w:t>T&amp;D losses: 18% (2022) to 15% (2025) — reduction of 3 percentage points.</w:t>
      </w:r>
    </w:p>
    <w:p>
      <w:pPr>
        <w:pStyle w:val="ListBullet"/>
        <w:shd w:fill="E8F6F3"/>
      </w:pPr>
      <w:r>
        <w:rPr>
          <w:sz w:val="20"/>
        </w:rPr>
        <w:t>Renewable share is rising by about 3–4 percentage points each year.</w:t>
      </w:r>
    </w:p>
    <w:p>
      <w:pPr>
        <w:pStyle w:val="ListBullet"/>
        <w:shd w:fill="E8F6F3"/>
      </w:pPr>
      <w:r>
        <w:rPr>
          <w:sz w:val="20"/>
        </w:rPr>
        <w:t>T&amp;D losses are falling by about 1 percentage point each year.</w:t>
      </w:r>
    </w:p>
    <w:p>
      <w:pPr>
        <w:pStyle w:val="ListBullet"/>
        <w:shd w:fill="E8F6F3"/>
      </w:pPr>
      <w:r>
        <w:rPr>
          <w:sz w:val="20"/>
        </w:rPr>
        <w:t>The government continues to promote renewable energy and energy efficiency.</w:t>
      </w:r>
    </w:p>
    <w:p>
      <w:pPr>
        <w:jc w:val="both"/>
      </w:pPr>
      <w:r>
        <w:rPr>
          <w:sz w:val="21"/>
        </w:rPr>
        <w:t>Table 3 shows positive movement in both indicators. The share of renewable energy in the electricity mix is increasing, while transmission and distribution losses are decreasing. However, further improvement is needed to ensure reliable and sustainable electricity supply.</w:t>
      </w:r>
    </w:p>
    <w:p>
      <w:pPr>
        <w:shd w:fill="D4EFF5"/>
      </w:pPr>
      <w:r>
        <w:rPr>
          <w:b/>
          <w:color w:val="1A6B7C"/>
          <w:sz w:val="22"/>
        </w:rPr>
        <w:t>Table 3: Renewable Energy and Transmission Losses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fill="1A6B7C"/>
          </w:tcPr>
          <w:p>
            <w:r>
              <w:rPr>
                <w:b/>
                <w:color w:val="FFFFFF"/>
                <w:sz w:val="20"/>
              </w:rPr>
              <w:t>Indicator</w:t>
            </w:r>
          </w:p>
        </w:tc>
        <w:tc>
          <w:tcPr>
            <w:tcW w:type="dxa" w:w="1624"/>
            <w:shd w:fill="1A6B7C"/>
          </w:tcPr>
          <w:p>
            <w:r>
              <w:rPr>
                <w:b/>
                <w:color w:val="FFFFFF"/>
                <w:sz w:val="20"/>
              </w:rPr>
              <w:t>2022</w:t>
            </w:r>
          </w:p>
        </w:tc>
        <w:tc>
          <w:tcPr>
            <w:tcW w:type="dxa" w:w="1624"/>
            <w:shd w:fill="1A6B7C"/>
          </w:tcPr>
          <w:p>
            <w:r>
              <w:rPr>
                <w:b/>
                <w:color w:val="FFFFFF"/>
                <w:sz w:val="20"/>
              </w:rPr>
              <w:t>2023</w:t>
            </w:r>
          </w:p>
        </w:tc>
        <w:tc>
          <w:tcPr>
            <w:tcW w:type="dxa" w:w="1624"/>
            <w:shd w:fill="1A6B7C"/>
          </w:tcPr>
          <w:p>
            <w:r>
              <w:rPr>
                <w:b/>
                <w:color w:val="FFFFFF"/>
                <w:sz w:val="20"/>
              </w:rPr>
              <w:t>2024</w:t>
            </w:r>
          </w:p>
        </w:tc>
        <w:tc>
          <w:tcPr>
            <w:tcW w:type="dxa" w:w="1624"/>
            <w:shd w:fill="1A6B7C"/>
          </w:tcPr>
          <w:p>
            <w:r>
              <w:rPr>
                <w:b/>
                <w:color w:val="FFFFFF"/>
                <w:sz w:val="20"/>
              </w:rPr>
              <w:t>2025</w:t>
            </w:r>
          </w:p>
        </w:tc>
        <w:tc>
          <w:tcPr>
            <w:tcW w:type="dxa" w:w="1624"/>
            <w:shd w:fill="1A6B7C"/>
          </w:tcPr>
          <w:p>
            <w:r>
              <w:rPr>
                <w:b/>
                <w:color w:val="FFFFFF"/>
                <w:sz w:val="20"/>
              </w:rPr>
              <w:t>Change</w:t>
            </w:r>
          </w:p>
        </w:tc>
      </w:tr>
      <w:tr>
        <w:tc>
          <w:tcPr>
            <w:tcW w:type="dxa" w:w="1624"/>
            <w:shd w:fill="B8E8DC"/>
          </w:tcPr>
          <w:p>
            <w:r>
              <w:rPr>
                <w:sz w:val="20"/>
              </w:rPr>
              <w:t>Renewable Energy Share (%)</w:t>
            </w:r>
          </w:p>
        </w:tc>
        <w:tc>
          <w:tcPr>
            <w:tcW w:type="dxa" w:w="1624"/>
            <w:shd w:fill="B8E8DC"/>
          </w:tcPr>
          <w:p>
            <w:r>
              <w:rPr>
                <w:sz w:val="20"/>
              </w:rPr>
              <w:t>24</w:t>
            </w:r>
          </w:p>
        </w:tc>
        <w:tc>
          <w:tcPr>
            <w:tcW w:type="dxa" w:w="1624"/>
            <w:shd w:fill="B8E8DC"/>
          </w:tcPr>
          <w:p>
            <w:r>
              <w:rPr>
                <w:sz w:val="20"/>
              </w:rPr>
              <w:t>27</w:t>
            </w:r>
          </w:p>
        </w:tc>
        <w:tc>
          <w:tcPr>
            <w:tcW w:type="dxa" w:w="1624"/>
            <w:shd w:fill="B8E8DC"/>
          </w:tcPr>
          <w:p>
            <w:r>
              <w:rPr>
                <w:sz w:val="20"/>
              </w:rPr>
              <w:t>31</w:t>
            </w:r>
          </w:p>
        </w:tc>
        <w:tc>
          <w:tcPr>
            <w:tcW w:type="dxa" w:w="1624"/>
            <w:shd w:fill="B8E8DC"/>
          </w:tcPr>
          <w:p>
            <w:r>
              <w:rPr>
                <w:sz w:val="20"/>
              </w:rPr>
              <w:t>35</w:t>
            </w:r>
          </w:p>
        </w:tc>
        <w:tc>
          <w:tcPr>
            <w:tcW w:type="dxa" w:w="1624"/>
            <w:shd w:fill="B8E8DC"/>
          </w:tcPr>
          <w:p>
            <w:r>
              <w:rPr>
                <w:sz w:val="20"/>
              </w:rPr>
              <w:t>+11 pp</w:t>
            </w:r>
          </w:p>
        </w:tc>
      </w:tr>
      <w:tr>
        <w:tc>
          <w:tcPr>
            <w:tcW w:type="dxa" w:w="1624"/>
            <w:shd w:fill="B8E8DC"/>
          </w:tcPr>
          <w:p>
            <w:r>
              <w:rPr>
                <w:sz w:val="20"/>
              </w:rPr>
              <w:t>T&amp;D Losses (%)</w:t>
            </w:r>
          </w:p>
        </w:tc>
        <w:tc>
          <w:tcPr>
            <w:tcW w:type="dxa" w:w="1624"/>
            <w:shd w:fill="B8E8DC"/>
          </w:tcPr>
          <w:p>
            <w:r>
              <w:rPr>
                <w:sz w:val="20"/>
              </w:rPr>
              <w:t>18</w:t>
            </w:r>
          </w:p>
        </w:tc>
        <w:tc>
          <w:tcPr>
            <w:tcW w:type="dxa" w:w="1624"/>
            <w:shd w:fill="B8E8DC"/>
          </w:tcPr>
          <w:p>
            <w:r>
              <w:rPr>
                <w:sz w:val="20"/>
              </w:rPr>
              <w:t>17</w:t>
            </w:r>
          </w:p>
        </w:tc>
        <w:tc>
          <w:tcPr>
            <w:tcW w:type="dxa" w:w="1624"/>
            <w:shd w:fill="B8E8DC"/>
          </w:tcPr>
          <w:p>
            <w:r>
              <w:rPr>
                <w:sz w:val="20"/>
              </w:rPr>
              <w:t>16</w:t>
            </w:r>
          </w:p>
        </w:tc>
        <w:tc>
          <w:tcPr>
            <w:tcW w:type="dxa" w:w="1624"/>
            <w:shd w:fill="B8E8DC"/>
          </w:tcPr>
          <w:p>
            <w:r>
              <w:rPr>
                <w:sz w:val="20"/>
              </w:rPr>
              <w:t>15</w:t>
            </w:r>
          </w:p>
        </w:tc>
        <w:tc>
          <w:tcPr>
            <w:tcW w:type="dxa" w:w="1624"/>
            <w:shd w:fill="B8E8DC"/>
          </w:tcPr>
          <w:p>
            <w:r>
              <w:rPr>
                <w:sz w:val="20"/>
              </w:rPr>
              <w:t>-3 pp</w:t>
            </w:r>
          </w:p>
        </w:tc>
      </w:tr>
    </w:tbl>
    <w:p/>
    <w:p>
      <w:pPr>
        <w:jc w:val="both"/>
      </w:pPr>
      <w:r>
        <w:rPr>
          <w:sz w:val="21"/>
        </w:rPr>
        <w:t>The additional information notes that the Government of India continues to promote renewable energy, smart grids, energy-efficient appliances, and demand-side management to improve energy security and sustainability. The data in Table 3 shows progress in renewable adoption and loss reduction during the study period.</w:t>
      </w:r>
    </w:p>
    <w:p>
      <w:pPr>
        <w:jc w:val="center"/>
      </w:pPr>
      <w:r>
        <w:drawing>
          <wp:inline xmlns:a="http://schemas.openxmlformats.org/drawingml/2006/main" xmlns:pic="http://schemas.openxmlformats.org/drawingml/2006/picture">
            <wp:extent cx="2606040" cy="1874520"/>
            <wp:docPr id="7" name="Picture 7"/>
            <wp:cNvGraphicFramePr>
              <a:graphicFrameLocks noChangeAspect="1"/>
            </wp:cNvGraphicFramePr>
            <a:graphic>
              <a:graphicData uri="http://schemas.openxmlformats.org/drawingml/2006/picture">
                <pic:pic>
                  <pic:nvPicPr>
                    <pic:cNvPr id="0" name="c07_renewable.png"/>
                    <pic:cNvPicPr/>
                  </pic:nvPicPr>
                  <pic:blipFill>
                    <a:blip r:embed="rId15"/>
                    <a:stretch>
                      <a:fillRect/>
                    </a:stretch>
                  </pic:blipFill>
                  <pic:spPr>
                    <a:xfrm>
                      <a:off x="0" y="0"/>
                      <a:ext cx="2606040" cy="1874520"/>
                    </a:xfrm>
                    <a:prstGeom prst="rect"/>
                  </pic:spPr>
                </pic:pic>
              </a:graphicData>
            </a:graphic>
          </wp:inline>
        </w:drawing>
      </w:r>
      <w:r>
        <w:t xml:space="preserve">   </w:t>
      </w:r>
      <w:r>
        <w:drawing>
          <wp:inline xmlns:a="http://schemas.openxmlformats.org/drawingml/2006/main" xmlns:pic="http://schemas.openxmlformats.org/drawingml/2006/picture">
            <wp:extent cx="2606040" cy="1874520"/>
            <wp:docPr id="8" name="Picture 8"/>
            <wp:cNvGraphicFramePr>
              <a:graphicFrameLocks noChangeAspect="1"/>
            </wp:cNvGraphicFramePr>
            <a:graphic>
              <a:graphicData uri="http://schemas.openxmlformats.org/drawingml/2006/picture">
                <pic:pic>
                  <pic:nvPicPr>
                    <pic:cNvPr id="0" name="c08_td_losses.png"/>
                    <pic:cNvPicPr/>
                  </pic:nvPicPr>
                  <pic:blipFill>
                    <a:blip r:embed="rId16"/>
                    <a:stretch>
                      <a:fillRect/>
                    </a:stretch>
                  </pic:blipFill>
                  <pic:spPr>
                    <a:xfrm>
                      <a:off x="0" y="0"/>
                      <a:ext cx="2606040" cy="1874520"/>
                    </a:xfrm>
                    <a:prstGeom prst="rect"/>
                  </pic:spPr>
                </pic:pic>
              </a:graphicData>
            </a:graphic>
          </wp:inline>
        </w:drawing>
      </w:r>
    </w:p>
    <w:p>
      <w:pPr>
        <w:jc w:val="center"/>
      </w:pPr>
      <w:r>
        <w:drawing>
          <wp:inline xmlns:a="http://schemas.openxmlformats.org/drawingml/2006/main" xmlns:pic="http://schemas.openxmlformats.org/drawingml/2006/picture">
            <wp:extent cx="2606040" cy="1872234"/>
            <wp:docPr id="9" name="Picture 9"/>
            <wp:cNvGraphicFramePr>
              <a:graphicFrameLocks noChangeAspect="1"/>
            </wp:cNvGraphicFramePr>
            <a:graphic>
              <a:graphicData uri="http://schemas.openxmlformats.org/drawingml/2006/picture">
                <pic:pic>
                  <pic:nvPicPr>
                    <pic:cNvPr id="0" name="c10_re_vs_losses.png"/>
                    <pic:cNvPicPr/>
                  </pic:nvPicPr>
                  <pic:blipFill>
                    <a:blip r:embed="rId17"/>
                    <a:stretch>
                      <a:fillRect/>
                    </a:stretch>
                  </pic:blipFill>
                  <pic:spPr>
                    <a:xfrm>
                      <a:off x="0" y="0"/>
                      <a:ext cx="2606040" cy="1872234"/>
                    </a:xfrm>
                    <a:prstGeom prst="rect"/>
                  </pic:spPr>
                </pic:pic>
              </a:graphicData>
            </a:graphic>
          </wp:inline>
        </w:drawing>
      </w:r>
    </w:p>
    <w:p>
      <w:pPr>
        <w:jc w:val="center"/>
      </w:pPr>
      <w:r>
        <w:rPr>
          <w:i/>
          <w:color w:val="788C96"/>
          <w:sz w:val="16"/>
        </w:rPr>
        <w:t>Page 5 | Source: Table 3 &amp; Additional Information</w:t>
      </w:r>
    </w:p>
    <w:p>
      <w:r>
        <w:br w:type="page"/>
      </w:r>
    </w:p>
    <w:p>
      <w:pPr>
        <w:spacing w:after="0"/>
        <w:jc w:val="center"/>
        <w:shd w:fill="1A6B7C"/>
      </w:pPr>
      <w:r>
        <w:rPr>
          <w:b/>
          <w:color w:val="FFFFFF"/>
          <w:sz w:val="28"/>
        </w:rPr>
        <w:t>Practical Measure 1: Demand-Side Management and Energy Conservation</w:t>
      </w:r>
    </w:p>
    <w:p>
      <w:pPr>
        <w:spacing w:after="0"/>
        <w:jc w:val="center"/>
        <w:shd w:fill="3D9EB5"/>
      </w:pPr>
      <w:r>
        <w:rPr>
          <w:b/>
          <w:color w:val="FFFFFF"/>
          <w:sz w:val="22"/>
        </w:rPr>
        <w:t>Implementation Strategy and Expected Impact</w:t>
      </w:r>
    </w:p>
    <w:p>
      <w:pPr>
        <w:shd w:fill="D4EFF5"/>
      </w:pPr>
      <w:r>
        <w:rPr>
          <w:b/>
          <w:color w:val="1A6B7C"/>
          <w:sz w:val="22"/>
        </w:rPr>
        <w:t>Implementation Strategy</w:t>
      </w:r>
    </w:p>
    <w:p>
      <w:pPr>
        <w:pStyle w:val="ListBullet"/>
      </w:pPr>
      <w:r>
        <w:rPr>
          <w:sz w:val="20"/>
        </w:rPr>
        <w:t>Promote use of energy-efficient appliances as mentioned in the additional information.</w:t>
      </w:r>
    </w:p>
    <w:p>
      <w:pPr>
        <w:pStyle w:val="ListBullet"/>
      </w:pPr>
      <w:r>
        <w:rPr>
          <w:sz w:val="20"/>
        </w:rPr>
        <w:t>Encourage consumers to reduce electricity use during peak hours.</w:t>
      </w:r>
    </w:p>
    <w:p>
      <w:pPr>
        <w:pStyle w:val="ListBullet"/>
      </w:pPr>
      <w:r>
        <w:rPr>
          <w:sz w:val="20"/>
        </w:rPr>
        <w:t>Support demand-side management programmes to control rising consumption.</w:t>
      </w:r>
    </w:p>
    <w:p>
      <w:pPr>
        <w:pStyle w:val="ListBullet"/>
      </w:pPr>
      <w:r>
        <w:rPr>
          <w:sz w:val="20"/>
        </w:rPr>
        <w:t>Create awareness about saving electricity, especially for cooling and irrigation load.</w:t>
      </w:r>
    </w:p>
    <w:p>
      <w:pPr>
        <w:pStyle w:val="ListBullet"/>
      </w:pPr>
      <w:r>
        <w:rPr>
          <w:sz w:val="20"/>
        </w:rPr>
        <w:t>Plan electricity use in a way that reduces pressure during high-demand periods.</w:t>
      </w:r>
    </w:p>
    <w:p>
      <w:pPr>
        <w:shd w:fill="D4EFF5"/>
      </w:pPr>
      <w:r>
        <w:rPr>
          <w:b/>
          <w:color w:val="1A6B7C"/>
          <w:sz w:val="22"/>
        </w:rPr>
        <w:t>Expected Impact</w:t>
      </w:r>
    </w:p>
    <w:p>
      <w:pPr>
        <w:pStyle w:val="ListBullet"/>
      </w:pPr>
      <w:r>
        <w:rPr>
          <w:sz w:val="20"/>
        </w:rPr>
        <w:t>Can help control the steady rise in consumption seen in Table 1.</w:t>
      </w:r>
    </w:p>
    <w:p>
      <w:pPr>
        <w:pStyle w:val="ListBullet"/>
      </w:pPr>
      <w:r>
        <w:rPr>
          <w:sz w:val="20"/>
        </w:rPr>
        <w:t>May reduce peak demand caused by cooling, industry, and agriculture.</w:t>
      </w:r>
    </w:p>
    <w:p>
      <w:pPr>
        <w:pStyle w:val="ListBullet"/>
      </w:pPr>
      <w:r>
        <w:rPr>
          <w:sz w:val="20"/>
        </w:rPr>
        <w:t>Supports the government's focus on energy-efficient appliances.</w:t>
      </w:r>
    </w:p>
    <w:p>
      <w:pPr>
        <w:pStyle w:val="ListBullet"/>
      </w:pPr>
      <w:r>
        <w:rPr>
          <w:sz w:val="20"/>
        </w:rPr>
        <w:t>Can slow down the widening demand–supply gap in Table 2.</w:t>
      </w:r>
    </w:p>
    <w:p>
      <w:pPr>
        <w:jc w:val="center"/>
      </w:pPr>
      <w:r>
        <w:drawing>
          <wp:inline xmlns:a="http://schemas.openxmlformats.org/drawingml/2006/main" xmlns:pic="http://schemas.openxmlformats.org/drawingml/2006/picture">
            <wp:extent cx="2606040" cy="1873878"/>
            <wp:docPr id="10" name="Picture 10"/>
            <wp:cNvGraphicFramePr>
              <a:graphicFrameLocks noChangeAspect="1"/>
            </wp:cNvGraphicFramePr>
            <a:graphic>
              <a:graphicData uri="http://schemas.openxmlformats.org/drawingml/2006/picture">
                <pic:pic>
                  <pic:nvPicPr>
                    <pic:cNvPr id="0" name="c05_demand_supply.png"/>
                    <pic:cNvPicPr/>
                  </pic:nvPicPr>
                  <pic:blipFill>
                    <a:blip r:embed="rId13"/>
                    <a:stretch>
                      <a:fillRect/>
                    </a:stretch>
                  </pic:blipFill>
                  <pic:spPr>
                    <a:xfrm>
                      <a:off x="0" y="0"/>
                      <a:ext cx="2606040" cy="1873878"/>
                    </a:xfrm>
                    <a:prstGeom prst="rect"/>
                  </pic:spPr>
                </pic:pic>
              </a:graphicData>
            </a:graphic>
          </wp:inline>
        </w:drawing>
      </w:r>
    </w:p>
    <w:p>
      <w:pPr>
        <w:jc w:val="center"/>
      </w:pPr>
      <w:r>
        <w:rPr>
          <w:i/>
          <w:color w:val="788C96"/>
          <w:sz w:val="16"/>
        </w:rPr>
        <w:t>Page 6 | Based on End-Term Data</w:t>
      </w:r>
    </w:p>
    <w:p>
      <w:r>
        <w:br w:type="page"/>
      </w:r>
    </w:p>
    <w:p>
      <w:pPr>
        <w:spacing w:after="0"/>
        <w:jc w:val="center"/>
        <w:shd w:fill="1A6B7C"/>
      </w:pPr>
      <w:r>
        <w:rPr>
          <w:b/>
          <w:color w:val="FFFFFF"/>
          <w:sz w:val="28"/>
        </w:rPr>
        <w:t>Practical Measure 2: Expansion of Renewable Energy and Smart Grids</w:t>
      </w:r>
    </w:p>
    <w:p>
      <w:pPr>
        <w:spacing w:after="0"/>
        <w:jc w:val="center"/>
        <w:shd w:fill="3D9EB5"/>
      </w:pPr>
      <w:r>
        <w:rPr>
          <w:b/>
          <w:color w:val="FFFFFF"/>
          <w:sz w:val="22"/>
        </w:rPr>
        <w:t>Implementation Strategy and Expected Impact</w:t>
      </w:r>
    </w:p>
    <w:p>
      <w:pPr>
        <w:shd w:fill="D4EFF5"/>
      </w:pPr>
      <w:r>
        <w:rPr>
          <w:b/>
          <w:color w:val="1A6B7C"/>
          <w:sz w:val="22"/>
        </w:rPr>
        <w:t>Implementation Strategy</w:t>
      </w:r>
    </w:p>
    <w:p>
      <w:pPr>
        <w:pStyle w:val="ListBullet"/>
      </w:pPr>
      <w:r>
        <w:rPr>
          <w:sz w:val="20"/>
        </w:rPr>
        <w:t>Continue promoting renewable energy to increase the share beyond 35%.</w:t>
      </w:r>
    </w:p>
    <w:p>
      <w:pPr>
        <w:pStyle w:val="ListBullet"/>
      </w:pPr>
      <w:r>
        <w:rPr>
          <w:sz w:val="20"/>
        </w:rPr>
        <w:t>Develop smart grids as mentioned in the additional information.</w:t>
      </w:r>
    </w:p>
    <w:p>
      <w:pPr>
        <w:pStyle w:val="ListBullet"/>
      </w:pPr>
      <w:r>
        <w:rPr>
          <w:sz w:val="20"/>
        </w:rPr>
        <w:t>Improve power supply to match the rising demand shown in Table 2.</w:t>
      </w:r>
    </w:p>
    <w:p>
      <w:pPr>
        <w:pStyle w:val="ListBullet"/>
      </w:pPr>
      <w:r>
        <w:rPr>
          <w:sz w:val="20"/>
        </w:rPr>
        <w:t>Support clean energy to meet growing consumption in all three sectors.</w:t>
      </w:r>
    </w:p>
    <w:p>
      <w:pPr>
        <w:pStyle w:val="ListBullet"/>
      </w:pPr>
      <w:r>
        <w:rPr>
          <w:sz w:val="20"/>
        </w:rPr>
        <w:t>Link renewable growth with better grid management.</w:t>
      </w:r>
    </w:p>
    <w:p>
      <w:pPr>
        <w:shd w:fill="D4EFF5"/>
      </w:pPr>
      <w:r>
        <w:rPr>
          <w:b/>
          <w:color w:val="1A6B7C"/>
          <w:sz w:val="22"/>
        </w:rPr>
        <w:t>Expected Impact</w:t>
      </w:r>
    </w:p>
    <w:p>
      <w:pPr>
        <w:pStyle w:val="ListBullet"/>
      </w:pPr>
      <w:r>
        <w:rPr>
          <w:sz w:val="20"/>
        </w:rPr>
        <w:t>Can support the rising renewable share seen in Table 3 (24% to 35%).</w:t>
      </w:r>
    </w:p>
    <w:p>
      <w:pPr>
        <w:pStyle w:val="ListBullet"/>
      </w:pPr>
      <w:r>
        <w:rPr>
          <w:sz w:val="20"/>
        </w:rPr>
        <w:t>Helps meet increasing demand in a more sustainable way.</w:t>
      </w:r>
    </w:p>
    <w:p>
      <w:pPr>
        <w:pStyle w:val="ListBullet"/>
      </w:pPr>
      <w:r>
        <w:rPr>
          <w:sz w:val="20"/>
        </w:rPr>
        <w:t>Reduces pressure on conventional power sources.</w:t>
      </w:r>
    </w:p>
    <w:p>
      <w:pPr>
        <w:pStyle w:val="ListBullet"/>
      </w:pPr>
      <w:r>
        <w:rPr>
          <w:sz w:val="20"/>
        </w:rPr>
        <w:t>Aligns with the government's energy security and sustainability goals.</w:t>
      </w:r>
    </w:p>
    <w:p>
      <w:pPr>
        <w:jc w:val="center"/>
      </w:pPr>
      <w:r>
        <w:drawing>
          <wp:inline xmlns:a="http://schemas.openxmlformats.org/drawingml/2006/main" xmlns:pic="http://schemas.openxmlformats.org/drawingml/2006/picture">
            <wp:extent cx="2606040" cy="1874520"/>
            <wp:docPr id="11" name="Picture 11"/>
            <wp:cNvGraphicFramePr>
              <a:graphicFrameLocks noChangeAspect="1"/>
            </wp:cNvGraphicFramePr>
            <a:graphic>
              <a:graphicData uri="http://schemas.openxmlformats.org/drawingml/2006/picture">
                <pic:pic>
                  <pic:nvPicPr>
                    <pic:cNvPr id="0" name="c07_renewable.png"/>
                    <pic:cNvPicPr/>
                  </pic:nvPicPr>
                  <pic:blipFill>
                    <a:blip r:embed="rId15"/>
                    <a:stretch>
                      <a:fillRect/>
                    </a:stretch>
                  </pic:blipFill>
                  <pic:spPr>
                    <a:xfrm>
                      <a:off x="0" y="0"/>
                      <a:ext cx="2606040" cy="1874520"/>
                    </a:xfrm>
                    <a:prstGeom prst="rect"/>
                  </pic:spPr>
                </pic:pic>
              </a:graphicData>
            </a:graphic>
          </wp:inline>
        </w:drawing>
      </w:r>
    </w:p>
    <w:p>
      <w:pPr>
        <w:jc w:val="center"/>
      </w:pPr>
      <w:r>
        <w:rPr>
          <w:i/>
          <w:color w:val="788C96"/>
          <w:sz w:val="16"/>
        </w:rPr>
        <w:t>Page 7 | Based on End-Term Data</w:t>
      </w:r>
    </w:p>
    <w:p>
      <w:r>
        <w:br w:type="page"/>
      </w:r>
    </w:p>
    <w:p>
      <w:pPr>
        <w:spacing w:after="0"/>
        <w:jc w:val="center"/>
        <w:shd w:fill="1A6B7C"/>
      </w:pPr>
      <w:r>
        <w:rPr>
          <w:b/>
          <w:color w:val="FFFFFF"/>
          <w:sz w:val="28"/>
        </w:rPr>
        <w:t>Practical Measure 3: Reduction of Transmission and Distribution Losses</w:t>
      </w:r>
    </w:p>
    <w:p>
      <w:pPr>
        <w:spacing w:after="0"/>
        <w:jc w:val="center"/>
        <w:shd w:fill="3D9EB5"/>
      </w:pPr>
      <w:r>
        <w:rPr>
          <w:b/>
          <w:color w:val="FFFFFF"/>
          <w:sz w:val="22"/>
        </w:rPr>
        <w:t>Implementation Strategy and Expected Impact</w:t>
      </w:r>
    </w:p>
    <w:p>
      <w:pPr>
        <w:shd w:fill="D4EFF5"/>
      </w:pPr>
      <w:r>
        <w:rPr>
          <w:b/>
          <w:color w:val="1A6B7C"/>
          <w:sz w:val="22"/>
        </w:rPr>
        <w:t>Implementation Strategy</w:t>
      </w:r>
    </w:p>
    <w:p>
      <w:pPr>
        <w:pStyle w:val="ListBullet"/>
      </w:pPr>
      <w:r>
        <w:rPr>
          <w:sz w:val="20"/>
        </w:rPr>
        <w:t>Take steps to further reduce T&amp;D losses below 15%.</w:t>
      </w:r>
    </w:p>
    <w:p>
      <w:pPr>
        <w:pStyle w:val="ListBullet"/>
      </w:pPr>
      <w:r>
        <w:rPr>
          <w:sz w:val="20"/>
        </w:rPr>
        <w:t>Improve distribution so that more supplied electricity reaches consumers.</w:t>
      </w:r>
    </w:p>
    <w:p>
      <w:pPr>
        <w:pStyle w:val="ListBullet"/>
      </w:pPr>
      <w:r>
        <w:rPr>
          <w:sz w:val="20"/>
        </w:rPr>
        <w:t>Strengthen infrastructure to support rising consumption in Table 1.</w:t>
      </w:r>
    </w:p>
    <w:p>
      <w:pPr>
        <w:pStyle w:val="ListBullet"/>
      </w:pPr>
      <w:r>
        <w:rPr>
          <w:sz w:val="20"/>
        </w:rPr>
        <w:t>Monitor and reduce losses in the transmission and distribution network.</w:t>
      </w:r>
    </w:p>
    <w:p>
      <w:pPr>
        <w:pStyle w:val="ListBullet"/>
      </w:pPr>
      <w:r>
        <w:rPr>
          <w:sz w:val="20"/>
        </w:rPr>
        <w:t>Use better technology to improve delivery efficiency.</w:t>
      </w:r>
    </w:p>
    <w:p>
      <w:pPr>
        <w:shd w:fill="D4EFF5"/>
      </w:pPr>
      <w:r>
        <w:rPr>
          <w:b/>
          <w:color w:val="1A6B7C"/>
          <w:sz w:val="22"/>
        </w:rPr>
        <w:t>Expected Impact</w:t>
      </w:r>
    </w:p>
    <w:p>
      <w:pPr>
        <w:pStyle w:val="ListBullet"/>
      </w:pPr>
      <w:r>
        <w:rPr>
          <w:sz w:val="20"/>
        </w:rPr>
        <w:t>Can build on the loss reduction already seen in Table 3 (18% to 15%).</w:t>
      </w:r>
    </w:p>
    <w:p>
      <w:pPr>
        <w:pStyle w:val="ListBullet"/>
      </w:pPr>
      <w:r>
        <w:rPr>
          <w:sz w:val="20"/>
        </w:rPr>
        <w:t>Improves effective supply without increasing generation.</w:t>
      </w:r>
    </w:p>
    <w:p>
      <w:pPr>
        <w:pStyle w:val="ListBullet"/>
      </w:pPr>
      <w:r>
        <w:rPr>
          <w:sz w:val="20"/>
        </w:rPr>
        <w:t>Helps narrow the demand–supply gap in Table 2.</w:t>
      </w:r>
    </w:p>
    <w:p>
      <w:pPr>
        <w:pStyle w:val="ListBullet"/>
      </w:pPr>
      <w:r>
        <w:rPr>
          <w:sz w:val="20"/>
        </w:rPr>
        <w:t>Makes better use of the electricity already being generated.</w:t>
      </w:r>
    </w:p>
    <w:p>
      <w:pPr>
        <w:jc w:val="center"/>
      </w:pPr>
      <w:r>
        <w:drawing>
          <wp:inline xmlns:a="http://schemas.openxmlformats.org/drawingml/2006/main" xmlns:pic="http://schemas.openxmlformats.org/drawingml/2006/picture">
            <wp:extent cx="2606040" cy="1874520"/>
            <wp:docPr id="12" name="Picture 12"/>
            <wp:cNvGraphicFramePr>
              <a:graphicFrameLocks noChangeAspect="1"/>
            </wp:cNvGraphicFramePr>
            <a:graphic>
              <a:graphicData uri="http://schemas.openxmlformats.org/drawingml/2006/picture">
                <pic:pic>
                  <pic:nvPicPr>
                    <pic:cNvPr id="0" name="c08_td_losses.png"/>
                    <pic:cNvPicPr/>
                  </pic:nvPicPr>
                  <pic:blipFill>
                    <a:blip r:embed="rId16"/>
                    <a:stretch>
                      <a:fillRect/>
                    </a:stretch>
                  </pic:blipFill>
                  <pic:spPr>
                    <a:xfrm>
                      <a:off x="0" y="0"/>
                      <a:ext cx="2606040" cy="1874520"/>
                    </a:xfrm>
                    <a:prstGeom prst="rect"/>
                  </pic:spPr>
                </pic:pic>
              </a:graphicData>
            </a:graphic>
          </wp:inline>
        </w:drawing>
      </w:r>
    </w:p>
    <w:p>
      <w:pPr>
        <w:jc w:val="center"/>
      </w:pPr>
      <w:r>
        <w:rPr>
          <w:i/>
          <w:color w:val="788C96"/>
          <w:sz w:val="16"/>
        </w:rPr>
        <w:t>Page 8 | Based on End-Term Data</w:t>
      </w:r>
    </w:p>
    <w:p>
      <w:r>
        <w:br w:type="page"/>
      </w:r>
    </w:p>
    <w:p>
      <w:pPr>
        <w:spacing w:after="0"/>
        <w:jc w:val="center"/>
        <w:shd w:fill="1A6B7C"/>
      </w:pPr>
      <w:r>
        <w:rPr>
          <w:b/>
          <w:color w:val="FFFFFF"/>
          <w:sz w:val="28"/>
        </w:rPr>
        <w:t>Conclusion and Recommendations</w:t>
      </w:r>
    </w:p>
    <w:p>
      <w:pPr>
        <w:spacing w:after="0"/>
        <w:jc w:val="center"/>
        <w:shd w:fill="3D9EB5"/>
      </w:pPr>
      <w:r>
        <w:rPr>
          <w:b/>
          <w:color w:val="FFFFFF"/>
          <w:sz w:val="22"/>
        </w:rPr>
        <w:t>Summary of Findings</w:t>
      </w:r>
    </w:p>
    <w:p>
      <w:pPr>
        <w:shd w:fill="3D9EB5"/>
      </w:pPr>
      <w:r>
        <w:rPr>
          <w:b/>
          <w:color w:val="FFFFFF"/>
          <w:sz w:val="22"/>
        </w:rPr>
        <w:t>Summary of Key Findings</w:t>
      </w:r>
    </w:p>
    <w:p>
      <w:pPr>
        <w:pStyle w:val="ListBullet"/>
        <w:shd w:fill="E8F6F3"/>
      </w:pPr>
      <w:r>
        <w:rPr>
          <w:sz w:val="20"/>
        </w:rPr>
        <w:t>Consumption rose in all sectors every year (Table 1).</w:t>
      </w:r>
    </w:p>
    <w:p>
      <w:pPr>
        <w:pStyle w:val="ListBullet"/>
        <w:shd w:fill="E8F6F3"/>
      </w:pPr>
      <w:r>
        <w:rPr>
          <w:sz w:val="20"/>
        </w:rPr>
        <w:t>Agriculture is the largest consumer (98.45 BU); industry has highest growth (43.3%).</w:t>
      </w:r>
    </w:p>
    <w:p>
      <w:pPr>
        <w:pStyle w:val="ListBullet"/>
        <w:shd w:fill="E8F6F3"/>
      </w:pPr>
      <w:r>
        <w:rPr>
          <w:sz w:val="20"/>
        </w:rPr>
        <w:t>Combined consumption grew 23.1% (165.22 to 203.35 BU).</w:t>
      </w:r>
    </w:p>
    <w:p>
      <w:pPr>
        <w:pStyle w:val="ListBullet"/>
        <w:shd w:fill="E8F6F3"/>
      </w:pPr>
      <w:r>
        <w:rPr>
          <w:sz w:val="20"/>
        </w:rPr>
        <w:t>Demand–supply gap widened from 4 BU to 9 BU (Table 2).</w:t>
      </w:r>
    </w:p>
    <w:p>
      <w:pPr>
        <w:pStyle w:val="ListBullet"/>
        <w:shd w:fill="E8F6F3"/>
      </w:pPr>
      <w:r>
        <w:rPr>
          <w:sz w:val="20"/>
        </w:rPr>
        <w:t>Renewable share rose to 35%; T&amp;D losses fell to 15% (Table 3).</w:t>
      </w:r>
    </w:p>
    <w:p>
      <w:pPr>
        <w:jc w:val="both"/>
      </w:pPr>
      <w:r>
        <w:rPr>
          <w:sz w:val="21"/>
        </w:rPr>
        <w:t>The analysis of the end-term data from 2022 to 2025 shows a clear pattern of rising electricity consumption across all sectors. The industrial sector grew the fastest, agriculture consumed the most, and domestic use also increased steadily. At the same time, the demand–supply gap is widening, which is a matter of concern. Progress in renewable energy and loss reduction is visible, but more action is needed.</w:t>
      </w:r>
    </w:p>
    <w:p>
      <w:pPr>
        <w:shd w:fill="D4EFF5"/>
      </w:pPr>
      <w:r>
        <w:rPr>
          <w:b/>
          <w:color w:val="1A6B7C"/>
          <w:sz w:val="22"/>
        </w:rPr>
        <w:t>Final Recommendations</w:t>
      </w:r>
    </w:p>
    <w:tbl>
      <w:tblPr>
        <w:tblStyle w:val="TableGrid"/>
        <w:tblW w:type="auto" w:w="0"/>
        <w:tblLook w:firstColumn="1" w:firstRow="1" w:lastColumn="0" w:lastRow="0" w:noHBand="0" w:noVBand="1" w:val="04A0"/>
      </w:tblPr>
      <w:tblGrid>
        <w:gridCol w:w="3249"/>
        <w:gridCol w:w="3249"/>
        <w:gridCol w:w="3249"/>
      </w:tblGrid>
      <w:tr>
        <w:tc>
          <w:tcPr>
            <w:tcW w:type="dxa" w:w="3249"/>
            <w:shd w:fill="1A6B7C"/>
          </w:tcPr>
          <w:p>
            <w:r>
              <w:rPr>
                <w:b/>
                <w:color w:val="FFFFFF"/>
                <w:sz w:val="20"/>
              </w:rPr>
              <w:t>No.</w:t>
            </w:r>
          </w:p>
        </w:tc>
        <w:tc>
          <w:tcPr>
            <w:tcW w:type="dxa" w:w="3249"/>
            <w:shd w:fill="1A6B7C"/>
          </w:tcPr>
          <w:p>
            <w:r>
              <w:rPr>
                <w:b/>
                <w:color w:val="FFFFFF"/>
                <w:sz w:val="20"/>
              </w:rPr>
              <w:t>Measure</w:t>
            </w:r>
          </w:p>
        </w:tc>
        <w:tc>
          <w:tcPr>
            <w:tcW w:type="dxa" w:w="3249"/>
            <w:shd w:fill="1A6B7C"/>
          </w:tcPr>
          <w:p>
            <w:r>
              <w:rPr>
                <w:b/>
                <w:color w:val="FFFFFF"/>
                <w:sz w:val="20"/>
              </w:rPr>
              <w:t>Based on</w:t>
            </w:r>
          </w:p>
        </w:tc>
      </w:tr>
      <w:tr>
        <w:tc>
          <w:tcPr>
            <w:tcW w:type="dxa" w:w="3249"/>
            <w:shd w:fill="B8E8DC"/>
          </w:tcPr>
          <w:p>
            <w:r>
              <w:rPr>
                <w:sz w:val="20"/>
              </w:rPr>
              <w:t>1</w:t>
            </w:r>
          </w:p>
        </w:tc>
        <w:tc>
          <w:tcPr>
            <w:tcW w:type="dxa" w:w="3249"/>
            <w:shd w:fill="B8E8DC"/>
          </w:tcPr>
          <w:p>
            <w:r>
              <w:rPr>
                <w:sz w:val="20"/>
              </w:rPr>
              <w:t>Demand-side management and energy conservation</w:t>
            </w:r>
          </w:p>
        </w:tc>
        <w:tc>
          <w:tcPr>
            <w:tcW w:type="dxa" w:w="3249"/>
            <w:shd w:fill="B8E8DC"/>
          </w:tcPr>
          <w:p>
            <w:r>
              <w:rPr>
                <w:sz w:val="20"/>
              </w:rPr>
              <w:t>Rising consumption in Table 1; additional information</w:t>
            </w:r>
          </w:p>
        </w:tc>
      </w:tr>
      <w:tr>
        <w:tc>
          <w:tcPr>
            <w:tcW w:type="dxa" w:w="3249"/>
            <w:shd w:fill="B8E8DC"/>
          </w:tcPr>
          <w:p>
            <w:r>
              <w:rPr>
                <w:sz w:val="20"/>
              </w:rPr>
              <w:t>2</w:t>
            </w:r>
          </w:p>
        </w:tc>
        <w:tc>
          <w:tcPr>
            <w:tcW w:type="dxa" w:w="3249"/>
            <w:shd w:fill="B8E8DC"/>
          </w:tcPr>
          <w:p>
            <w:r>
              <w:rPr>
                <w:sz w:val="20"/>
              </w:rPr>
              <w:t>Renewable energy expansion and smart grids</w:t>
            </w:r>
          </w:p>
        </w:tc>
        <w:tc>
          <w:tcPr>
            <w:tcW w:type="dxa" w:w="3249"/>
            <w:shd w:fill="B8E8DC"/>
          </w:tcPr>
          <w:p>
            <w:r>
              <w:rPr>
                <w:sz w:val="20"/>
              </w:rPr>
              <w:t>Table 3 data; additional information</w:t>
            </w:r>
          </w:p>
        </w:tc>
      </w:tr>
      <w:tr>
        <w:tc>
          <w:tcPr>
            <w:tcW w:type="dxa" w:w="3249"/>
            <w:shd w:fill="B8E8DC"/>
          </w:tcPr>
          <w:p>
            <w:r>
              <w:rPr>
                <w:sz w:val="20"/>
              </w:rPr>
              <w:t>3</w:t>
            </w:r>
          </w:p>
        </w:tc>
        <w:tc>
          <w:tcPr>
            <w:tcW w:type="dxa" w:w="3249"/>
            <w:shd w:fill="B8E8DC"/>
          </w:tcPr>
          <w:p>
            <w:r>
              <w:rPr>
                <w:sz w:val="20"/>
              </w:rPr>
              <w:t>Further reduction in T&amp;D losses</w:t>
            </w:r>
          </w:p>
        </w:tc>
        <w:tc>
          <w:tcPr>
            <w:tcW w:type="dxa" w:w="3249"/>
            <w:shd w:fill="B8E8DC"/>
          </w:tcPr>
          <w:p>
            <w:r>
              <w:rPr>
                <w:sz w:val="20"/>
              </w:rPr>
              <w:t>Table 3 data; demand–supply gap in Table 2</w:t>
            </w:r>
          </w:p>
        </w:tc>
      </w:tr>
    </w:tbl>
    <w:p/>
    <w:p>
      <w:pPr>
        <w:jc w:val="both"/>
      </w:pPr>
      <w:r>
        <w:rPr>
          <w:sz w:val="21"/>
        </w:rPr>
        <w:t>These three measures are suggested to help the Council address the Chairman's concern over rising electricity consumption and pressure on India's power infrastructure. All conclusions in this report are drawn only from the end-term data and the additional information provided.</w:t>
      </w:r>
    </w:p>
    <w:p>
      <w:pPr>
        <w:jc w:val="center"/>
      </w:pPr>
      <w:r>
        <w:rPr>
          <w:i/>
          <w:color w:val="788C96"/>
          <w:sz w:val="16"/>
        </w:rPr>
        <w:t>Page 9</w:t>
      </w:r>
    </w:p>
    <w:p>
      <w:r>
        <w:br w:type="page"/>
      </w:r>
    </w:p>
    <w:p>
      <w:pPr>
        <w:spacing w:after="0"/>
        <w:jc w:val="center"/>
        <w:shd w:fill="1A6B7C"/>
      </w:pPr>
      <w:r>
        <w:rPr>
          <w:b/>
          <w:color w:val="FFFFFF"/>
          <w:sz w:val="28"/>
        </w:rPr>
        <w:t>References and Appendices</w:t>
      </w:r>
    </w:p>
    <w:p>
      <w:pPr>
        <w:spacing w:after="0"/>
        <w:jc w:val="center"/>
        <w:shd w:fill="3D9EB5"/>
      </w:pPr>
      <w:r>
        <w:rPr>
          <w:b/>
          <w:color w:val="FFFFFF"/>
          <w:sz w:val="22"/>
        </w:rPr>
        <w:t>Primary Data Sources and Referential Documents</w:t>
      </w:r>
    </w:p>
    <w:p>
      <w:pPr>
        <w:jc w:val="both"/>
      </w:pPr>
      <w:r>
        <w:rPr>
          <w:sz w:val="20"/>
        </w:rPr>
        <w:t>Note: All analysis, calculations, tables, figures, and conclusions in this report are based exclusively on the end-term assessment data (Tables 1, 2, and 3) and the additional information provided with the question paper. The referential documents listed below have been consulted for report structure, background context, and formatting guidance only. No statistics or data from external sources have been used in the analysis.</w:t>
      </w:r>
    </w:p>
    <w:p>
      <w:pPr>
        <w:shd w:fill="D4EFF5"/>
      </w:pPr>
      <w:r>
        <w:rPr>
          <w:b/>
          <w:color w:val="1A6B7C"/>
          <w:sz w:val="22"/>
        </w:rPr>
        <w:t>A. Primary Data Sources (Used for Analysis)</w:t>
      </w:r>
    </w:p>
    <w:p>
      <w:r>
        <w:rPr>
          <w:sz w:val="20"/>
        </w:rPr>
        <w:t>1. Energy Development and Conservation Council (EDCC). (2026). Table 1: Sector-wise Electricity Consumption (Billion Units), 2022–2025. End-Term Assessment Data.</w:t>
      </w:r>
    </w:p>
    <w:p>
      <w:r>
        <w:rPr>
          <w:sz w:val="20"/>
        </w:rPr>
        <w:t>2. Energy Development and Conservation Council (EDCC). (2026). Table 2: Electricity Demand and Supply (Billion Units), 2022–2025. End-Term Assessment Data.</w:t>
      </w:r>
    </w:p>
    <w:p>
      <w:r>
        <w:rPr>
          <w:sz w:val="20"/>
        </w:rPr>
        <w:t>3. Energy Development and Conservation Council (EDCC). (2026). Table 3: Renewable Energy and Transmission Losses, 2022–2025. End-Term Assessment Data.</w:t>
      </w:r>
    </w:p>
    <w:p>
      <w:r>
        <w:rPr>
          <w:sz w:val="20"/>
        </w:rPr>
        <w:t>4. Energy Development and Conservation Council (EDCC). (2026). Additional Information provided with the End-Term Question Paper.</w:t>
      </w:r>
    </w:p>
    <w:p>
      <w:pPr>
        <w:shd w:fill="D4EFF5"/>
      </w:pPr>
      <w:r>
        <w:rPr>
          <w:b/>
          <w:color w:val="1A6B7C"/>
          <w:sz w:val="22"/>
        </w:rPr>
        <w:t>B. Referential Documents (Background and Report Format)</w:t>
      </w:r>
    </w:p>
    <w:p>
      <w:r>
        <w:rPr>
          <w:sz w:val="20"/>
        </w:rPr>
        <w:t>1. Central Electricity Authority. (2024). Load Generation Balance Report 2024-25. Ministry of Power, Government of India.</w:t>
      </w:r>
    </w:p>
    <w:p>
      <w:r>
        <w:rPr>
          <w:sz w:val="20"/>
        </w:rPr>
        <w:t>2. Press Information Bureau. (2025). India's Energy Landscape: Powering Growth with Sustainable Energy. Government of India.</w:t>
      </w:r>
    </w:p>
    <w:p>
      <w:r>
        <w:rPr>
          <w:sz w:val="20"/>
        </w:rPr>
        <w:t>3. Ministry of Statistics and Programme Implementation. (2025). Energy Statistics India 2025. Government of India.</w:t>
      </w:r>
    </w:p>
    <w:p>
      <w:r>
        <w:rPr>
          <w:sz w:val="20"/>
        </w:rPr>
        <w:t>4. Bureau of Energy Efficiency. (2024). National Mission for Enhanced Energy Efficiency — Annual Report. Ministry of Power, Government of India.</w:t>
      </w:r>
    </w:p>
    <w:p>
      <w:r>
        <w:rPr>
          <w:sz w:val="20"/>
        </w:rPr>
        <w:t>5. Government of India. (2003). The Electricity Act, 2003. Ministry of Power.</w:t>
      </w:r>
    </w:p>
    <w:p>
      <w:r>
        <w:rPr>
          <w:sz w:val="20"/>
        </w:rPr>
        <w:t>6. Government of India. (2022). Revamped Distribution Sector Scheme (RDSS) — Guidelines. Ministry of Power.</w:t>
      </w:r>
    </w:p>
    <w:p>
      <w:r>
        <w:rPr>
          <w:sz w:val="20"/>
        </w:rPr>
        <w:t>7. Course Material: Business Communication — Report Writing and Analytical Report Structure (Previous semester study documents).</w:t>
      </w:r>
    </w:p>
    <w:p>
      <w:r>
        <w:rPr>
          <w:sz w:val="20"/>
        </w:rPr>
        <w:t>8. Energy Development and Conservation Council (EDCC). (2025). Earlier Council Briefing Documents on Electricity Consumption Trends.</w:t>
      </w:r>
    </w:p>
    <w:p>
      <w:pPr>
        <w:shd w:fill="D4EFF5"/>
      </w:pPr>
      <w:r>
        <w:rPr>
          <w:b/>
          <w:color w:val="1A6B7C"/>
          <w:sz w:val="22"/>
        </w:rPr>
        <w:t>Appendix: Calculations from End-Term Data Only</w:t>
      </w:r>
    </w:p>
    <w:tbl>
      <w:tblPr>
        <w:tblStyle w:val="TableGrid"/>
        <w:tblW w:type="auto" w:w="0"/>
        <w:tblLook w:firstColumn="1" w:firstRow="1" w:lastColumn="0" w:lastRow="0" w:noHBand="0" w:noVBand="1" w:val="04A0"/>
      </w:tblPr>
      <w:tblGrid>
        <w:gridCol w:w="4873"/>
        <w:gridCol w:w="4873"/>
      </w:tblGrid>
      <w:tr>
        <w:tc>
          <w:tcPr>
            <w:tcW w:type="dxa" w:w="4873"/>
          </w:tcPr>
          <w:p>
            <w:r>
              <w:t>Calculation</w:t>
            </w:r>
          </w:p>
        </w:tc>
        <w:tc>
          <w:tcPr>
            <w:tcW w:type="dxa" w:w="4873"/>
          </w:tcPr>
          <w:p>
            <w:r>
              <w:t>Result</w:t>
            </w:r>
          </w:p>
        </w:tc>
      </w:tr>
      <w:tr>
        <w:tc>
          <w:tcPr>
            <w:tcW w:type="dxa" w:w="4873"/>
          </w:tcPr>
          <w:p>
            <w:r>
              <w:t>Agriculture growth (2022–2025)</w:t>
            </w:r>
          </w:p>
        </w:tc>
        <w:tc>
          <w:tcPr>
            <w:tcW w:type="dxa" w:w="4873"/>
          </w:tcPr>
          <w:p>
            <w:r>
              <w:t>(98.45 − 83.30) / 83.30 × 100 = 18.2%</w:t>
            </w:r>
          </w:p>
        </w:tc>
      </w:tr>
      <w:tr>
        <w:tc>
          <w:tcPr>
            <w:tcW w:type="dxa" w:w="4873"/>
          </w:tcPr>
          <w:p>
            <w:r>
              <w:t>Industrial growth (2022–2025)</w:t>
            </w:r>
          </w:p>
        </w:tc>
        <w:tc>
          <w:tcPr>
            <w:tcW w:type="dxa" w:w="4873"/>
          </w:tcPr>
          <w:p>
            <w:r>
              <w:t>(33.65 − 23.48) / 23.48 × 100 = 43.3%</w:t>
            </w:r>
          </w:p>
        </w:tc>
      </w:tr>
      <w:tr>
        <w:tc>
          <w:tcPr>
            <w:tcW w:type="dxa" w:w="4873"/>
          </w:tcPr>
          <w:p>
            <w:r>
              <w:t>Domestic growth (2022–2025)</w:t>
            </w:r>
          </w:p>
        </w:tc>
        <w:tc>
          <w:tcPr>
            <w:tcW w:type="dxa" w:w="4873"/>
          </w:tcPr>
          <w:p>
            <w:r>
              <w:t>(71.25 − 58.44) / 58.44 × 100 = 21.9%</w:t>
            </w:r>
          </w:p>
        </w:tc>
      </w:tr>
      <w:tr>
        <w:tc>
          <w:tcPr>
            <w:tcW w:type="dxa" w:w="4873"/>
          </w:tcPr>
          <w:p>
            <w:r>
              <w:t>Combined consumption growth</w:t>
            </w:r>
          </w:p>
        </w:tc>
        <w:tc>
          <w:tcPr>
            <w:tcW w:type="dxa" w:w="4873"/>
          </w:tcPr>
          <w:p>
            <w:r>
              <w:t>(203.35 − 165.22) / 165.22 × 100 = 23.1%</w:t>
            </w:r>
          </w:p>
        </w:tc>
      </w:tr>
      <w:tr>
        <w:tc>
          <w:tcPr>
            <w:tcW w:type="dxa" w:w="4873"/>
          </w:tcPr>
          <w:p>
            <w:r>
              <w:t>National demand growth</w:t>
            </w:r>
          </w:p>
        </w:tc>
        <w:tc>
          <w:tcPr>
            <w:tcW w:type="dxa" w:w="4873"/>
          </w:tcPr>
          <w:p>
            <w:r>
              <w:t>(221 − 182) / 182 × 100 = 21.4%</w:t>
            </w:r>
          </w:p>
        </w:tc>
      </w:tr>
      <w:tr>
        <w:tc>
          <w:tcPr>
            <w:tcW w:type="dxa" w:w="4873"/>
          </w:tcPr>
          <w:p>
            <w:r>
              <w:t>Demand–supply gap (2025)</w:t>
            </w:r>
          </w:p>
        </w:tc>
        <w:tc>
          <w:tcPr>
            <w:tcW w:type="dxa" w:w="4873"/>
          </w:tcPr>
          <w:p>
            <w:r>
              <w:t>221 − 212 = 9 BU (4.1% of demand)</w:t>
            </w:r>
          </w:p>
        </w:tc>
      </w:tr>
      <w:tr>
        <w:tc>
          <w:tcPr>
            <w:tcW w:type="dxa" w:w="4873"/>
          </w:tcPr>
          <w:p>
            <w:r>
              <w:t>Renewable energy share change</w:t>
            </w:r>
          </w:p>
        </w:tc>
        <w:tc>
          <w:tcPr>
            <w:tcW w:type="dxa" w:w="4873"/>
          </w:tcPr>
          <w:p>
            <w:r>
              <w:t>35% − 24% = +11 percentage points</w:t>
            </w:r>
          </w:p>
        </w:tc>
      </w:tr>
      <w:tr>
        <w:tc>
          <w:tcPr>
            <w:tcW w:type="dxa" w:w="4873"/>
          </w:tcPr>
          <w:p>
            <w:r>
              <w:t>T&amp;D losses change</w:t>
            </w:r>
          </w:p>
        </w:tc>
        <w:tc>
          <w:tcPr>
            <w:tcW w:type="dxa" w:w="4873"/>
          </w:tcPr>
          <w:p>
            <w:r>
              <w:t>18% − 15% = −3 percentage points</w:t>
            </w:r>
          </w:p>
        </w:tc>
      </w:tr>
    </w:tbl>
    <w:p>
      <w:pPr>
        <w:jc w:val="center"/>
      </w:pPr>
      <w:r>
        <w:rPr>
          <w:i/>
          <w:sz w:val="16"/>
        </w:rPr>
        <w:t>Page 10 | End of Report</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