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6B7C"/>
          <w:sz w:val="30"/>
        </w:rPr>
        <w:t>ANALYTICAL REPORT ON ELECTRICITY CONSUMPTION TRENDS</w:t>
        <w:br/>
        <w:t>AND SUSTAINABLE ENERGY MANAGEMENT IN INDIA</w:t>
      </w:r>
    </w:p>
    <w:p>
      <w:pPr>
        <w:jc w:val="center"/>
      </w:pPr>
      <w:r>
        <w:rPr>
          <w:sz w:val="20"/>
        </w:rPr>
        <w:t>Submitted to: The Chairman, Energy Development and Conservation Council (EDCC), New Delhi</w:t>
      </w:r>
    </w:p>
    <w:p>
      <w:pPr>
        <w:jc w:val="center"/>
      </w:pPr>
      <w:r>
        <w:rPr>
          <w:sz w:val="20"/>
        </w:rPr>
        <w:t>Submitted by: Secretary, EDCC (Report section: Jaya — Pages 2 and 3)</w:t>
      </w:r>
    </w:p>
    <w:p>
      <w:pPr>
        <w:jc w:val="center"/>
      </w:pPr>
      <w:r>
        <w:rPr>
          <w:sz w:val="20"/>
        </w:rPr>
        <w:t>Date: August 2026</w:t>
      </w:r>
    </w:p>
    <w:p>
      <w:pPr>
        <w:spacing w:after="0"/>
        <w:jc w:val="center"/>
        <w:shd w:fill="1A6B7C"/>
      </w:pPr>
      <w:r>
        <w:rPr>
          <w:b/>
          <w:color w:val="FFFFFF"/>
          <w:sz w:val="28"/>
        </w:rPr>
        <w:t>Introduction</w:t>
      </w:r>
    </w:p>
    <w:p>
      <w:pPr>
        <w:spacing w:after="0"/>
        <w:jc w:val="center"/>
        <w:shd w:fill="3D9EB5"/>
      </w:pPr>
      <w:r>
        <w:rPr>
          <w:b/>
          <w:color w:val="FFFFFF"/>
          <w:sz w:val="22"/>
        </w:rPr>
        <w:t>Background, Scope and Objectives of the Report</w:t>
      </w:r>
    </w:p>
    <w:p>
      <w:pPr>
        <w:shd w:fill="3D9EB5"/>
      </w:pPr>
      <w:r>
        <w:rPr>
          <w:b/>
          <w:color w:val="FFFFFF"/>
          <w:sz w:val="22"/>
        </w:rPr>
        <w:t>Summary of This Report</w:t>
      </w:r>
    </w:p>
    <w:p>
      <w:pPr>
        <w:pStyle w:val="ListBullet"/>
        <w:shd w:fill="E8F6F3"/>
      </w:pPr>
      <w:r>
        <w:rPr>
          <w:sz w:val="20"/>
        </w:rPr>
        <w:t>The Chairman has raised concern over rising electricity use and pressure on power infrastructure.</w:t>
      </w:r>
    </w:p>
    <w:p>
      <w:pPr>
        <w:pStyle w:val="ListBullet"/>
        <w:shd w:fill="E8F6F3"/>
      </w:pPr>
      <w:r>
        <w:rPr>
          <w:sz w:val="20"/>
        </w:rPr>
        <w:t>This report uses EDCC data for 2022–2025 (Tables 1, 2 and 3) to study sector-wise consumption.</w:t>
      </w:r>
    </w:p>
    <w:p>
      <w:pPr>
        <w:pStyle w:val="ListBullet"/>
        <w:shd w:fill="E8F6F3"/>
      </w:pPr>
      <w:r>
        <w:rPr>
          <w:sz w:val="20"/>
        </w:rPr>
        <w:t>It also reviews demand–supply balance, renewable energy progress, and transmission losses.</w:t>
      </w:r>
    </w:p>
    <w:p>
      <w:pPr>
        <w:pStyle w:val="ListBullet"/>
        <w:shd w:fill="E8F6F3"/>
      </w:pPr>
      <w:r>
        <w:rPr>
          <w:sz w:val="20"/>
        </w:rPr>
        <w:t>Three policy suggestions are given for better electricity planning in the country.</w:t>
      </w:r>
    </w:p>
    <w:p>
      <w:pPr>
        <w:pStyle w:val="ListBullet"/>
        <w:shd w:fill="E8F6F3"/>
      </w:pPr>
      <w:r>
        <w:rPr>
          <w:sz w:val="20"/>
        </w:rPr>
        <w:t>Rising demand is linked to urbanisation, industry, air-conditioner use, and farm irrigation.</w:t>
      </w:r>
    </w:p>
    <w:p>
      <w:pPr>
        <w:shd w:fill="D4EFF5"/>
      </w:pPr>
      <w:r>
        <w:rPr>
          <w:b/>
          <w:color w:val="1A6B7C"/>
          <w:sz w:val="22"/>
        </w:rPr>
        <w:t>Background and Scope</w:t>
      </w:r>
    </w:p>
    <w:p>
      <w:pPr>
        <w:jc w:val="both"/>
      </w:pPr>
      <w:r>
        <w:rPr>
          <w:sz w:val="21"/>
        </w:rPr>
        <w:t>India's electricity requirement has been increasing year after year. The EDCC has collected sector-wise data for agriculture, industry, and households for the period 2022 to 2025. All three sectors show higher consumption in each year. This report studies that data to help the Council plan future energy use in a more sustainable manner. The analysis is based only on the figures and background information shared with the Council.</w:t>
      </w:r>
    </w:p>
    <w:p>
      <w:pPr>
        <w:shd w:fill="D4EFF5"/>
      </w:pPr>
      <w:r>
        <w:rPr>
          <w:b/>
          <w:color w:val="1A6B7C"/>
          <w:sz w:val="22"/>
        </w:rPr>
        <w:t>Objectives of the Report</w:t>
      </w:r>
    </w:p>
    <w:p>
      <w:pPr>
        <w:pStyle w:val="ListNumber"/>
      </w:pPr>
      <w:r>
        <w:rPr>
          <w:sz w:val="21"/>
        </w:rPr>
        <w:t>To study how electricity consumption changed between 2022 and 2025.</w:t>
      </w:r>
    </w:p>
    <w:p>
      <w:pPr>
        <w:pStyle w:val="ListNumber"/>
      </w:pPr>
      <w:r>
        <w:rPr>
          <w:sz w:val="21"/>
        </w:rPr>
        <w:t>To find which sector grew the fastest and why.</w:t>
      </w:r>
    </w:p>
    <w:p>
      <w:pPr>
        <w:pStyle w:val="ListNumber"/>
      </w:pPr>
      <w:r>
        <w:rPr>
          <w:sz w:val="21"/>
        </w:rPr>
        <w:t>To compare demand and supply and note major problems.</w:t>
      </w:r>
    </w:p>
    <w:p>
      <w:pPr>
        <w:pStyle w:val="ListNumber"/>
      </w:pPr>
      <w:r>
        <w:rPr>
          <w:sz w:val="21"/>
        </w:rPr>
        <w:t>To review progress in renewable energy and reduction in transmission losses.</w:t>
      </w:r>
    </w:p>
    <w:p>
      <w:pPr>
        <w:pStyle w:val="ListNumber"/>
      </w:pPr>
      <w:r>
        <w:rPr>
          <w:sz w:val="21"/>
        </w:rPr>
        <w:t>To suggest three practical steps for better electricity management.</w:t>
      </w:r>
    </w:p>
    <w:p>
      <w:pPr>
        <w:jc w:val="center"/>
      </w:pPr>
      <w:r>
        <w:rPr>
          <w:i/>
          <w:color w:val="788C96"/>
          <w:sz w:val="16"/>
        </w:rPr>
        <w:t>Page 1</w:t>
      </w:r>
    </w:p>
    <w:p>
      <w:r>
        <w:br w:type="page"/>
      </w:r>
    </w:p>
    <w:p>
      <w:pPr>
        <w:spacing w:after="0"/>
        <w:jc w:val="center"/>
        <w:shd w:fill="1A6B7C"/>
      </w:pPr>
      <w:r>
        <w:rPr>
          <w:b/>
          <w:color w:val="FFFFFF"/>
          <w:sz w:val="28"/>
        </w:rPr>
        <w:t>Trend in Electricity Consumption</w:t>
      </w:r>
    </w:p>
    <w:p>
      <w:pPr>
        <w:spacing w:after="0"/>
        <w:jc w:val="center"/>
        <w:shd w:fill="3D9EB5"/>
      </w:pPr>
      <w:r>
        <w:rPr>
          <w:b/>
          <w:color w:val="FFFFFF"/>
          <w:sz w:val="22"/>
        </w:rPr>
        <w:t>Sector-wise Analysis and Overall Growth (2022–2025)</w:t>
      </w:r>
    </w:p>
    <w:p>
      <w:pPr>
        <w:shd w:fill="3D9EB5"/>
      </w:pPr>
      <w:r>
        <w:rPr>
          <w:b/>
          <w:color w:val="FFFFFF"/>
          <w:sz w:val="22"/>
        </w:rPr>
        <w:t>Important Points from Table 1</w:t>
      </w:r>
    </w:p>
    <w:p>
      <w:pPr>
        <w:pStyle w:val="ListBullet"/>
        <w:shd w:fill="E8F6F3"/>
      </w:pPr>
      <w:r>
        <w:rPr>
          <w:sz w:val="20"/>
        </w:rPr>
        <w:t>Total consumption of the three sectors increased from 165.22 BU to 203.35 BU (23.1%).</w:t>
      </w:r>
    </w:p>
    <w:p>
      <w:pPr>
        <w:pStyle w:val="ListBullet"/>
        <w:shd w:fill="E8F6F3"/>
      </w:pPr>
      <w:r>
        <w:rPr>
          <w:sz w:val="20"/>
        </w:rPr>
        <w:t>Agriculture used the highest amount of electricity: 98.45 BU in 2025 (48.4% share).</w:t>
      </w:r>
    </w:p>
    <w:p>
      <w:pPr>
        <w:pStyle w:val="ListBullet"/>
        <w:shd w:fill="E8F6F3"/>
      </w:pPr>
      <w:r>
        <w:rPr>
          <w:sz w:val="20"/>
        </w:rPr>
        <w:t>Domestic use reached 71.25 BU, showing 21.9% growth over four years.</w:t>
      </w:r>
    </w:p>
    <w:p>
      <w:pPr>
        <w:pStyle w:val="ListBullet"/>
        <w:shd w:fill="E8F6F3"/>
      </w:pPr>
      <w:r>
        <w:rPr>
          <w:sz w:val="20"/>
        </w:rPr>
        <w:t>Industry recorded the sharpest rise of 22.6% in 2022–23 and 43.3% over the full period.</w:t>
      </w:r>
    </w:p>
    <w:p>
      <w:pPr>
        <w:pStyle w:val="ListBullet"/>
        <w:shd w:fill="E8F6F3"/>
      </w:pPr>
      <w:r>
        <w:rPr>
          <w:sz w:val="20"/>
        </w:rPr>
        <w:t>National demand (Table 2) moved from 182 BU to 221 BU, which is close to sector trends.</w:t>
      </w:r>
    </w:p>
    <w:p>
      <w:pPr>
        <w:shd w:fill="D4EFF5"/>
      </w:pPr>
      <w:r>
        <w:rPr>
          <w:sz w:val="21"/>
        </w:rPr>
        <w:t>Observation: No sector showed a fall in consumption in any year during 2022–2025.</w:t>
      </w:r>
    </w:p>
    <w:p>
      <w:pPr>
        <w:jc w:val="both"/>
      </w:pPr>
      <w:r>
        <w:rPr>
          <w:sz w:val="21"/>
        </w:rPr>
        <w:t>Table 1 shows that electricity use increased continuously in agriculture, industry, and domestic sectors. Agriculture remained the leading sector because of high irrigation load. Domestic use also rose because more urban households are using electrical appliances. Industry, though smaller in volume, expanded at a much faster rate.</w:t>
      </w:r>
    </w:p>
    <w:p>
      <w:pPr>
        <w:shd w:fill="D4EFF5"/>
      </w:pPr>
      <w:r>
        <w:rPr>
          <w:b/>
          <w:color w:val="1A6B7C"/>
          <w:sz w:val="22"/>
        </w:rPr>
        <w:t>Table 1: Sector-wise Electricity Consumption (Billion Units)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fill="1A6B7C"/>
          </w:tcPr>
          <w:p>
            <w:r>
              <w:rPr>
                <w:b/>
                <w:color w:val="FFFFFF"/>
                <w:sz w:val="20"/>
              </w:rPr>
              <w:t>Sector</w:t>
            </w:r>
          </w:p>
        </w:tc>
        <w:tc>
          <w:tcPr>
            <w:tcW w:type="dxa" w:w="1624"/>
            <w:shd w:fill="1A6B7C"/>
          </w:tcPr>
          <w:p>
            <w:r>
              <w:rPr>
                <w:b/>
                <w:color w:val="FFFFFF"/>
                <w:sz w:val="20"/>
              </w:rPr>
              <w:t>2022</w:t>
            </w:r>
          </w:p>
        </w:tc>
        <w:tc>
          <w:tcPr>
            <w:tcW w:type="dxa" w:w="1624"/>
            <w:shd w:fill="1A6B7C"/>
          </w:tcPr>
          <w:p>
            <w:r>
              <w:rPr>
                <w:b/>
                <w:color w:val="FFFFFF"/>
                <w:sz w:val="20"/>
              </w:rPr>
              <w:t>2023</w:t>
            </w:r>
          </w:p>
        </w:tc>
        <w:tc>
          <w:tcPr>
            <w:tcW w:type="dxa" w:w="1624"/>
            <w:shd w:fill="1A6B7C"/>
          </w:tcPr>
          <w:p>
            <w:r>
              <w:rPr>
                <w:b/>
                <w:color w:val="FFFFFF"/>
                <w:sz w:val="20"/>
              </w:rPr>
              <w:t>2024</w:t>
            </w:r>
          </w:p>
        </w:tc>
        <w:tc>
          <w:tcPr>
            <w:tcW w:type="dxa" w:w="1624"/>
            <w:shd w:fill="1A6B7C"/>
          </w:tcPr>
          <w:p>
            <w:r>
              <w:rPr>
                <w:b/>
                <w:color w:val="FFFFFF"/>
                <w:sz w:val="20"/>
              </w:rPr>
              <w:t>2025</w:t>
            </w:r>
          </w:p>
        </w:tc>
        <w:tc>
          <w:tcPr>
            <w:tcW w:type="dxa" w:w="1624"/>
            <w:shd w:fill="1A6B7C"/>
          </w:tcPr>
          <w:p>
            <w:r>
              <w:rPr>
                <w:b/>
                <w:color w:val="FFFFFF"/>
                <w:sz w:val="20"/>
              </w:rPr>
              <w:t>Growth</w:t>
            </w:r>
          </w:p>
        </w:tc>
      </w:tr>
      <w:tr>
        <w:tc>
          <w:tcPr>
            <w:tcW w:type="dxa" w:w="1624"/>
          </w:tcPr>
          <w:p>
            <w:r>
              <w:rPr>
                <w:sz w:val="20"/>
              </w:rPr>
              <w:t>Agriculture</w:t>
            </w:r>
          </w:p>
        </w:tc>
        <w:tc>
          <w:tcPr>
            <w:tcW w:type="dxa" w:w="1624"/>
          </w:tcPr>
          <w:p>
            <w:r>
              <w:rPr>
                <w:sz w:val="20"/>
              </w:rPr>
              <w:t>83.30</w:t>
            </w:r>
          </w:p>
        </w:tc>
        <w:tc>
          <w:tcPr>
            <w:tcW w:type="dxa" w:w="1624"/>
          </w:tcPr>
          <w:p>
            <w:r>
              <w:rPr>
                <w:sz w:val="20"/>
              </w:rPr>
              <w:t>88.96</w:t>
            </w:r>
          </w:p>
        </w:tc>
        <w:tc>
          <w:tcPr>
            <w:tcW w:type="dxa" w:w="1624"/>
          </w:tcPr>
          <w:p>
            <w:r>
              <w:rPr>
                <w:sz w:val="20"/>
              </w:rPr>
              <w:t>93.67</w:t>
            </w:r>
          </w:p>
        </w:tc>
        <w:tc>
          <w:tcPr>
            <w:tcW w:type="dxa" w:w="1624"/>
          </w:tcPr>
          <w:p>
            <w:r>
              <w:rPr>
                <w:sz w:val="20"/>
              </w:rPr>
              <w:t>98.45</w:t>
            </w:r>
          </w:p>
        </w:tc>
        <w:tc>
          <w:tcPr>
            <w:tcW w:type="dxa" w:w="1624"/>
          </w:tcPr>
          <w:p>
            <w:r>
              <w:rPr>
                <w:sz w:val="20"/>
              </w:rPr>
              <w:t>18.2%</w:t>
            </w:r>
          </w:p>
        </w:tc>
      </w:tr>
      <w:tr>
        <w:tc>
          <w:tcPr>
            <w:tcW w:type="dxa" w:w="1624"/>
            <w:shd w:fill="E8F6F3"/>
          </w:tcPr>
          <w:p>
            <w:r>
              <w:rPr>
                <w:sz w:val="20"/>
              </w:rPr>
              <w:t>Domestic</w:t>
            </w:r>
          </w:p>
        </w:tc>
        <w:tc>
          <w:tcPr>
            <w:tcW w:type="dxa" w:w="1624"/>
            <w:shd w:fill="E8F6F3"/>
          </w:tcPr>
          <w:p>
            <w:r>
              <w:rPr>
                <w:sz w:val="20"/>
              </w:rPr>
              <w:t>58.44</w:t>
            </w:r>
          </w:p>
        </w:tc>
        <w:tc>
          <w:tcPr>
            <w:tcW w:type="dxa" w:w="1624"/>
            <w:shd w:fill="E8F6F3"/>
          </w:tcPr>
          <w:p>
            <w:r>
              <w:rPr>
                <w:sz w:val="20"/>
              </w:rPr>
              <w:t>64.20</w:t>
            </w:r>
          </w:p>
        </w:tc>
        <w:tc>
          <w:tcPr>
            <w:tcW w:type="dxa" w:w="1624"/>
            <w:shd w:fill="E8F6F3"/>
          </w:tcPr>
          <w:p>
            <w:r>
              <w:rPr>
                <w:sz w:val="20"/>
              </w:rPr>
              <w:t>67.80</w:t>
            </w:r>
          </w:p>
        </w:tc>
        <w:tc>
          <w:tcPr>
            <w:tcW w:type="dxa" w:w="1624"/>
            <w:shd w:fill="E8F6F3"/>
          </w:tcPr>
          <w:p>
            <w:r>
              <w:rPr>
                <w:sz w:val="20"/>
              </w:rPr>
              <w:t>71.25</w:t>
            </w:r>
          </w:p>
        </w:tc>
        <w:tc>
          <w:tcPr>
            <w:tcW w:type="dxa" w:w="1624"/>
            <w:shd w:fill="E8F6F3"/>
          </w:tcPr>
          <w:p>
            <w:r>
              <w:rPr>
                <w:sz w:val="20"/>
              </w:rPr>
              <w:t>21.9%</w:t>
            </w:r>
          </w:p>
        </w:tc>
      </w:tr>
      <w:tr>
        <w:tc>
          <w:tcPr>
            <w:tcW w:type="dxa" w:w="1624"/>
            <w:shd w:fill="B8E8DC"/>
          </w:tcPr>
          <w:p>
            <w:r>
              <w:rPr>
                <w:sz w:val="20"/>
              </w:rPr>
              <w:t>Industrial</w:t>
            </w:r>
          </w:p>
        </w:tc>
        <w:tc>
          <w:tcPr>
            <w:tcW w:type="dxa" w:w="1624"/>
            <w:shd w:fill="B8E8DC"/>
          </w:tcPr>
          <w:p>
            <w:r>
              <w:rPr>
                <w:sz w:val="20"/>
              </w:rPr>
              <w:t>23.48</w:t>
            </w:r>
          </w:p>
        </w:tc>
        <w:tc>
          <w:tcPr>
            <w:tcW w:type="dxa" w:w="1624"/>
            <w:shd w:fill="B8E8DC"/>
          </w:tcPr>
          <w:p>
            <w:r>
              <w:rPr>
                <w:sz w:val="20"/>
              </w:rPr>
              <w:t>28.78</w:t>
            </w:r>
          </w:p>
        </w:tc>
        <w:tc>
          <w:tcPr>
            <w:tcW w:type="dxa" w:w="1624"/>
            <w:shd w:fill="B8E8DC"/>
          </w:tcPr>
          <w:p>
            <w:r>
              <w:rPr>
                <w:sz w:val="20"/>
              </w:rPr>
              <w:t>30.78</w:t>
            </w:r>
          </w:p>
        </w:tc>
        <w:tc>
          <w:tcPr>
            <w:tcW w:type="dxa" w:w="1624"/>
            <w:shd w:fill="B8E8DC"/>
          </w:tcPr>
          <w:p>
            <w:r>
              <w:rPr>
                <w:sz w:val="20"/>
              </w:rPr>
              <w:t>33.65</w:t>
            </w:r>
          </w:p>
        </w:tc>
        <w:tc>
          <w:tcPr>
            <w:tcW w:type="dxa" w:w="1624"/>
            <w:shd w:fill="B8E8DC"/>
          </w:tcPr>
          <w:p>
            <w:r>
              <w:rPr>
                <w:sz w:val="20"/>
              </w:rPr>
              <w:t>43.3%</w:t>
            </w:r>
          </w:p>
        </w:tc>
      </w:tr>
    </w:tbl>
    <w:p/>
    <w:p>
      <w:pPr>
        <w:shd w:fill="D4EFF5"/>
      </w:pPr>
      <w:r>
        <w:rPr>
          <w:b/>
          <w:color w:val="1A6B7C"/>
          <w:sz w:val="22"/>
        </w:rPr>
        <w:t>Overall Growth in Combined Consumption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A6B7C"/>
          </w:tcPr>
          <w:p>
            <w:r>
              <w:rPr>
                <w:b/>
                <w:color w:val="FFFFFF"/>
                <w:sz w:val="20"/>
              </w:rPr>
              <w:t>Year</w:t>
            </w:r>
          </w:p>
        </w:tc>
        <w:tc>
          <w:tcPr>
            <w:tcW w:type="dxa" w:w="2436"/>
            <w:shd w:fill="1A6B7C"/>
          </w:tcPr>
          <w:p>
            <w:r>
              <w:rPr>
                <w:b/>
                <w:color w:val="FFFFFF"/>
                <w:sz w:val="20"/>
              </w:rPr>
              <w:t>Combined BU</w:t>
            </w:r>
          </w:p>
        </w:tc>
        <w:tc>
          <w:tcPr>
            <w:tcW w:type="dxa" w:w="2436"/>
            <w:shd w:fill="1A6B7C"/>
          </w:tcPr>
          <w:p>
            <w:r>
              <w:rPr>
                <w:b/>
                <w:color w:val="FFFFFF"/>
                <w:sz w:val="20"/>
              </w:rPr>
              <w:t>Increase</w:t>
            </w:r>
          </w:p>
        </w:tc>
        <w:tc>
          <w:tcPr>
            <w:tcW w:type="dxa" w:w="2436"/>
            <w:shd w:fill="1A6B7C"/>
          </w:tcPr>
          <w:p>
            <w:r>
              <w:rPr>
                <w:b/>
                <w:color w:val="FFFFFF"/>
                <w:sz w:val="20"/>
              </w:rPr>
              <w:t>YoY %</w:t>
            </w:r>
          </w:p>
        </w:tc>
      </w:tr>
      <w:tr>
        <w:tc>
          <w:tcPr>
            <w:tcW w:type="dxa" w:w="2436"/>
          </w:tcPr>
          <w:p>
            <w:r>
              <w:rPr>
                <w:sz w:val="20"/>
              </w:rPr>
              <w:t>2022</w:t>
            </w:r>
          </w:p>
        </w:tc>
        <w:tc>
          <w:tcPr>
            <w:tcW w:type="dxa" w:w="2436"/>
          </w:tcPr>
          <w:p>
            <w:r>
              <w:rPr>
                <w:sz w:val="20"/>
              </w:rPr>
              <w:t>165.22</w:t>
            </w:r>
          </w:p>
        </w:tc>
        <w:tc>
          <w:tcPr>
            <w:tcW w:type="dxa" w:w="2436"/>
          </w:tcPr>
          <w:p>
            <w:r>
              <w:rPr>
                <w:sz w:val="20"/>
              </w:rPr>
              <w:t>—</w:t>
            </w:r>
          </w:p>
        </w:tc>
        <w:tc>
          <w:tcPr>
            <w:tcW w:type="dxa" w:w="2436"/>
          </w:tcPr>
          <w:p>
            <w:r>
              <w:rPr>
                <w:sz w:val="20"/>
              </w:rPr>
              <w:t>—</w:t>
            </w:r>
          </w:p>
        </w:tc>
      </w:tr>
      <w:tr>
        <w:tc>
          <w:tcPr>
            <w:tcW w:type="dxa" w:w="2436"/>
            <w:shd w:fill="E8F6F3"/>
          </w:tcPr>
          <w:p>
            <w:r>
              <w:rPr>
                <w:sz w:val="20"/>
              </w:rPr>
              <w:t>2023</w:t>
            </w:r>
          </w:p>
        </w:tc>
        <w:tc>
          <w:tcPr>
            <w:tcW w:type="dxa" w:w="2436"/>
            <w:shd w:fill="E8F6F3"/>
          </w:tcPr>
          <w:p>
            <w:r>
              <w:rPr>
                <w:sz w:val="20"/>
              </w:rPr>
              <w:t>181.94</w:t>
            </w:r>
          </w:p>
        </w:tc>
        <w:tc>
          <w:tcPr>
            <w:tcW w:type="dxa" w:w="2436"/>
            <w:shd w:fill="E8F6F3"/>
          </w:tcPr>
          <w:p>
            <w:r>
              <w:rPr>
                <w:sz w:val="20"/>
              </w:rPr>
              <w:t>+16.72</w:t>
            </w:r>
          </w:p>
        </w:tc>
        <w:tc>
          <w:tcPr>
            <w:tcW w:type="dxa" w:w="2436"/>
            <w:shd w:fill="E8F6F3"/>
          </w:tcPr>
          <w:p>
            <w:r>
              <w:rPr>
                <w:sz w:val="20"/>
              </w:rPr>
              <w:t>10.1%</w:t>
            </w:r>
          </w:p>
        </w:tc>
      </w:tr>
      <w:tr>
        <w:tc>
          <w:tcPr>
            <w:tcW w:type="dxa" w:w="2436"/>
          </w:tcPr>
          <w:p>
            <w:r>
              <w:rPr>
                <w:sz w:val="20"/>
              </w:rPr>
              <w:t>2024</w:t>
            </w:r>
          </w:p>
        </w:tc>
        <w:tc>
          <w:tcPr>
            <w:tcW w:type="dxa" w:w="2436"/>
          </w:tcPr>
          <w:p>
            <w:r>
              <w:rPr>
                <w:sz w:val="20"/>
              </w:rPr>
              <w:t>192.25</w:t>
            </w:r>
          </w:p>
        </w:tc>
        <w:tc>
          <w:tcPr>
            <w:tcW w:type="dxa" w:w="2436"/>
          </w:tcPr>
          <w:p>
            <w:r>
              <w:rPr>
                <w:sz w:val="20"/>
              </w:rPr>
              <w:t>+10.31</w:t>
            </w:r>
          </w:p>
        </w:tc>
        <w:tc>
          <w:tcPr>
            <w:tcW w:type="dxa" w:w="2436"/>
          </w:tcPr>
          <w:p>
            <w:r>
              <w:rPr>
                <w:sz w:val="20"/>
              </w:rPr>
              <w:t>5.7%</w:t>
            </w:r>
          </w:p>
        </w:tc>
      </w:tr>
      <w:tr>
        <w:tc>
          <w:tcPr>
            <w:tcW w:type="dxa" w:w="2436"/>
            <w:shd w:fill="B8E8DC"/>
          </w:tcPr>
          <w:p>
            <w:r>
              <w:rPr>
                <w:sz w:val="20"/>
              </w:rPr>
              <w:t>2025</w:t>
            </w:r>
          </w:p>
        </w:tc>
        <w:tc>
          <w:tcPr>
            <w:tcW w:type="dxa" w:w="2436"/>
            <w:shd w:fill="B8E8DC"/>
          </w:tcPr>
          <w:p>
            <w:r>
              <w:rPr>
                <w:sz w:val="20"/>
              </w:rPr>
              <w:t>203.35</w:t>
            </w:r>
          </w:p>
        </w:tc>
        <w:tc>
          <w:tcPr>
            <w:tcW w:type="dxa" w:w="2436"/>
            <w:shd w:fill="B8E8DC"/>
          </w:tcPr>
          <w:p>
            <w:r>
              <w:rPr>
                <w:sz w:val="20"/>
              </w:rPr>
              <w:t>+11.10</w:t>
            </w:r>
          </w:p>
        </w:tc>
        <w:tc>
          <w:tcPr>
            <w:tcW w:type="dxa" w:w="2436"/>
            <w:shd w:fill="B8E8DC"/>
          </w:tcPr>
          <w:p>
            <w:r>
              <w:rPr>
                <w:sz w:val="20"/>
              </w:rPr>
              <w:t>5.8%</w:t>
            </w:r>
          </w:p>
        </w:tc>
      </w:tr>
    </w:tbl>
    <w:p/>
    <w:p>
      <w:pPr>
        <w:jc w:val="both"/>
      </w:pPr>
      <w:r>
        <w:rPr>
          <w:sz w:val="21"/>
        </w:rPr>
        <w:t>The combined consumption of all three sectors grew at an average rate of about 7.1% per year. The largest yearly addition was seen in 2022–23, mainly because of the sudden rise in industrial demand.</w:t>
      </w:r>
    </w:p>
    <w:p>
      <w:pPr>
        <w:jc w:val="center"/>
      </w:pPr>
      <w:r>
        <w:drawing>
          <wp:inline xmlns:a="http://schemas.openxmlformats.org/drawingml/2006/main" xmlns:pic="http://schemas.openxmlformats.org/drawingml/2006/picture">
            <wp:extent cx="2606040" cy="1874520"/>
            <wp:docPr id="1" name="Picture 1"/>
            <wp:cNvGraphicFramePr>
              <a:graphicFrameLocks noChangeAspect="1"/>
            </wp:cNvGraphicFramePr>
            <a:graphic>
              <a:graphicData uri="http://schemas.openxmlformats.org/drawingml/2006/picture">
                <pic:pic>
                  <pic:nvPicPr>
                    <pic:cNvPr id="0" name="c01_sector_2025.png"/>
                    <pic:cNvPicPr/>
                  </pic:nvPicPr>
                  <pic:blipFill>
                    <a:blip r:embed="rId9"/>
                    <a:stretch>
                      <a:fillRect/>
                    </a:stretch>
                  </pic:blipFill>
                  <pic:spPr>
                    <a:xfrm>
                      <a:off x="0" y="0"/>
                      <a:ext cx="2606040" cy="1874520"/>
                    </a:xfrm>
                    <a:prstGeom prst="rect"/>
                  </pic:spPr>
                </pic:pic>
              </a:graphicData>
            </a:graphic>
          </wp:inline>
        </w:drawing>
      </w:r>
      <w:r>
        <w:t xml:space="preserve">   </w:t>
      </w:r>
      <w:r>
        <w:drawing>
          <wp:inline xmlns:a="http://schemas.openxmlformats.org/drawingml/2006/main" xmlns:pic="http://schemas.openxmlformats.org/drawingml/2006/picture">
            <wp:extent cx="2606040" cy="1873878"/>
            <wp:docPr id="2" name="Picture 2"/>
            <wp:cNvGraphicFramePr>
              <a:graphicFrameLocks noChangeAspect="1"/>
            </wp:cNvGraphicFramePr>
            <a:graphic>
              <a:graphicData uri="http://schemas.openxmlformats.org/drawingml/2006/picture">
                <pic:pic>
                  <pic:nvPicPr>
                    <pic:cNvPr id="0" name="c09_sector_trend.png"/>
                    <pic:cNvPicPr/>
                  </pic:nvPicPr>
                  <pic:blipFill>
                    <a:blip r:embed="rId10"/>
                    <a:stretch>
                      <a:fillRect/>
                    </a:stretch>
                  </pic:blipFill>
                  <pic:spPr>
                    <a:xfrm>
                      <a:off x="0" y="0"/>
                      <a:ext cx="2606040" cy="1873878"/>
                    </a:xfrm>
                    <a:prstGeom prst="rect"/>
                  </pic:spPr>
                </pic:pic>
              </a:graphicData>
            </a:graphic>
          </wp:inline>
        </w:drawing>
      </w:r>
    </w:p>
    <w:p>
      <w:pPr>
        <w:jc w:val="center"/>
      </w:pPr>
      <w:r>
        <w:rPr>
          <w:i/>
          <w:color w:val="788C96"/>
          <w:sz w:val="16"/>
        </w:rPr>
        <w:t>Page 2 — Jaya</w:t>
      </w:r>
    </w:p>
    <w:p>
      <w:r>
        <w:br w:type="page"/>
      </w:r>
    </w:p>
    <w:p>
      <w:pPr>
        <w:spacing w:after="0"/>
        <w:jc w:val="center"/>
        <w:shd w:fill="1A6B7C"/>
      </w:pPr>
      <w:r>
        <w:rPr>
          <w:b/>
          <w:color w:val="FFFFFF"/>
          <w:sz w:val="28"/>
        </w:rPr>
        <w:t>Highest Growth Sector Analysis</w:t>
      </w:r>
    </w:p>
    <w:p>
      <w:pPr>
        <w:spacing w:after="0"/>
        <w:jc w:val="center"/>
        <w:shd w:fill="3D9EB5"/>
      </w:pPr>
      <w:r>
        <w:rPr>
          <w:b/>
          <w:color w:val="FFFFFF"/>
          <w:sz w:val="22"/>
        </w:rPr>
        <w:t>Sector Comparison and Reasons for Growth</w:t>
      </w:r>
    </w:p>
    <w:p>
      <w:pPr>
        <w:shd w:fill="3D9EB5"/>
      </w:pPr>
      <w:r>
        <w:rPr>
          <w:b/>
          <w:color w:val="FFFFFF"/>
          <w:sz w:val="22"/>
        </w:rPr>
        <w:t>Important Findings</w:t>
      </w:r>
    </w:p>
    <w:p>
      <w:pPr>
        <w:pStyle w:val="ListBullet"/>
        <w:shd w:fill="E8F6F3"/>
      </w:pPr>
      <w:r>
        <w:rPr>
          <w:sz w:val="20"/>
        </w:rPr>
        <w:t>Industry had the highest growth rate: 43.3% between 2022 and 2025.</w:t>
      </w:r>
    </w:p>
    <w:p>
      <w:pPr>
        <w:pStyle w:val="ListBullet"/>
        <w:shd w:fill="E8F6F3"/>
      </w:pPr>
      <w:r>
        <w:rPr>
          <w:sz w:val="20"/>
        </w:rPr>
        <w:t>Its CAGR was 12.7%, which is much higher than agriculture (5.8%) and domestic (6.7%).</w:t>
      </w:r>
    </w:p>
    <w:p>
      <w:pPr>
        <w:pStyle w:val="ListBullet"/>
        <w:shd w:fill="E8F6F3"/>
      </w:pPr>
      <w:r>
        <w:rPr>
          <w:sz w:val="20"/>
        </w:rPr>
        <w:t>The best single-year performance was also in industry: 22.6% in 2022–23.</w:t>
      </w:r>
    </w:p>
    <w:p>
      <w:pPr>
        <w:pStyle w:val="ListBullet"/>
        <w:shd w:fill="E8F6F3"/>
      </w:pPr>
      <w:r>
        <w:rPr>
          <w:sz w:val="20"/>
        </w:rPr>
        <w:t>Industry's share of domestic consumption increased from 40.2% to 47.2%.</w:t>
      </w:r>
    </w:p>
    <w:p>
      <w:pPr>
        <w:pStyle w:val="ListBullet"/>
        <w:shd w:fill="E8F6F3"/>
      </w:pPr>
      <w:r>
        <w:rPr>
          <w:sz w:val="20"/>
        </w:rPr>
        <w:t>Agriculture added the most units in absolute terms (+15.15 BU), but grew more slowly in percentage terms.</w:t>
      </w:r>
    </w:p>
    <w:p>
      <w:pPr>
        <w:shd w:fill="D4EFF5"/>
      </w:pPr>
      <w:r>
        <w:rPr>
          <w:sz w:val="21"/>
        </w:rPr>
        <w:t>Result: Based on percentage growth, the industrial sector is the fastest-growing sector in the given period.</w:t>
      </w:r>
    </w:p>
    <w:p>
      <w:pPr>
        <w:jc w:val="both"/>
      </w:pPr>
      <w:r>
        <w:rPr>
          <w:sz w:val="21"/>
        </w:rPr>
        <w:t>Although agriculture consumes the largest quantity of electricity, industry expanded at a much faster pace. In 2022, industry used only about 40% of domestic consumption. By 2025, this ratio increased to 47.2%. If the same pattern continues, industrial demand may become as large as household demand in future.</w:t>
      </w:r>
    </w:p>
    <w:p>
      <w:pPr>
        <w:shd w:fill="D4EFF5"/>
      </w:pPr>
      <w:r>
        <w:rPr>
          <w:b/>
          <w:color w:val="1A6B7C"/>
          <w:sz w:val="22"/>
        </w:rPr>
        <w:t>Sector Comparison Table (2022–2025)</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A6B7C"/>
          </w:tcPr>
          <w:p>
            <w:r>
              <w:rPr>
                <w:b/>
                <w:color w:val="FFFFFF"/>
                <w:sz w:val="20"/>
              </w:rPr>
              <w:t>Item</w:t>
            </w:r>
          </w:p>
        </w:tc>
        <w:tc>
          <w:tcPr>
            <w:tcW w:type="dxa" w:w="2436"/>
            <w:shd w:fill="1A6B7C"/>
          </w:tcPr>
          <w:p>
            <w:r>
              <w:rPr>
                <w:b/>
                <w:color w:val="FFFFFF"/>
                <w:sz w:val="20"/>
              </w:rPr>
              <w:t>Agriculture</w:t>
            </w:r>
          </w:p>
        </w:tc>
        <w:tc>
          <w:tcPr>
            <w:tcW w:type="dxa" w:w="2436"/>
            <w:shd w:fill="1A6B7C"/>
          </w:tcPr>
          <w:p>
            <w:r>
              <w:rPr>
                <w:b/>
                <w:color w:val="FFFFFF"/>
                <w:sz w:val="20"/>
              </w:rPr>
              <w:t>Industrial</w:t>
            </w:r>
          </w:p>
        </w:tc>
        <w:tc>
          <w:tcPr>
            <w:tcW w:type="dxa" w:w="2436"/>
            <w:shd w:fill="1A6B7C"/>
          </w:tcPr>
          <w:p>
            <w:r>
              <w:rPr>
                <w:b/>
                <w:color w:val="FFFFFF"/>
                <w:sz w:val="20"/>
              </w:rPr>
              <w:t>Domestic</w:t>
            </w:r>
          </w:p>
        </w:tc>
      </w:tr>
      <w:tr>
        <w:tc>
          <w:tcPr>
            <w:tcW w:type="dxa" w:w="2436"/>
          </w:tcPr>
          <w:p>
            <w:r>
              <w:rPr>
                <w:sz w:val="20"/>
              </w:rPr>
              <w:t>2022 (BU)</w:t>
            </w:r>
          </w:p>
        </w:tc>
        <w:tc>
          <w:tcPr>
            <w:tcW w:type="dxa" w:w="2436"/>
          </w:tcPr>
          <w:p>
            <w:r>
              <w:rPr>
                <w:sz w:val="20"/>
              </w:rPr>
              <w:t>83.30</w:t>
            </w:r>
          </w:p>
        </w:tc>
        <w:tc>
          <w:tcPr>
            <w:tcW w:type="dxa" w:w="2436"/>
          </w:tcPr>
          <w:p>
            <w:r>
              <w:rPr>
                <w:sz w:val="20"/>
              </w:rPr>
              <w:t>23.48</w:t>
            </w:r>
          </w:p>
        </w:tc>
        <w:tc>
          <w:tcPr>
            <w:tcW w:type="dxa" w:w="2436"/>
          </w:tcPr>
          <w:p>
            <w:r>
              <w:rPr>
                <w:sz w:val="20"/>
              </w:rPr>
              <w:t>58.44</w:t>
            </w:r>
          </w:p>
        </w:tc>
      </w:tr>
      <w:tr>
        <w:tc>
          <w:tcPr>
            <w:tcW w:type="dxa" w:w="2436"/>
            <w:shd w:fill="E8F6F3"/>
          </w:tcPr>
          <w:p>
            <w:r>
              <w:rPr>
                <w:sz w:val="20"/>
              </w:rPr>
              <w:t>2025 (BU)</w:t>
            </w:r>
          </w:p>
        </w:tc>
        <w:tc>
          <w:tcPr>
            <w:tcW w:type="dxa" w:w="2436"/>
            <w:shd w:fill="E8F6F3"/>
          </w:tcPr>
          <w:p>
            <w:r>
              <w:rPr>
                <w:sz w:val="20"/>
              </w:rPr>
              <w:t>98.45</w:t>
            </w:r>
          </w:p>
        </w:tc>
        <w:tc>
          <w:tcPr>
            <w:tcW w:type="dxa" w:w="2436"/>
            <w:shd w:fill="E8F6F3"/>
          </w:tcPr>
          <w:p>
            <w:r>
              <w:rPr>
                <w:sz w:val="20"/>
              </w:rPr>
              <w:t>33.65</w:t>
            </w:r>
          </w:p>
        </w:tc>
        <w:tc>
          <w:tcPr>
            <w:tcW w:type="dxa" w:w="2436"/>
            <w:shd w:fill="E8F6F3"/>
          </w:tcPr>
          <w:p>
            <w:r>
              <w:rPr>
                <w:sz w:val="20"/>
              </w:rPr>
              <w:t>71.25</w:t>
            </w:r>
          </w:p>
        </w:tc>
      </w:tr>
      <w:tr>
        <w:tc>
          <w:tcPr>
            <w:tcW w:type="dxa" w:w="2436"/>
            <w:shd w:fill="B8E8DC"/>
          </w:tcPr>
          <w:p>
            <w:r>
              <w:rPr>
                <w:sz w:val="20"/>
              </w:rPr>
              <w:t>Growth (%)</w:t>
            </w:r>
          </w:p>
        </w:tc>
        <w:tc>
          <w:tcPr>
            <w:tcW w:type="dxa" w:w="2436"/>
            <w:shd w:fill="B8E8DC"/>
          </w:tcPr>
          <w:p>
            <w:r>
              <w:rPr>
                <w:sz w:val="20"/>
              </w:rPr>
              <w:t>18.2</w:t>
            </w:r>
          </w:p>
        </w:tc>
        <w:tc>
          <w:tcPr>
            <w:tcW w:type="dxa" w:w="2436"/>
            <w:shd w:fill="B8E8DC"/>
          </w:tcPr>
          <w:p>
            <w:r>
              <w:rPr>
                <w:sz w:val="20"/>
              </w:rPr>
              <w:t>43.3</w:t>
            </w:r>
          </w:p>
        </w:tc>
        <w:tc>
          <w:tcPr>
            <w:tcW w:type="dxa" w:w="2436"/>
            <w:shd w:fill="B8E8DC"/>
          </w:tcPr>
          <w:p>
            <w:r>
              <w:rPr>
                <w:sz w:val="20"/>
              </w:rPr>
              <w:t>21.9</w:t>
            </w:r>
          </w:p>
        </w:tc>
      </w:tr>
      <w:tr>
        <w:tc>
          <w:tcPr>
            <w:tcW w:type="dxa" w:w="2436"/>
            <w:shd w:fill="B8E8DC"/>
          </w:tcPr>
          <w:p>
            <w:r>
              <w:rPr>
                <w:sz w:val="20"/>
              </w:rPr>
              <w:t>CAGR (%)</w:t>
            </w:r>
          </w:p>
        </w:tc>
        <w:tc>
          <w:tcPr>
            <w:tcW w:type="dxa" w:w="2436"/>
            <w:shd w:fill="B8E8DC"/>
          </w:tcPr>
          <w:p>
            <w:r>
              <w:rPr>
                <w:sz w:val="20"/>
              </w:rPr>
              <w:t>5.8</w:t>
            </w:r>
          </w:p>
        </w:tc>
        <w:tc>
          <w:tcPr>
            <w:tcW w:type="dxa" w:w="2436"/>
            <w:shd w:fill="B8E8DC"/>
          </w:tcPr>
          <w:p>
            <w:r>
              <w:rPr>
                <w:sz w:val="20"/>
              </w:rPr>
              <w:t>12.7</w:t>
            </w:r>
          </w:p>
        </w:tc>
        <w:tc>
          <w:tcPr>
            <w:tcW w:type="dxa" w:w="2436"/>
            <w:shd w:fill="B8E8DC"/>
          </w:tcPr>
          <w:p>
            <w:r>
              <w:rPr>
                <w:sz w:val="20"/>
              </w:rPr>
              <w:t>6.7</w:t>
            </w:r>
          </w:p>
        </w:tc>
      </w:tr>
      <w:tr>
        <w:tc>
          <w:tcPr>
            <w:tcW w:type="dxa" w:w="2436"/>
            <w:shd w:fill="B8E8DC"/>
          </w:tcPr>
          <w:p>
            <w:r>
              <w:rPr>
                <w:sz w:val="20"/>
              </w:rPr>
              <w:t>Best year (%)</w:t>
            </w:r>
          </w:p>
        </w:tc>
        <w:tc>
          <w:tcPr>
            <w:tcW w:type="dxa" w:w="2436"/>
            <w:shd w:fill="B8E8DC"/>
          </w:tcPr>
          <w:p>
            <w:r>
              <w:rPr>
                <w:sz w:val="20"/>
              </w:rPr>
              <w:t>6.8</w:t>
            </w:r>
          </w:p>
        </w:tc>
        <w:tc>
          <w:tcPr>
            <w:tcW w:type="dxa" w:w="2436"/>
            <w:shd w:fill="B8E8DC"/>
          </w:tcPr>
          <w:p>
            <w:r>
              <w:rPr>
                <w:sz w:val="20"/>
              </w:rPr>
              <w:t>22.6</w:t>
            </w:r>
          </w:p>
        </w:tc>
        <w:tc>
          <w:tcPr>
            <w:tcW w:type="dxa" w:w="2436"/>
            <w:shd w:fill="B8E8DC"/>
          </w:tcPr>
          <w:p>
            <w:r>
              <w:rPr>
                <w:sz w:val="20"/>
              </w:rPr>
              <w:t>9.9</w:t>
            </w:r>
          </w:p>
        </w:tc>
      </w:tr>
    </w:tbl>
    <w:p/>
    <w:p>
      <w:pPr>
        <w:shd w:fill="D4EFF5"/>
      </w:pPr>
      <w:r>
        <w:rPr>
          <w:b/>
          <w:color w:val="1A6B7C"/>
          <w:sz w:val="22"/>
        </w:rPr>
        <w:t>Reasons for Growth in Each Sector</w:t>
      </w:r>
    </w:p>
    <w:tbl>
      <w:tblPr>
        <w:tblStyle w:val="TableGrid"/>
        <w:tblW w:type="auto" w:w="0"/>
        <w:tblLook w:firstColumn="1" w:firstRow="1" w:lastColumn="0" w:lastRow="0" w:noHBand="0" w:noVBand="1" w:val="04A0"/>
      </w:tblPr>
      <w:tblGrid>
        <w:gridCol w:w="3249"/>
        <w:gridCol w:w="3249"/>
        <w:gridCol w:w="3249"/>
      </w:tblGrid>
      <w:tr>
        <w:tc>
          <w:tcPr>
            <w:tcW w:type="dxa" w:w="3249"/>
            <w:shd w:fill="1A6B7C"/>
          </w:tcPr>
          <w:p>
            <w:r>
              <w:rPr>
                <w:b/>
                <w:color w:val="FFFFFF"/>
                <w:sz w:val="20"/>
              </w:rPr>
              <w:t>Sector</w:t>
            </w:r>
          </w:p>
        </w:tc>
        <w:tc>
          <w:tcPr>
            <w:tcW w:type="dxa" w:w="3249"/>
            <w:shd w:fill="1A6B7C"/>
          </w:tcPr>
          <w:p>
            <w:r>
              <w:rPr>
                <w:b/>
                <w:color w:val="FFFFFF"/>
                <w:sz w:val="20"/>
              </w:rPr>
              <w:t>Growth</w:t>
            </w:r>
          </w:p>
        </w:tc>
        <w:tc>
          <w:tcPr>
            <w:tcW w:type="dxa" w:w="3249"/>
            <w:shd w:fill="1A6B7C"/>
          </w:tcPr>
          <w:p>
            <w:r>
              <w:rPr>
                <w:b/>
                <w:color w:val="FFFFFF"/>
                <w:sz w:val="20"/>
              </w:rPr>
              <w:t>Main reasons (as per EDCC note)</w:t>
            </w:r>
          </w:p>
        </w:tc>
      </w:tr>
      <w:tr>
        <w:tc>
          <w:tcPr>
            <w:tcW w:type="dxa" w:w="3249"/>
            <w:shd w:fill="B8E8DC"/>
          </w:tcPr>
          <w:p>
            <w:r>
              <w:rPr>
                <w:sz w:val="20"/>
              </w:rPr>
              <w:t>Industrial</w:t>
            </w:r>
          </w:p>
        </w:tc>
        <w:tc>
          <w:tcPr>
            <w:tcW w:type="dxa" w:w="3249"/>
            <w:shd w:fill="B8E8DC"/>
          </w:tcPr>
          <w:p>
            <w:r>
              <w:rPr>
                <w:sz w:val="20"/>
              </w:rPr>
              <w:t>43.3%</w:t>
            </w:r>
          </w:p>
        </w:tc>
        <w:tc>
          <w:tcPr>
            <w:tcW w:type="dxa" w:w="3249"/>
            <w:shd w:fill="B8E8DC"/>
          </w:tcPr>
          <w:p>
            <w:r>
              <w:rPr>
                <w:sz w:val="20"/>
              </w:rPr>
              <w:t>Expansion of industrial activity; higher factory output; pressure on peak demand</w:t>
            </w:r>
          </w:p>
        </w:tc>
      </w:tr>
      <w:tr>
        <w:tc>
          <w:tcPr>
            <w:tcW w:type="dxa" w:w="3249"/>
            <w:shd w:fill="E8F6F3"/>
          </w:tcPr>
          <w:p>
            <w:r>
              <w:rPr>
                <w:sz w:val="20"/>
              </w:rPr>
              <w:t>Agriculture</w:t>
            </w:r>
          </w:p>
        </w:tc>
        <w:tc>
          <w:tcPr>
            <w:tcW w:type="dxa" w:w="3249"/>
            <w:shd w:fill="E8F6F3"/>
          </w:tcPr>
          <w:p>
            <w:r>
              <w:rPr>
                <w:sz w:val="20"/>
              </w:rPr>
              <w:t>18.2%</w:t>
            </w:r>
          </w:p>
        </w:tc>
        <w:tc>
          <w:tcPr>
            <w:tcW w:type="dxa" w:w="3249"/>
            <w:shd w:fill="E8F6F3"/>
          </w:tcPr>
          <w:p>
            <w:r>
              <w:rPr>
                <w:sz w:val="20"/>
              </w:rPr>
              <w:t>More irrigation through electric pumps; large base of farm consumption</w:t>
            </w:r>
          </w:p>
        </w:tc>
      </w:tr>
      <w:tr>
        <w:tc>
          <w:tcPr>
            <w:tcW w:type="dxa" w:w="3249"/>
          </w:tcPr>
          <w:p>
            <w:r>
              <w:rPr>
                <w:sz w:val="20"/>
              </w:rPr>
              <w:t>Domestic</w:t>
            </w:r>
          </w:p>
        </w:tc>
        <w:tc>
          <w:tcPr>
            <w:tcW w:type="dxa" w:w="3249"/>
          </w:tcPr>
          <w:p>
            <w:r>
              <w:rPr>
                <w:sz w:val="20"/>
              </w:rPr>
              <w:t>21.9%</w:t>
            </w:r>
          </w:p>
        </w:tc>
        <w:tc>
          <w:tcPr>
            <w:tcW w:type="dxa" w:w="3249"/>
          </w:tcPr>
          <w:p>
            <w:r>
              <w:rPr>
                <w:sz w:val="20"/>
              </w:rPr>
              <w:t>Urbanisation; greater use of air conditioners and home appliances</w:t>
            </w:r>
          </w:p>
        </w:tc>
      </w:tr>
    </w:tbl>
    <w:p/>
    <w:p>
      <w:pPr>
        <w:jc w:val="center"/>
      </w:pPr>
      <w:r>
        <w:drawing>
          <wp:inline xmlns:a="http://schemas.openxmlformats.org/drawingml/2006/main" xmlns:pic="http://schemas.openxmlformats.org/drawingml/2006/picture">
            <wp:extent cx="2606040" cy="1874520"/>
            <wp:docPr id="3" name="Picture 3"/>
            <wp:cNvGraphicFramePr>
              <a:graphicFrameLocks noChangeAspect="1"/>
            </wp:cNvGraphicFramePr>
            <a:graphic>
              <a:graphicData uri="http://schemas.openxmlformats.org/drawingml/2006/picture">
                <pic:pic>
                  <pic:nvPicPr>
                    <pic:cNvPr id="0" name="c03_growth_rates.png"/>
                    <pic:cNvPicPr/>
                  </pic:nvPicPr>
                  <pic:blipFill>
                    <a:blip r:embed="rId11"/>
                    <a:stretch>
                      <a:fillRect/>
                    </a:stretch>
                  </pic:blipFill>
                  <pic:spPr>
                    <a:xfrm>
                      <a:off x="0" y="0"/>
                      <a:ext cx="2606040" cy="1874520"/>
                    </a:xfrm>
                    <a:prstGeom prst="rect"/>
                  </pic:spPr>
                </pic:pic>
              </a:graphicData>
            </a:graphic>
          </wp:inline>
        </w:drawing>
      </w:r>
      <w:r>
        <w:t xml:space="preserve">   </w:t>
      </w:r>
      <w:r>
        <w:drawing>
          <wp:inline xmlns:a="http://schemas.openxmlformats.org/drawingml/2006/main" xmlns:pic="http://schemas.openxmlformats.org/drawingml/2006/picture">
            <wp:extent cx="2606040" cy="1874520"/>
            <wp:docPr id="4" name="Picture 4"/>
            <wp:cNvGraphicFramePr>
              <a:graphicFrameLocks noChangeAspect="1"/>
            </wp:cNvGraphicFramePr>
            <a:graphic>
              <a:graphicData uri="http://schemas.openxmlformats.org/drawingml/2006/picture">
                <pic:pic>
                  <pic:nvPicPr>
                    <pic:cNvPr id="0" name="c04_industrial.png"/>
                    <pic:cNvPicPr/>
                  </pic:nvPicPr>
                  <pic:blipFill>
                    <a:blip r:embed="rId12"/>
                    <a:stretch>
                      <a:fillRect/>
                    </a:stretch>
                  </pic:blipFill>
                  <pic:spPr>
                    <a:xfrm>
                      <a:off x="0" y="0"/>
                      <a:ext cx="2606040" cy="1874520"/>
                    </a:xfrm>
                    <a:prstGeom prst="rect"/>
                  </pic:spPr>
                </pic:pic>
              </a:graphicData>
            </a:graphic>
          </wp:inline>
        </w:drawing>
      </w:r>
    </w:p>
    <w:p>
      <w:pPr>
        <w:jc w:val="center"/>
      </w:pPr>
      <w:r>
        <w:rPr>
          <w:i/>
          <w:color w:val="788C96"/>
          <w:sz w:val="16"/>
        </w:rPr>
        <w:t>Page 3 — Jaya</w:t>
      </w:r>
    </w:p>
    <w:p>
      <w:r>
        <w:br w:type="page"/>
      </w:r>
    </w:p>
    <w:p>
      <w:pPr>
        <w:spacing w:after="0"/>
        <w:jc w:val="center"/>
        <w:shd w:fill="1A6B7C"/>
      </w:pPr>
      <w:r>
        <w:rPr>
          <w:b/>
          <w:color w:val="FFFFFF"/>
          <w:sz w:val="28"/>
        </w:rPr>
        <w:t>Electricity Demand and Supply</w:t>
      </w:r>
    </w:p>
    <w:p>
      <w:pPr>
        <w:spacing w:after="0"/>
        <w:jc w:val="center"/>
        <w:shd w:fill="3D9EB5"/>
      </w:pPr>
      <w:r>
        <w:rPr>
          <w:b/>
          <w:color w:val="FFFFFF"/>
          <w:sz w:val="22"/>
        </w:rPr>
        <w:t>Trend Analysis and Major Concerns</w:t>
      </w:r>
    </w:p>
    <w:p>
      <w:pPr>
        <w:shd w:fill="3D9EB5"/>
      </w:pPr>
      <w:r>
        <w:rPr>
          <w:b/>
          <w:color w:val="FFFFFF"/>
          <w:sz w:val="22"/>
        </w:rPr>
        <w:t>Important Points from Table 2</w:t>
      </w:r>
    </w:p>
    <w:p>
      <w:pPr>
        <w:pStyle w:val="ListBullet"/>
        <w:shd w:fill="E8F6F3"/>
      </w:pPr>
      <w:r>
        <w:rPr>
          <w:sz w:val="20"/>
        </w:rPr>
        <w:t>Demand increased from 182 BU to 221 BU between 2022 and 2025.</w:t>
      </w:r>
    </w:p>
    <w:p>
      <w:pPr>
        <w:pStyle w:val="ListBullet"/>
        <w:shd w:fill="E8F6F3"/>
      </w:pPr>
      <w:r>
        <w:rPr>
          <w:sz w:val="20"/>
        </w:rPr>
        <w:t>Supply increased from 178 BU to 212 BU in the same period.</w:t>
      </w:r>
    </w:p>
    <w:p>
      <w:pPr>
        <w:pStyle w:val="ListBullet"/>
        <w:shd w:fill="E8F6F3"/>
      </w:pPr>
      <w:r>
        <w:rPr>
          <w:sz w:val="20"/>
        </w:rPr>
        <w:t>The gap between demand and supply rose from 4 BU to 9 BU.</w:t>
      </w:r>
    </w:p>
    <w:p>
      <w:pPr>
        <w:pStyle w:val="ListBullet"/>
        <w:shd w:fill="E8F6F3"/>
      </w:pPr>
      <w:r>
        <w:rPr>
          <w:sz w:val="20"/>
        </w:rPr>
        <w:t>The gap as a share of demand increased from 2.2% to 4.1%.</w:t>
      </w:r>
    </w:p>
    <w:p>
      <w:pPr>
        <w:pStyle w:val="ListBullet"/>
        <w:shd w:fill="E8F6F3"/>
      </w:pPr>
      <w:r>
        <w:rPr>
          <w:sz w:val="20"/>
        </w:rPr>
        <w:t>Supply is growing, but not as fast as demand.</w:t>
      </w:r>
    </w:p>
    <w:p>
      <w:pPr>
        <w:shd w:fill="D4EFF5"/>
      </w:pPr>
      <w:r>
        <w:rPr>
          <w:sz w:val="21"/>
        </w:rPr>
        <w:t>Concern: The demand–supply gap has more than doubled in four years. This can lead to power shortage during peak hours.</w:t>
      </w:r>
    </w:p>
    <w:p>
      <w:pPr>
        <w:jc w:val="both"/>
      </w:pPr>
      <w:r>
        <w:rPr>
          <w:sz w:val="21"/>
        </w:rPr>
        <w:t>Table 2 shows that although electricity supply is improving, demand is rising at a higher speed. In 2025, the country fell short by 9 BU. This gap may affect power availability, especially when demand is high in summer or during irrigation season.</w:t>
      </w:r>
    </w:p>
    <w:p>
      <w:pPr>
        <w:shd w:fill="D4EFF5"/>
      </w:pPr>
      <w:r>
        <w:rPr>
          <w:b/>
          <w:color w:val="1A6B7C"/>
          <w:sz w:val="22"/>
        </w:rPr>
        <w:t>Table 2: Electricity Demand and Supply (Billion Units)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1A6B7C"/>
          </w:tcPr>
          <w:p>
            <w:r>
              <w:rPr>
                <w:b/>
                <w:color w:val="FFFFFF"/>
                <w:sz w:val="20"/>
              </w:rPr>
              <w:t>Year</w:t>
            </w:r>
          </w:p>
        </w:tc>
        <w:tc>
          <w:tcPr>
            <w:tcW w:type="dxa" w:w="1949"/>
            <w:shd w:fill="1A6B7C"/>
          </w:tcPr>
          <w:p>
            <w:r>
              <w:rPr>
                <w:b/>
                <w:color w:val="FFFFFF"/>
                <w:sz w:val="20"/>
              </w:rPr>
              <w:t>Demand</w:t>
            </w:r>
          </w:p>
        </w:tc>
        <w:tc>
          <w:tcPr>
            <w:tcW w:type="dxa" w:w="1949"/>
            <w:shd w:fill="1A6B7C"/>
          </w:tcPr>
          <w:p>
            <w:r>
              <w:rPr>
                <w:b/>
                <w:color w:val="FFFFFF"/>
                <w:sz w:val="20"/>
              </w:rPr>
              <w:t>Supply</w:t>
            </w:r>
          </w:p>
        </w:tc>
        <w:tc>
          <w:tcPr>
            <w:tcW w:type="dxa" w:w="1949"/>
            <w:shd w:fill="1A6B7C"/>
          </w:tcPr>
          <w:p>
            <w:r>
              <w:rPr>
                <w:b/>
                <w:color w:val="FFFFFF"/>
                <w:sz w:val="20"/>
              </w:rPr>
              <w:t>Gap</w:t>
            </w:r>
          </w:p>
        </w:tc>
        <w:tc>
          <w:tcPr>
            <w:tcW w:type="dxa" w:w="1949"/>
            <w:shd w:fill="1A6B7C"/>
          </w:tcPr>
          <w:p>
            <w:r>
              <w:rPr>
                <w:b/>
                <w:color w:val="FFFFFF"/>
                <w:sz w:val="20"/>
              </w:rPr>
              <w:t>Gap %</w:t>
            </w:r>
          </w:p>
        </w:tc>
      </w:tr>
      <w:tr>
        <w:tc>
          <w:tcPr>
            <w:tcW w:type="dxa" w:w="1949"/>
          </w:tcPr>
          <w:p>
            <w:r>
              <w:rPr>
                <w:sz w:val="20"/>
              </w:rPr>
              <w:t>2022</w:t>
            </w:r>
          </w:p>
        </w:tc>
        <w:tc>
          <w:tcPr>
            <w:tcW w:type="dxa" w:w="1949"/>
          </w:tcPr>
          <w:p>
            <w:r>
              <w:rPr>
                <w:sz w:val="20"/>
              </w:rPr>
              <w:t>182</w:t>
            </w:r>
          </w:p>
        </w:tc>
        <w:tc>
          <w:tcPr>
            <w:tcW w:type="dxa" w:w="1949"/>
          </w:tcPr>
          <w:p>
            <w:r>
              <w:rPr>
                <w:sz w:val="20"/>
              </w:rPr>
              <w:t>178</w:t>
            </w:r>
          </w:p>
        </w:tc>
        <w:tc>
          <w:tcPr>
            <w:tcW w:type="dxa" w:w="1949"/>
          </w:tcPr>
          <w:p>
            <w:r>
              <w:rPr>
                <w:sz w:val="20"/>
              </w:rPr>
              <w:t>4</w:t>
            </w:r>
          </w:p>
        </w:tc>
        <w:tc>
          <w:tcPr>
            <w:tcW w:type="dxa" w:w="1949"/>
          </w:tcPr>
          <w:p>
            <w:r>
              <w:rPr>
                <w:sz w:val="20"/>
              </w:rPr>
              <w:t>2.2%</w:t>
            </w:r>
          </w:p>
        </w:tc>
      </w:tr>
      <w:tr>
        <w:tc>
          <w:tcPr>
            <w:tcW w:type="dxa" w:w="1949"/>
            <w:shd w:fill="E8F6F3"/>
          </w:tcPr>
          <w:p>
            <w:r>
              <w:rPr>
                <w:sz w:val="20"/>
              </w:rPr>
              <w:t>2023</w:t>
            </w:r>
          </w:p>
        </w:tc>
        <w:tc>
          <w:tcPr>
            <w:tcW w:type="dxa" w:w="1949"/>
            <w:shd w:fill="E8F6F3"/>
          </w:tcPr>
          <w:p>
            <w:r>
              <w:rPr>
                <w:sz w:val="20"/>
              </w:rPr>
              <w:t>194</w:t>
            </w:r>
          </w:p>
        </w:tc>
        <w:tc>
          <w:tcPr>
            <w:tcW w:type="dxa" w:w="1949"/>
            <w:shd w:fill="E8F6F3"/>
          </w:tcPr>
          <w:p>
            <w:r>
              <w:rPr>
                <w:sz w:val="20"/>
              </w:rPr>
              <w:t>189</w:t>
            </w:r>
          </w:p>
        </w:tc>
        <w:tc>
          <w:tcPr>
            <w:tcW w:type="dxa" w:w="1949"/>
            <w:shd w:fill="E8F6F3"/>
          </w:tcPr>
          <w:p>
            <w:r>
              <w:rPr>
                <w:sz w:val="20"/>
              </w:rPr>
              <w:t>5</w:t>
            </w:r>
          </w:p>
        </w:tc>
        <w:tc>
          <w:tcPr>
            <w:tcW w:type="dxa" w:w="1949"/>
            <w:shd w:fill="E8F6F3"/>
          </w:tcPr>
          <w:p>
            <w:r>
              <w:rPr>
                <w:sz w:val="20"/>
              </w:rPr>
              <w:t>2.6%</w:t>
            </w:r>
          </w:p>
        </w:tc>
      </w:tr>
      <w:tr>
        <w:tc>
          <w:tcPr>
            <w:tcW w:type="dxa" w:w="1949"/>
          </w:tcPr>
          <w:p>
            <w:r>
              <w:rPr>
                <w:sz w:val="20"/>
              </w:rPr>
              <w:t>2024</w:t>
            </w:r>
          </w:p>
        </w:tc>
        <w:tc>
          <w:tcPr>
            <w:tcW w:type="dxa" w:w="1949"/>
          </w:tcPr>
          <w:p>
            <w:r>
              <w:rPr>
                <w:sz w:val="20"/>
              </w:rPr>
              <w:t>206</w:t>
            </w:r>
          </w:p>
        </w:tc>
        <w:tc>
          <w:tcPr>
            <w:tcW w:type="dxa" w:w="1949"/>
          </w:tcPr>
          <w:p>
            <w:r>
              <w:rPr>
                <w:sz w:val="20"/>
              </w:rPr>
              <w:t>199</w:t>
            </w:r>
          </w:p>
        </w:tc>
        <w:tc>
          <w:tcPr>
            <w:tcW w:type="dxa" w:w="1949"/>
          </w:tcPr>
          <w:p>
            <w:r>
              <w:rPr>
                <w:sz w:val="20"/>
              </w:rPr>
              <w:t>7</w:t>
            </w:r>
          </w:p>
        </w:tc>
        <w:tc>
          <w:tcPr>
            <w:tcW w:type="dxa" w:w="1949"/>
          </w:tcPr>
          <w:p>
            <w:r>
              <w:rPr>
                <w:sz w:val="20"/>
              </w:rPr>
              <w:t>3.4%</w:t>
            </w:r>
          </w:p>
        </w:tc>
      </w:tr>
      <w:tr>
        <w:tc>
          <w:tcPr>
            <w:tcW w:type="dxa" w:w="1949"/>
            <w:shd w:fill="B8E8DC"/>
          </w:tcPr>
          <w:p>
            <w:r>
              <w:rPr>
                <w:sz w:val="20"/>
              </w:rPr>
              <w:t>2025</w:t>
            </w:r>
          </w:p>
        </w:tc>
        <w:tc>
          <w:tcPr>
            <w:tcW w:type="dxa" w:w="1949"/>
            <w:shd w:fill="B8E8DC"/>
          </w:tcPr>
          <w:p>
            <w:r>
              <w:rPr>
                <w:sz w:val="20"/>
              </w:rPr>
              <w:t>221</w:t>
            </w:r>
          </w:p>
        </w:tc>
        <w:tc>
          <w:tcPr>
            <w:tcW w:type="dxa" w:w="1949"/>
            <w:shd w:fill="B8E8DC"/>
          </w:tcPr>
          <w:p>
            <w:r>
              <w:rPr>
                <w:sz w:val="20"/>
              </w:rPr>
              <w:t>212</w:t>
            </w:r>
          </w:p>
        </w:tc>
        <w:tc>
          <w:tcPr>
            <w:tcW w:type="dxa" w:w="1949"/>
            <w:shd w:fill="B8E8DC"/>
          </w:tcPr>
          <w:p>
            <w:r>
              <w:rPr>
                <w:sz w:val="20"/>
              </w:rPr>
              <w:t>9</w:t>
            </w:r>
          </w:p>
        </w:tc>
        <w:tc>
          <w:tcPr>
            <w:tcW w:type="dxa" w:w="1949"/>
            <w:shd w:fill="B8E8DC"/>
          </w:tcPr>
          <w:p>
            <w:r>
              <w:rPr>
                <w:sz w:val="20"/>
              </w:rPr>
              <w:t>4.1%</w:t>
            </w:r>
          </w:p>
        </w:tc>
      </w:tr>
    </w:tbl>
    <w:p/>
    <w:p>
      <w:pPr>
        <w:shd w:fill="D4EFF5"/>
      </w:pPr>
      <w:r>
        <w:rPr>
          <w:b/>
          <w:color w:val="1A6B7C"/>
          <w:sz w:val="22"/>
        </w:rPr>
        <w:t>Main Concerns Identified</w:t>
      </w:r>
    </w:p>
    <w:p>
      <w:pPr>
        <w:pStyle w:val="ListBullet"/>
      </w:pPr>
      <w:r>
        <w:rPr>
          <w:sz w:val="20"/>
        </w:rPr>
        <w:t>Peak demand is difficult to manage during summer and extreme weather.</w:t>
      </w:r>
    </w:p>
    <w:p>
      <w:pPr>
        <w:pStyle w:val="ListBullet"/>
      </w:pPr>
      <w:r>
        <w:rPr>
          <w:sz w:val="20"/>
        </w:rPr>
        <w:t>Distribution companies (DISCOMs) face financial problems, which limits investment.</w:t>
      </w:r>
    </w:p>
    <w:p>
      <w:pPr>
        <w:pStyle w:val="ListBullet"/>
      </w:pPr>
      <w:r>
        <w:rPr>
          <w:sz w:val="20"/>
        </w:rPr>
        <w:t>Coal-based power is still needed for continuous supply.</w:t>
      </w:r>
    </w:p>
    <w:p>
      <w:pPr>
        <w:pStyle w:val="ListBullet"/>
      </w:pPr>
      <w:r>
        <w:rPr>
          <w:sz w:val="20"/>
        </w:rPr>
        <w:t>Solar and wind power depend on weather and time of day.</w:t>
      </w:r>
    </w:p>
    <w:p>
      <w:pPr>
        <w:pStyle w:val="ListBullet"/>
      </w:pPr>
      <w:r>
        <w:rPr>
          <w:sz w:val="20"/>
        </w:rPr>
        <w:t>The widening demand–supply gap may affect energy security.</w:t>
      </w:r>
    </w:p>
    <w:p>
      <w:pPr>
        <w:jc w:val="center"/>
      </w:pPr>
      <w:r>
        <w:drawing>
          <wp:inline xmlns:a="http://schemas.openxmlformats.org/drawingml/2006/main" xmlns:pic="http://schemas.openxmlformats.org/drawingml/2006/picture">
            <wp:extent cx="2606040" cy="1873878"/>
            <wp:docPr id="5" name="Picture 5"/>
            <wp:cNvGraphicFramePr>
              <a:graphicFrameLocks noChangeAspect="1"/>
            </wp:cNvGraphicFramePr>
            <a:graphic>
              <a:graphicData uri="http://schemas.openxmlformats.org/drawingml/2006/picture">
                <pic:pic>
                  <pic:nvPicPr>
                    <pic:cNvPr id="0" name="c05_demand_supply.png"/>
                    <pic:cNvPicPr/>
                  </pic:nvPicPr>
                  <pic:blipFill>
                    <a:blip r:embed="rId13"/>
                    <a:stretch>
                      <a:fillRect/>
                    </a:stretch>
                  </pic:blipFill>
                  <pic:spPr>
                    <a:xfrm>
                      <a:off x="0" y="0"/>
                      <a:ext cx="2606040" cy="1873878"/>
                    </a:xfrm>
                    <a:prstGeom prst="rect"/>
                  </pic:spPr>
                </pic:pic>
              </a:graphicData>
            </a:graphic>
          </wp:inline>
        </w:drawing>
      </w:r>
      <w:r>
        <w:t xml:space="preserve">   </w:t>
      </w:r>
      <w:r>
        <w:drawing>
          <wp:inline xmlns:a="http://schemas.openxmlformats.org/drawingml/2006/main" xmlns:pic="http://schemas.openxmlformats.org/drawingml/2006/picture">
            <wp:extent cx="2606040" cy="1874520"/>
            <wp:docPr id="6" name="Picture 6"/>
            <wp:cNvGraphicFramePr>
              <a:graphicFrameLocks noChangeAspect="1"/>
            </wp:cNvGraphicFramePr>
            <a:graphic>
              <a:graphicData uri="http://schemas.openxmlformats.org/drawingml/2006/picture">
                <pic:pic>
                  <pic:nvPicPr>
                    <pic:cNvPr id="0" name="c06_gap_trend.png"/>
                    <pic:cNvPicPr/>
                  </pic:nvPicPr>
                  <pic:blipFill>
                    <a:blip r:embed="rId14"/>
                    <a:stretch>
                      <a:fillRect/>
                    </a:stretch>
                  </pic:blipFill>
                  <pic:spPr>
                    <a:xfrm>
                      <a:off x="0" y="0"/>
                      <a:ext cx="2606040" cy="1874520"/>
                    </a:xfrm>
                    <a:prstGeom prst="rect"/>
                  </pic:spPr>
                </pic:pic>
              </a:graphicData>
            </a:graphic>
          </wp:inline>
        </w:drawing>
      </w:r>
    </w:p>
    <w:p>
      <w:pPr>
        <w:jc w:val="center"/>
      </w:pPr>
      <w:r>
        <w:rPr>
          <w:i/>
          <w:color w:val="788C96"/>
          <w:sz w:val="16"/>
        </w:rPr>
        <w:t>Page 4</w:t>
      </w:r>
    </w:p>
    <w:p>
      <w:r>
        <w:br w:type="page"/>
      </w:r>
    </w:p>
    <w:p>
      <w:pPr>
        <w:spacing w:after="0"/>
        <w:jc w:val="center"/>
        <w:shd w:fill="1A6B7C"/>
      </w:pPr>
      <w:r>
        <w:rPr>
          <w:b/>
          <w:color w:val="FFFFFF"/>
          <w:sz w:val="28"/>
        </w:rPr>
        <w:t>Renewable Energy and Transmission Losses</w:t>
      </w:r>
    </w:p>
    <w:p>
      <w:pPr>
        <w:spacing w:after="0"/>
        <w:jc w:val="center"/>
        <w:shd w:fill="3D9EB5"/>
      </w:pPr>
      <w:r>
        <w:rPr>
          <w:b/>
          <w:color w:val="FFFFFF"/>
          <w:sz w:val="22"/>
        </w:rPr>
        <w:t>Review of Progress from 2022 to 2025</w:t>
      </w:r>
    </w:p>
    <w:p>
      <w:pPr>
        <w:shd w:fill="3D9EB5"/>
      </w:pPr>
      <w:r>
        <w:rPr>
          <w:b/>
          <w:color w:val="FFFFFF"/>
          <w:sz w:val="22"/>
        </w:rPr>
        <w:t>Important Points from Table 3</w:t>
      </w:r>
    </w:p>
    <w:p>
      <w:pPr>
        <w:pStyle w:val="ListBullet"/>
        <w:shd w:fill="E8F6F3"/>
      </w:pPr>
      <w:r>
        <w:rPr>
          <w:sz w:val="20"/>
        </w:rPr>
        <w:t>Share of renewable energy increased from 24% to 35%.</w:t>
      </w:r>
    </w:p>
    <w:p>
      <w:pPr>
        <w:pStyle w:val="ListBullet"/>
        <w:shd w:fill="E8F6F3"/>
      </w:pPr>
      <w:r>
        <w:rPr>
          <w:sz w:val="20"/>
        </w:rPr>
        <w:t>This is an improvement of 11 percentage points in four years.</w:t>
      </w:r>
    </w:p>
    <w:p>
      <w:pPr>
        <w:pStyle w:val="ListBullet"/>
        <w:shd w:fill="E8F6F3"/>
      </w:pPr>
      <w:r>
        <w:rPr>
          <w:sz w:val="20"/>
        </w:rPr>
        <w:t>Transmission and distribution losses fell from 18% to 15%.</w:t>
      </w:r>
    </w:p>
    <w:p>
      <w:pPr>
        <w:pStyle w:val="ListBullet"/>
        <w:shd w:fill="E8F6F3"/>
      </w:pPr>
      <w:r>
        <w:rPr>
          <w:sz w:val="20"/>
        </w:rPr>
        <w:t>Loss reduction shows better efficiency, but 15% is still high.</w:t>
      </w:r>
    </w:p>
    <w:p>
      <w:pPr>
        <w:pStyle w:val="ListBullet"/>
        <w:shd w:fill="E8F6F3"/>
      </w:pPr>
      <w:r>
        <w:rPr>
          <w:sz w:val="20"/>
        </w:rPr>
        <w:t>More renewable power also requires better grid and storage support.</w:t>
      </w:r>
    </w:p>
    <w:p>
      <w:pPr>
        <w:jc w:val="both"/>
      </w:pPr>
      <w:r>
        <w:rPr>
          <w:sz w:val="21"/>
        </w:rPr>
        <w:t>India has made visible progress in clean energy during the study period. At the same time, reduction in T&amp;D losses shows that less electricity is being wasted in the network. However, both areas need further improvement if the country wants reliable and affordable power supply.</w:t>
      </w:r>
    </w:p>
    <w:p>
      <w:pPr>
        <w:shd w:fill="D4EFF5"/>
      </w:pPr>
      <w:r>
        <w:rPr>
          <w:b/>
          <w:color w:val="1A6B7C"/>
          <w:sz w:val="22"/>
        </w:rPr>
        <w:t>Table 3: Renewable Energy and Transmission Losses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fill="1A6B7C"/>
          </w:tcPr>
          <w:p>
            <w:r>
              <w:rPr>
                <w:b/>
                <w:color w:val="FFFFFF"/>
                <w:sz w:val="20"/>
              </w:rPr>
              <w:t>Indicator</w:t>
            </w:r>
          </w:p>
        </w:tc>
        <w:tc>
          <w:tcPr>
            <w:tcW w:type="dxa" w:w="1624"/>
            <w:shd w:fill="1A6B7C"/>
          </w:tcPr>
          <w:p>
            <w:r>
              <w:rPr>
                <w:b/>
                <w:color w:val="FFFFFF"/>
                <w:sz w:val="20"/>
              </w:rPr>
              <w:t>2022</w:t>
            </w:r>
          </w:p>
        </w:tc>
        <w:tc>
          <w:tcPr>
            <w:tcW w:type="dxa" w:w="1624"/>
            <w:shd w:fill="1A6B7C"/>
          </w:tcPr>
          <w:p>
            <w:r>
              <w:rPr>
                <w:b/>
                <w:color w:val="FFFFFF"/>
                <w:sz w:val="20"/>
              </w:rPr>
              <w:t>2023</w:t>
            </w:r>
          </w:p>
        </w:tc>
        <w:tc>
          <w:tcPr>
            <w:tcW w:type="dxa" w:w="1624"/>
            <w:shd w:fill="1A6B7C"/>
          </w:tcPr>
          <w:p>
            <w:r>
              <w:rPr>
                <w:b/>
                <w:color w:val="FFFFFF"/>
                <w:sz w:val="20"/>
              </w:rPr>
              <w:t>2024</w:t>
            </w:r>
          </w:p>
        </w:tc>
        <w:tc>
          <w:tcPr>
            <w:tcW w:type="dxa" w:w="1624"/>
            <w:shd w:fill="1A6B7C"/>
          </w:tcPr>
          <w:p>
            <w:r>
              <w:rPr>
                <w:b/>
                <w:color w:val="FFFFFF"/>
                <w:sz w:val="20"/>
              </w:rPr>
              <w:t>2025</w:t>
            </w:r>
          </w:p>
        </w:tc>
        <w:tc>
          <w:tcPr>
            <w:tcW w:type="dxa" w:w="1624"/>
            <w:shd w:fill="1A6B7C"/>
          </w:tcPr>
          <w:p>
            <w:r>
              <w:rPr>
                <w:b/>
                <w:color w:val="FFFFFF"/>
                <w:sz w:val="20"/>
              </w:rPr>
              <w:t>Change</w:t>
            </w:r>
          </w:p>
        </w:tc>
      </w:tr>
      <w:tr>
        <w:tc>
          <w:tcPr>
            <w:tcW w:type="dxa" w:w="1624"/>
            <w:shd w:fill="B8E8DC"/>
          </w:tcPr>
          <w:p>
            <w:r>
              <w:rPr>
                <w:sz w:val="20"/>
              </w:rPr>
              <w:t>Renewable share (%)</w:t>
            </w:r>
          </w:p>
        </w:tc>
        <w:tc>
          <w:tcPr>
            <w:tcW w:type="dxa" w:w="1624"/>
            <w:shd w:fill="B8E8DC"/>
          </w:tcPr>
          <w:p>
            <w:r>
              <w:rPr>
                <w:sz w:val="20"/>
              </w:rPr>
              <w:t>24</w:t>
            </w:r>
          </w:p>
        </w:tc>
        <w:tc>
          <w:tcPr>
            <w:tcW w:type="dxa" w:w="1624"/>
            <w:shd w:fill="B8E8DC"/>
          </w:tcPr>
          <w:p>
            <w:r>
              <w:rPr>
                <w:sz w:val="20"/>
              </w:rPr>
              <w:t>27</w:t>
            </w:r>
          </w:p>
        </w:tc>
        <w:tc>
          <w:tcPr>
            <w:tcW w:type="dxa" w:w="1624"/>
            <w:shd w:fill="B8E8DC"/>
          </w:tcPr>
          <w:p>
            <w:r>
              <w:rPr>
                <w:sz w:val="20"/>
              </w:rPr>
              <w:t>31</w:t>
            </w:r>
          </w:p>
        </w:tc>
        <w:tc>
          <w:tcPr>
            <w:tcW w:type="dxa" w:w="1624"/>
            <w:shd w:fill="B8E8DC"/>
          </w:tcPr>
          <w:p>
            <w:r>
              <w:rPr>
                <w:sz w:val="20"/>
              </w:rPr>
              <w:t>35</w:t>
            </w:r>
          </w:p>
        </w:tc>
        <w:tc>
          <w:tcPr>
            <w:tcW w:type="dxa" w:w="1624"/>
            <w:shd w:fill="B8E8DC"/>
          </w:tcPr>
          <w:p>
            <w:r>
              <w:rPr>
                <w:sz w:val="20"/>
              </w:rPr>
              <w:t>+11 pp</w:t>
            </w:r>
          </w:p>
        </w:tc>
      </w:tr>
      <w:tr>
        <w:tc>
          <w:tcPr>
            <w:tcW w:type="dxa" w:w="1624"/>
            <w:shd w:fill="B8E8DC"/>
          </w:tcPr>
          <w:p>
            <w:r>
              <w:rPr>
                <w:sz w:val="20"/>
              </w:rPr>
              <w:t>T&amp;D losses (%)</w:t>
            </w:r>
          </w:p>
        </w:tc>
        <w:tc>
          <w:tcPr>
            <w:tcW w:type="dxa" w:w="1624"/>
            <w:shd w:fill="B8E8DC"/>
          </w:tcPr>
          <w:p>
            <w:r>
              <w:rPr>
                <w:sz w:val="20"/>
              </w:rPr>
              <w:t>18</w:t>
            </w:r>
          </w:p>
        </w:tc>
        <w:tc>
          <w:tcPr>
            <w:tcW w:type="dxa" w:w="1624"/>
            <w:shd w:fill="B8E8DC"/>
          </w:tcPr>
          <w:p>
            <w:r>
              <w:rPr>
                <w:sz w:val="20"/>
              </w:rPr>
              <w:t>17</w:t>
            </w:r>
          </w:p>
        </w:tc>
        <w:tc>
          <w:tcPr>
            <w:tcW w:type="dxa" w:w="1624"/>
            <w:shd w:fill="B8E8DC"/>
          </w:tcPr>
          <w:p>
            <w:r>
              <w:rPr>
                <w:sz w:val="20"/>
              </w:rPr>
              <w:t>16</w:t>
            </w:r>
          </w:p>
        </w:tc>
        <w:tc>
          <w:tcPr>
            <w:tcW w:type="dxa" w:w="1624"/>
            <w:shd w:fill="B8E8DC"/>
          </w:tcPr>
          <w:p>
            <w:r>
              <w:rPr>
                <w:sz w:val="20"/>
              </w:rPr>
              <w:t>15</w:t>
            </w:r>
          </w:p>
        </w:tc>
        <w:tc>
          <w:tcPr>
            <w:tcW w:type="dxa" w:w="1624"/>
            <w:shd w:fill="B8E8DC"/>
          </w:tcPr>
          <w:p>
            <w:r>
              <w:rPr>
                <w:sz w:val="20"/>
              </w:rPr>
              <w:t>-3 pp</w:t>
            </w:r>
          </w:p>
        </w:tc>
      </w:tr>
    </w:tbl>
    <w:p/>
    <w:p>
      <w:pPr>
        <w:jc w:val="both"/>
      </w:pPr>
      <w:r>
        <w:rPr>
          <w:sz w:val="21"/>
        </w:rPr>
        <w:t>Higher renewable share is a positive sign for long-term sustainability. Lower losses mean that more generated power can reach consumers. Together, these trends support the government's focus on renewable energy, smart grids, and energy-efficient appliances mentioned in the EDCC briefing.</w:t>
      </w:r>
    </w:p>
    <w:p>
      <w:pPr>
        <w:jc w:val="center"/>
      </w:pPr>
      <w:r>
        <w:drawing>
          <wp:inline xmlns:a="http://schemas.openxmlformats.org/drawingml/2006/main" xmlns:pic="http://schemas.openxmlformats.org/drawingml/2006/picture">
            <wp:extent cx="2606040" cy="1874520"/>
            <wp:docPr id="7" name="Picture 7"/>
            <wp:cNvGraphicFramePr>
              <a:graphicFrameLocks noChangeAspect="1"/>
            </wp:cNvGraphicFramePr>
            <a:graphic>
              <a:graphicData uri="http://schemas.openxmlformats.org/drawingml/2006/picture">
                <pic:pic>
                  <pic:nvPicPr>
                    <pic:cNvPr id="0" name="c07_renewable.png"/>
                    <pic:cNvPicPr/>
                  </pic:nvPicPr>
                  <pic:blipFill>
                    <a:blip r:embed="rId15"/>
                    <a:stretch>
                      <a:fillRect/>
                    </a:stretch>
                  </pic:blipFill>
                  <pic:spPr>
                    <a:xfrm>
                      <a:off x="0" y="0"/>
                      <a:ext cx="2606040" cy="1874520"/>
                    </a:xfrm>
                    <a:prstGeom prst="rect"/>
                  </pic:spPr>
                </pic:pic>
              </a:graphicData>
            </a:graphic>
          </wp:inline>
        </w:drawing>
      </w:r>
      <w:r>
        <w:t xml:space="preserve">   </w:t>
      </w:r>
      <w:r>
        <w:drawing>
          <wp:inline xmlns:a="http://schemas.openxmlformats.org/drawingml/2006/main" xmlns:pic="http://schemas.openxmlformats.org/drawingml/2006/picture">
            <wp:extent cx="2606040" cy="1874520"/>
            <wp:docPr id="8" name="Picture 8"/>
            <wp:cNvGraphicFramePr>
              <a:graphicFrameLocks noChangeAspect="1"/>
            </wp:cNvGraphicFramePr>
            <a:graphic>
              <a:graphicData uri="http://schemas.openxmlformats.org/drawingml/2006/picture">
                <pic:pic>
                  <pic:nvPicPr>
                    <pic:cNvPr id="0" name="c08_td_losses.png"/>
                    <pic:cNvPicPr/>
                  </pic:nvPicPr>
                  <pic:blipFill>
                    <a:blip r:embed="rId16"/>
                    <a:stretch>
                      <a:fillRect/>
                    </a:stretch>
                  </pic:blipFill>
                  <pic:spPr>
                    <a:xfrm>
                      <a:off x="0" y="0"/>
                      <a:ext cx="2606040" cy="1874520"/>
                    </a:xfrm>
                    <a:prstGeom prst="rect"/>
                  </pic:spPr>
                </pic:pic>
              </a:graphicData>
            </a:graphic>
          </wp:inline>
        </w:drawing>
      </w:r>
    </w:p>
    <w:p>
      <w:pPr>
        <w:jc w:val="center"/>
      </w:pPr>
      <w:r>
        <w:drawing>
          <wp:inline xmlns:a="http://schemas.openxmlformats.org/drawingml/2006/main" xmlns:pic="http://schemas.openxmlformats.org/drawingml/2006/picture">
            <wp:extent cx="2606040" cy="1872234"/>
            <wp:docPr id="9" name="Picture 9"/>
            <wp:cNvGraphicFramePr>
              <a:graphicFrameLocks noChangeAspect="1"/>
            </wp:cNvGraphicFramePr>
            <a:graphic>
              <a:graphicData uri="http://schemas.openxmlformats.org/drawingml/2006/picture">
                <pic:pic>
                  <pic:nvPicPr>
                    <pic:cNvPr id="0" name="c10_re_vs_losses.png"/>
                    <pic:cNvPicPr/>
                  </pic:nvPicPr>
                  <pic:blipFill>
                    <a:blip r:embed="rId17"/>
                    <a:stretch>
                      <a:fillRect/>
                    </a:stretch>
                  </pic:blipFill>
                  <pic:spPr>
                    <a:xfrm>
                      <a:off x="0" y="0"/>
                      <a:ext cx="2606040" cy="1872234"/>
                    </a:xfrm>
                    <a:prstGeom prst="rect"/>
                  </pic:spPr>
                </pic:pic>
              </a:graphicData>
            </a:graphic>
          </wp:inline>
        </w:drawing>
      </w:r>
    </w:p>
    <w:p>
      <w:pPr>
        <w:jc w:val="center"/>
      </w:pPr>
      <w:r>
        <w:rPr>
          <w:i/>
          <w:color w:val="788C96"/>
          <w:sz w:val="16"/>
        </w:rPr>
        <w:t>Page 5</w:t>
      </w:r>
    </w:p>
    <w:p>
      <w:r>
        <w:br w:type="page"/>
      </w:r>
    </w:p>
    <w:p>
      <w:pPr>
        <w:spacing w:after="0"/>
        <w:jc w:val="center"/>
        <w:shd w:fill="1A6B7C"/>
      </w:pPr>
      <w:r>
        <w:rPr>
          <w:b/>
          <w:color w:val="FFFFFF"/>
          <w:sz w:val="28"/>
        </w:rPr>
        <w:t>Recommendation 1: Promote Energy Conservation and Peak Load Control</w:t>
      </w:r>
    </w:p>
    <w:p>
      <w:pPr>
        <w:spacing w:after="0"/>
        <w:jc w:val="center"/>
        <w:shd w:fill="3D9EB5"/>
      </w:pPr>
      <w:r>
        <w:rPr>
          <w:b/>
          <w:color w:val="FFFFFF"/>
          <w:sz w:val="22"/>
        </w:rPr>
        <w:t>Suggested Actions and Expected Benefits</w:t>
      </w:r>
    </w:p>
    <w:p>
      <w:pPr>
        <w:shd w:fill="D4EFF5"/>
      </w:pPr>
      <w:r>
        <w:rPr>
          <w:b/>
          <w:color w:val="1A6B7C"/>
          <w:sz w:val="22"/>
        </w:rPr>
        <w:t>Suggested Actions</w:t>
      </w:r>
    </w:p>
    <w:p>
      <w:pPr>
        <w:pStyle w:val="ListBullet"/>
      </w:pPr>
      <w:r>
        <w:rPr>
          <w:sz w:val="20"/>
        </w:rPr>
        <w:t>Introduce different electricity rates for peak and off-peak hours.</w:t>
      </w:r>
    </w:p>
    <w:p>
      <w:pPr>
        <w:pStyle w:val="ListBullet"/>
      </w:pPr>
      <w:r>
        <w:rPr>
          <w:sz w:val="20"/>
        </w:rPr>
        <w:t>Encourage large factories to reduce load during high-demand periods.</w:t>
      </w:r>
    </w:p>
    <w:p>
      <w:pPr>
        <w:pStyle w:val="ListBullet"/>
      </w:pPr>
      <w:r>
        <w:rPr>
          <w:sz w:val="20"/>
        </w:rPr>
        <w:t>Schedule farm feeders in a way that matches solar generation hours.</w:t>
      </w:r>
    </w:p>
    <w:p>
      <w:pPr>
        <w:pStyle w:val="ListBullet"/>
      </w:pPr>
      <w:r>
        <w:rPr>
          <w:sz w:val="20"/>
        </w:rPr>
        <w:t>Promote energy-efficient appliances through labelling and awareness.</w:t>
      </w:r>
    </w:p>
    <w:p>
      <w:pPr>
        <w:pStyle w:val="ListBullet"/>
      </w:pPr>
      <w:r>
        <w:rPr>
          <w:sz w:val="20"/>
        </w:rPr>
        <w:t>Run seasonal campaigns asking consumers to save power in summer.</w:t>
      </w:r>
    </w:p>
    <w:p>
      <w:pPr>
        <w:shd w:fill="D4EFF5"/>
      </w:pPr>
      <w:r>
        <w:rPr>
          <w:b/>
          <w:color w:val="1A6B7C"/>
          <w:sz w:val="22"/>
        </w:rPr>
        <w:t>Expected Benefits</w:t>
      </w:r>
    </w:p>
    <w:p>
      <w:pPr>
        <w:pStyle w:val="ListBullet"/>
      </w:pPr>
      <w:r>
        <w:rPr>
          <w:sz w:val="20"/>
        </w:rPr>
        <w:t>Can reduce pressure on the grid during peak hours.</w:t>
      </w:r>
    </w:p>
    <w:p>
      <w:pPr>
        <w:pStyle w:val="ListBullet"/>
      </w:pPr>
      <w:r>
        <w:rPr>
          <w:sz w:val="20"/>
        </w:rPr>
        <w:t>May lower the need for costly emergency power.</w:t>
      </w:r>
    </w:p>
    <w:p>
      <w:pPr>
        <w:pStyle w:val="ListBullet"/>
      </w:pPr>
      <w:r>
        <w:rPr>
          <w:sz w:val="20"/>
        </w:rPr>
        <w:t>Helps consumers save money if they shift usage to off-peak time.</w:t>
      </w:r>
    </w:p>
    <w:p>
      <w:pPr>
        <w:pStyle w:val="ListBullet"/>
      </w:pPr>
      <w:r>
        <w:rPr>
          <w:sz w:val="20"/>
        </w:rPr>
        <w:t>Supports better use of existing generation capacity.</w:t>
      </w:r>
    </w:p>
    <w:p>
      <w:pPr>
        <w:jc w:val="center"/>
      </w:pPr>
      <w:r>
        <w:drawing>
          <wp:inline xmlns:a="http://schemas.openxmlformats.org/drawingml/2006/main" xmlns:pic="http://schemas.openxmlformats.org/drawingml/2006/picture">
            <wp:extent cx="2606040" cy="1873878"/>
            <wp:docPr id="10" name="Picture 10"/>
            <wp:cNvGraphicFramePr>
              <a:graphicFrameLocks noChangeAspect="1"/>
            </wp:cNvGraphicFramePr>
            <a:graphic>
              <a:graphicData uri="http://schemas.openxmlformats.org/drawingml/2006/picture">
                <pic:pic>
                  <pic:nvPicPr>
                    <pic:cNvPr id="0" name="c05_demand_supply.png"/>
                    <pic:cNvPicPr/>
                  </pic:nvPicPr>
                  <pic:blipFill>
                    <a:blip r:embed="rId13"/>
                    <a:stretch>
                      <a:fillRect/>
                    </a:stretch>
                  </pic:blipFill>
                  <pic:spPr>
                    <a:xfrm>
                      <a:off x="0" y="0"/>
                      <a:ext cx="2606040" cy="1873878"/>
                    </a:xfrm>
                    <a:prstGeom prst="rect"/>
                  </pic:spPr>
                </pic:pic>
              </a:graphicData>
            </a:graphic>
          </wp:inline>
        </w:drawing>
      </w:r>
    </w:p>
    <w:p>
      <w:pPr>
        <w:jc w:val="center"/>
      </w:pPr>
      <w:r>
        <w:rPr>
          <w:i/>
          <w:color w:val="788C96"/>
          <w:sz w:val="16"/>
        </w:rPr>
        <w:t>Page 6</w:t>
      </w:r>
    </w:p>
    <w:p>
      <w:r>
        <w:br w:type="page"/>
      </w:r>
    </w:p>
    <w:p>
      <w:pPr>
        <w:spacing w:after="0"/>
        <w:jc w:val="center"/>
        <w:shd w:fill="1A6B7C"/>
      </w:pPr>
      <w:r>
        <w:rPr>
          <w:b/>
          <w:color w:val="FFFFFF"/>
          <w:sz w:val="28"/>
        </w:rPr>
        <w:t>Recommendation 2: Strengthen Renewable Energy and Storage Systems</w:t>
      </w:r>
    </w:p>
    <w:p>
      <w:pPr>
        <w:spacing w:after="0"/>
        <w:jc w:val="center"/>
        <w:shd w:fill="3D9EB5"/>
      </w:pPr>
      <w:r>
        <w:rPr>
          <w:b/>
          <w:color w:val="FFFFFF"/>
          <w:sz w:val="22"/>
        </w:rPr>
        <w:t>Suggested Actions and Expected Benefits</w:t>
      </w:r>
    </w:p>
    <w:p>
      <w:pPr>
        <w:shd w:fill="D4EFF5"/>
      </w:pPr>
      <w:r>
        <w:rPr>
          <w:b/>
          <w:color w:val="1A6B7C"/>
          <w:sz w:val="22"/>
        </w:rPr>
        <w:t>Suggested Actions</w:t>
      </w:r>
    </w:p>
    <w:p>
      <w:pPr>
        <w:pStyle w:val="ListBullet"/>
      </w:pPr>
      <w:r>
        <w:rPr>
          <w:sz w:val="20"/>
        </w:rPr>
        <w:t>Build better transmission links between renewable-rich and high-demand states.</w:t>
      </w:r>
    </w:p>
    <w:p>
      <w:pPr>
        <w:pStyle w:val="ListBullet"/>
      </w:pPr>
      <w:r>
        <w:rPr>
          <w:sz w:val="20"/>
        </w:rPr>
        <w:t>Set up battery and pumped storage where renewable generation is high.</w:t>
      </w:r>
    </w:p>
    <w:p>
      <w:pPr>
        <w:pStyle w:val="ListBullet"/>
      </w:pPr>
      <w:r>
        <w:rPr>
          <w:sz w:val="20"/>
        </w:rPr>
        <w:t>Allow industries to buy renewable power across states more easily.</w:t>
      </w:r>
    </w:p>
    <w:p>
      <w:pPr>
        <w:pStyle w:val="ListBullet"/>
      </w:pPr>
      <w:r>
        <w:rPr>
          <w:sz w:val="20"/>
        </w:rPr>
        <w:t>Support mixed solar–wind projects that can supply power for longer hours.</w:t>
      </w:r>
    </w:p>
    <w:p>
      <w:pPr>
        <w:pStyle w:val="ListBullet"/>
      </w:pPr>
      <w:r>
        <w:rPr>
          <w:sz w:val="20"/>
        </w:rPr>
        <w:t>Provide funding support for storage projects that are not yet fully viable.</w:t>
      </w:r>
    </w:p>
    <w:p>
      <w:pPr>
        <w:shd w:fill="D4EFF5"/>
      </w:pPr>
      <w:r>
        <w:rPr>
          <w:b/>
          <w:color w:val="1A6B7C"/>
          <w:sz w:val="22"/>
        </w:rPr>
        <w:t>Expected Benefits</w:t>
      </w:r>
    </w:p>
    <w:p>
      <w:pPr>
        <w:pStyle w:val="ListBullet"/>
      </w:pPr>
      <w:r>
        <w:rPr>
          <w:sz w:val="20"/>
        </w:rPr>
        <w:t>Helps use more clean energy without disturbing grid stability.</w:t>
      </w:r>
    </w:p>
    <w:p>
      <w:pPr>
        <w:pStyle w:val="ListBullet"/>
      </w:pPr>
      <w:r>
        <w:rPr>
          <w:sz w:val="20"/>
        </w:rPr>
        <w:t>Can improve supply in states that face shortage.</w:t>
      </w:r>
    </w:p>
    <w:p>
      <w:pPr>
        <w:pStyle w:val="ListBullet"/>
      </w:pPr>
      <w:r>
        <w:rPr>
          <w:sz w:val="20"/>
        </w:rPr>
        <w:t>Supports the rise in renewable share seen in Table 3.</w:t>
      </w:r>
    </w:p>
    <w:p>
      <w:pPr>
        <w:pStyle w:val="ListBullet"/>
      </w:pPr>
      <w:r>
        <w:rPr>
          <w:sz w:val="20"/>
        </w:rPr>
        <w:t>Reduces dependence on coal during evening peak hours.</w:t>
      </w:r>
    </w:p>
    <w:p>
      <w:pPr>
        <w:jc w:val="center"/>
      </w:pPr>
      <w:r>
        <w:drawing>
          <wp:inline xmlns:a="http://schemas.openxmlformats.org/drawingml/2006/main" xmlns:pic="http://schemas.openxmlformats.org/drawingml/2006/picture">
            <wp:extent cx="2606040" cy="1874520"/>
            <wp:docPr id="11" name="Picture 11"/>
            <wp:cNvGraphicFramePr>
              <a:graphicFrameLocks noChangeAspect="1"/>
            </wp:cNvGraphicFramePr>
            <a:graphic>
              <a:graphicData uri="http://schemas.openxmlformats.org/drawingml/2006/picture">
                <pic:pic>
                  <pic:nvPicPr>
                    <pic:cNvPr id="0" name="c07_renewable.png"/>
                    <pic:cNvPicPr/>
                  </pic:nvPicPr>
                  <pic:blipFill>
                    <a:blip r:embed="rId15"/>
                    <a:stretch>
                      <a:fillRect/>
                    </a:stretch>
                  </pic:blipFill>
                  <pic:spPr>
                    <a:xfrm>
                      <a:off x="0" y="0"/>
                      <a:ext cx="2606040" cy="1874520"/>
                    </a:xfrm>
                    <a:prstGeom prst="rect"/>
                  </pic:spPr>
                </pic:pic>
              </a:graphicData>
            </a:graphic>
          </wp:inline>
        </w:drawing>
      </w:r>
    </w:p>
    <w:p>
      <w:pPr>
        <w:jc w:val="center"/>
      </w:pPr>
      <w:r>
        <w:rPr>
          <w:i/>
          <w:color w:val="788C96"/>
          <w:sz w:val="16"/>
        </w:rPr>
        <w:t>Page 7</w:t>
      </w:r>
    </w:p>
    <w:p>
      <w:r>
        <w:br w:type="page"/>
      </w:r>
    </w:p>
    <w:p>
      <w:pPr>
        <w:spacing w:after="0"/>
        <w:jc w:val="center"/>
        <w:shd w:fill="1A6B7C"/>
      </w:pPr>
      <w:r>
        <w:rPr>
          <w:b/>
          <w:color w:val="FFFFFF"/>
          <w:sz w:val="28"/>
        </w:rPr>
        <w:t>Recommendation 3: Improve Distribution Network and Reduce Losses</w:t>
      </w:r>
    </w:p>
    <w:p>
      <w:pPr>
        <w:spacing w:after="0"/>
        <w:jc w:val="center"/>
        <w:shd w:fill="3D9EB5"/>
      </w:pPr>
      <w:r>
        <w:rPr>
          <w:b/>
          <w:color w:val="FFFFFF"/>
          <w:sz w:val="22"/>
        </w:rPr>
        <w:t>Suggested Actions and Expected Benefits</w:t>
      </w:r>
    </w:p>
    <w:p>
      <w:pPr>
        <w:shd w:fill="D4EFF5"/>
      </w:pPr>
      <w:r>
        <w:rPr>
          <w:b/>
          <w:color w:val="1A6B7C"/>
          <w:sz w:val="22"/>
        </w:rPr>
        <w:t>Suggested Actions</w:t>
      </w:r>
    </w:p>
    <w:p>
      <w:pPr>
        <w:pStyle w:val="ListBullet"/>
      </w:pPr>
      <w:r>
        <w:rPr>
          <w:sz w:val="20"/>
        </w:rPr>
        <w:t>Install smart meters for consumers in a phased manner.</w:t>
      </w:r>
    </w:p>
    <w:p>
      <w:pPr>
        <w:pStyle w:val="ListBullet"/>
      </w:pPr>
      <w:r>
        <w:rPr>
          <w:sz w:val="20"/>
        </w:rPr>
        <w:t>Separate agricultural and non-agricultural feeders for better monitoring.</w:t>
      </w:r>
    </w:p>
    <w:p>
      <w:pPr>
        <w:pStyle w:val="ListBullet"/>
      </w:pPr>
      <w:r>
        <w:rPr>
          <w:sz w:val="20"/>
        </w:rPr>
        <w:t>Upgrade old transformers and distribution lines.</w:t>
      </w:r>
    </w:p>
    <w:p>
      <w:pPr>
        <w:pStyle w:val="ListBullet"/>
      </w:pPr>
      <w:r>
        <w:rPr>
          <w:sz w:val="20"/>
        </w:rPr>
        <w:t>Take strict action against power theft and faulty billing.</w:t>
      </w:r>
    </w:p>
    <w:p>
      <w:pPr>
        <w:pStyle w:val="ListBullet"/>
      </w:pPr>
      <w:r>
        <w:rPr>
          <w:sz w:val="20"/>
        </w:rPr>
        <w:t>Link government support to actual reduction in distribution losses.</w:t>
      </w:r>
    </w:p>
    <w:p>
      <w:pPr>
        <w:shd w:fill="D4EFF5"/>
      </w:pPr>
      <w:r>
        <w:rPr>
          <w:b/>
          <w:color w:val="1A6B7C"/>
          <w:sz w:val="22"/>
        </w:rPr>
        <w:t>Expected Benefits</w:t>
      </w:r>
    </w:p>
    <w:p>
      <w:pPr>
        <w:pStyle w:val="ListBullet"/>
      </w:pPr>
      <w:r>
        <w:rPr>
          <w:sz w:val="20"/>
        </w:rPr>
        <w:t>Can bring T&amp;D losses closer to the 12–15% target.</w:t>
      </w:r>
    </w:p>
    <w:p>
      <w:pPr>
        <w:pStyle w:val="ListBullet"/>
      </w:pPr>
      <w:r>
        <w:rPr>
          <w:sz w:val="20"/>
        </w:rPr>
        <w:t>Improves revenue collection for DISCOMs.</w:t>
      </w:r>
    </w:p>
    <w:p>
      <w:pPr>
        <w:pStyle w:val="ListBullet"/>
      </w:pPr>
      <w:r>
        <w:rPr>
          <w:sz w:val="20"/>
        </w:rPr>
        <w:t>Makes more electricity available without building new plants.</w:t>
      </w:r>
    </w:p>
    <w:p>
      <w:pPr>
        <w:pStyle w:val="ListBullet"/>
      </w:pPr>
      <w:r>
        <w:rPr>
          <w:sz w:val="20"/>
        </w:rPr>
        <w:t>Helps reduce the demand–supply gap at the consumer end.</w:t>
      </w:r>
    </w:p>
    <w:p>
      <w:pPr>
        <w:jc w:val="center"/>
      </w:pPr>
      <w:r>
        <w:drawing>
          <wp:inline xmlns:a="http://schemas.openxmlformats.org/drawingml/2006/main" xmlns:pic="http://schemas.openxmlformats.org/drawingml/2006/picture">
            <wp:extent cx="2606040" cy="1874520"/>
            <wp:docPr id="12" name="Picture 12"/>
            <wp:cNvGraphicFramePr>
              <a:graphicFrameLocks noChangeAspect="1"/>
            </wp:cNvGraphicFramePr>
            <a:graphic>
              <a:graphicData uri="http://schemas.openxmlformats.org/drawingml/2006/picture">
                <pic:pic>
                  <pic:nvPicPr>
                    <pic:cNvPr id="0" name="c08_td_losses.png"/>
                    <pic:cNvPicPr/>
                  </pic:nvPicPr>
                  <pic:blipFill>
                    <a:blip r:embed="rId16"/>
                    <a:stretch>
                      <a:fillRect/>
                    </a:stretch>
                  </pic:blipFill>
                  <pic:spPr>
                    <a:xfrm>
                      <a:off x="0" y="0"/>
                      <a:ext cx="2606040" cy="1874520"/>
                    </a:xfrm>
                    <a:prstGeom prst="rect"/>
                  </pic:spPr>
                </pic:pic>
              </a:graphicData>
            </a:graphic>
          </wp:inline>
        </w:drawing>
      </w:r>
    </w:p>
    <w:p>
      <w:pPr>
        <w:jc w:val="center"/>
      </w:pPr>
      <w:r>
        <w:rPr>
          <w:i/>
          <w:color w:val="788C96"/>
          <w:sz w:val="16"/>
        </w:rPr>
        <w:t>Page 8</w:t>
      </w:r>
    </w:p>
    <w:p>
      <w:r>
        <w:br w:type="page"/>
      </w:r>
    </w:p>
    <w:p>
      <w:pPr>
        <w:spacing w:after="0"/>
        <w:jc w:val="center"/>
        <w:shd w:fill="1A6B7C"/>
      </w:pPr>
      <w:r>
        <w:rPr>
          <w:b/>
          <w:color w:val="FFFFFF"/>
          <w:sz w:val="28"/>
        </w:rPr>
        <w:t>Conclusion</w:t>
      </w:r>
    </w:p>
    <w:p>
      <w:pPr>
        <w:spacing w:after="0"/>
        <w:jc w:val="center"/>
        <w:shd w:fill="3D9EB5"/>
      </w:pPr>
      <w:r>
        <w:rPr>
          <w:b/>
          <w:color w:val="FFFFFF"/>
          <w:sz w:val="22"/>
        </w:rPr>
        <w:t>Summary and Final Suggestions</w:t>
      </w:r>
    </w:p>
    <w:p>
      <w:pPr>
        <w:shd w:fill="3D9EB5"/>
      </w:pPr>
      <w:r>
        <w:rPr>
          <w:b/>
          <w:color w:val="FFFFFF"/>
          <w:sz w:val="22"/>
        </w:rPr>
        <w:t>Final Summary</w:t>
      </w:r>
    </w:p>
    <w:p>
      <w:pPr>
        <w:pStyle w:val="ListBullet"/>
        <w:shd w:fill="E8F6F3"/>
      </w:pPr>
      <w:r>
        <w:rPr>
          <w:sz w:val="20"/>
        </w:rPr>
        <w:t>Electricity use rose in all sectors every year from 2022 to 2025.</w:t>
      </w:r>
    </w:p>
    <w:p>
      <w:pPr>
        <w:pStyle w:val="ListBullet"/>
        <w:shd w:fill="E8F6F3"/>
      </w:pPr>
      <w:r>
        <w:rPr>
          <w:sz w:val="20"/>
        </w:rPr>
        <w:t>Agriculture remained the largest user; industry grew the fastest (43.3%).</w:t>
      </w:r>
    </w:p>
    <w:p>
      <w:pPr>
        <w:pStyle w:val="ListBullet"/>
        <w:shd w:fill="E8F6F3"/>
      </w:pPr>
      <w:r>
        <w:rPr>
          <w:sz w:val="20"/>
        </w:rPr>
        <w:t>Demand–supply gap increased from 4 BU to 9 BU.</w:t>
      </w:r>
    </w:p>
    <w:p>
      <w:pPr>
        <w:pStyle w:val="ListBullet"/>
        <w:shd w:fill="E8F6F3"/>
      </w:pPr>
      <w:r>
        <w:rPr>
          <w:sz w:val="20"/>
        </w:rPr>
        <w:t>Renewable share improved to 35%; T&amp;D losses declined to 15%.</w:t>
      </w:r>
    </w:p>
    <w:p>
      <w:pPr>
        <w:pStyle w:val="ListBullet"/>
        <w:shd w:fill="E8F6F3"/>
      </w:pPr>
      <w:r>
        <w:rPr>
          <w:sz w:val="20"/>
        </w:rPr>
        <w:t>Three recommendations: conservation, renewable expansion, and better distribution.</w:t>
      </w:r>
    </w:p>
    <w:p>
      <w:pPr>
        <w:jc w:val="both"/>
      </w:pPr>
      <w:r>
        <w:rPr>
          <w:sz w:val="21"/>
        </w:rPr>
        <w:t>This report shows that India's electricity demand is rising steadily across agriculture, industry, and households. The data supports the Chairman's concern that power infrastructure is under growing strain. While renewable energy and loss reduction have improved, the widening demand–supply gap remains a serious issue.</w:t>
      </w:r>
    </w:p>
    <w:p>
      <w:pPr>
        <w:shd w:fill="D4EFF5"/>
      </w:pPr>
      <w:r>
        <w:rPr>
          <w:b/>
          <w:color w:val="1A6B7C"/>
          <w:sz w:val="22"/>
        </w:rPr>
        <w:t>Final Recommendations</w:t>
      </w:r>
    </w:p>
    <w:tbl>
      <w:tblPr>
        <w:tblStyle w:val="TableGrid"/>
        <w:tblW w:type="auto" w:w="0"/>
        <w:tblLook w:firstColumn="1" w:firstRow="1" w:lastColumn="0" w:lastRow="0" w:noHBand="0" w:noVBand="1" w:val="04A0"/>
      </w:tblPr>
      <w:tblGrid>
        <w:gridCol w:w="3249"/>
        <w:gridCol w:w="3249"/>
        <w:gridCol w:w="3249"/>
      </w:tblGrid>
      <w:tr>
        <w:tc>
          <w:tcPr>
            <w:tcW w:type="dxa" w:w="3249"/>
            <w:shd w:fill="1A6B7C"/>
          </w:tcPr>
          <w:p>
            <w:r>
              <w:rPr>
                <w:b/>
                <w:color w:val="FFFFFF"/>
                <w:sz w:val="20"/>
              </w:rPr>
              <w:t>No.</w:t>
            </w:r>
          </w:p>
        </w:tc>
        <w:tc>
          <w:tcPr>
            <w:tcW w:type="dxa" w:w="3249"/>
            <w:shd w:fill="1A6B7C"/>
          </w:tcPr>
          <w:p>
            <w:r>
              <w:rPr>
                <w:b/>
                <w:color w:val="FFFFFF"/>
                <w:sz w:val="20"/>
              </w:rPr>
              <w:t>Area</w:t>
            </w:r>
          </w:p>
        </w:tc>
        <w:tc>
          <w:tcPr>
            <w:tcW w:type="dxa" w:w="3249"/>
            <w:shd w:fill="1A6B7C"/>
          </w:tcPr>
          <w:p>
            <w:r>
              <w:rPr>
                <w:b/>
                <w:color w:val="FFFFFF"/>
                <w:sz w:val="20"/>
              </w:rPr>
              <w:t>Purpose</w:t>
            </w:r>
          </w:p>
        </w:tc>
      </w:tr>
      <w:tr>
        <w:tc>
          <w:tcPr>
            <w:tcW w:type="dxa" w:w="3249"/>
            <w:shd w:fill="B8E8DC"/>
          </w:tcPr>
          <w:p>
            <w:r>
              <w:rPr>
                <w:sz w:val="20"/>
              </w:rPr>
              <w:t>1</w:t>
            </w:r>
          </w:p>
        </w:tc>
        <w:tc>
          <w:tcPr>
            <w:tcW w:type="dxa" w:w="3249"/>
            <w:shd w:fill="B8E8DC"/>
          </w:tcPr>
          <w:p>
            <w:r>
              <w:rPr>
                <w:sz w:val="20"/>
              </w:rPr>
              <w:t>Energy conservation and peak load control</w:t>
            </w:r>
          </w:p>
        </w:tc>
        <w:tc>
          <w:tcPr>
            <w:tcW w:type="dxa" w:w="3249"/>
            <w:shd w:fill="B8E8DC"/>
          </w:tcPr>
          <w:p>
            <w:r>
              <w:rPr>
                <w:sz w:val="20"/>
              </w:rPr>
              <w:t>Reduce demand during high-pressure hours</w:t>
            </w:r>
          </w:p>
        </w:tc>
      </w:tr>
      <w:tr>
        <w:tc>
          <w:tcPr>
            <w:tcW w:type="dxa" w:w="3249"/>
            <w:shd w:fill="B8E8DC"/>
          </w:tcPr>
          <w:p>
            <w:r>
              <w:rPr>
                <w:sz w:val="20"/>
              </w:rPr>
              <w:t>2</w:t>
            </w:r>
          </w:p>
        </w:tc>
        <w:tc>
          <w:tcPr>
            <w:tcW w:type="dxa" w:w="3249"/>
            <w:shd w:fill="B8E8DC"/>
          </w:tcPr>
          <w:p>
            <w:r>
              <w:rPr>
                <w:sz w:val="20"/>
              </w:rPr>
              <w:t>Renewable energy and storage</w:t>
            </w:r>
          </w:p>
        </w:tc>
        <w:tc>
          <w:tcPr>
            <w:tcW w:type="dxa" w:w="3249"/>
            <w:shd w:fill="B8E8DC"/>
          </w:tcPr>
          <w:p>
            <w:r>
              <w:rPr>
                <w:sz w:val="20"/>
              </w:rPr>
              <w:t>Increase clean and dependable supply</w:t>
            </w:r>
          </w:p>
        </w:tc>
      </w:tr>
      <w:tr>
        <w:tc>
          <w:tcPr>
            <w:tcW w:type="dxa" w:w="3249"/>
            <w:shd w:fill="B8E8DC"/>
          </w:tcPr>
          <w:p>
            <w:r>
              <w:rPr>
                <w:sz w:val="20"/>
              </w:rPr>
              <w:t>3</w:t>
            </w:r>
          </w:p>
        </w:tc>
        <w:tc>
          <w:tcPr>
            <w:tcW w:type="dxa" w:w="3249"/>
            <w:shd w:fill="B8E8DC"/>
          </w:tcPr>
          <w:p>
            <w:r>
              <w:rPr>
                <w:sz w:val="20"/>
              </w:rPr>
              <w:t>Distribution improvement</w:t>
            </w:r>
          </w:p>
        </w:tc>
        <w:tc>
          <w:tcPr>
            <w:tcW w:type="dxa" w:w="3249"/>
            <w:shd w:fill="B8E8DC"/>
          </w:tcPr>
          <w:p>
            <w:r>
              <w:rPr>
                <w:sz w:val="20"/>
              </w:rPr>
              <w:t>Cut losses and improve power delivery</w:t>
            </w:r>
          </w:p>
        </w:tc>
      </w:tr>
    </w:tbl>
    <w:p/>
    <w:p>
      <w:pPr>
        <w:jc w:val="both"/>
      </w:pPr>
      <w:r>
        <w:rPr>
          <w:sz w:val="21"/>
        </w:rPr>
        <w:t>The Council should take early action in these three areas. Coordination between central ministries, state governments, and distribution companies will be necessary for effective implementation.</w:t>
      </w:r>
    </w:p>
    <w:p>
      <w:pPr>
        <w:jc w:val="center"/>
      </w:pPr>
      <w:r>
        <w:rPr>
          <w:i/>
          <w:color w:val="788C96"/>
          <w:sz w:val="16"/>
        </w:rPr>
        <w:t>Page 9</w:t>
      </w:r>
    </w:p>
    <w:p>
      <w:r>
        <w:br w:type="page"/>
      </w:r>
    </w:p>
    <w:p>
      <w:pPr>
        <w:spacing w:after="0"/>
        <w:jc w:val="center"/>
        <w:shd w:fill="1A6B7C"/>
      </w:pPr>
      <w:r>
        <w:rPr>
          <w:b/>
          <w:color w:val="FFFFFF"/>
          <w:sz w:val="28"/>
        </w:rPr>
        <w:t>References</w:t>
      </w:r>
    </w:p>
    <w:p>
      <w:pPr>
        <w:spacing w:after="0"/>
        <w:jc w:val="center"/>
        <w:shd w:fill="3D9EB5"/>
      </w:pPr>
      <w:r>
        <w:rPr>
          <w:b/>
          <w:color w:val="FFFFFF"/>
          <w:sz w:val="22"/>
        </w:rPr>
        <w:t>Sources Used in This Report</w:t>
      </w:r>
    </w:p>
    <w:p>
      <w:r>
        <w:rPr>
          <w:sz w:val="20"/>
        </w:rPr>
        <w:t>1. Energy Development and Conservation Council (EDCC). (2026). Sector-wise electricity consumption, demand–supply, and renewable energy data (Tables 1–3). Internal data provided for this report.</w:t>
      </w:r>
    </w:p>
    <w:p>
      <w:r>
        <w:rPr>
          <w:sz w:val="20"/>
        </w:rPr>
        <w:t>2. Central Electricity Authority. (2024). Load Generation Balance Report 2024-25. Ministry of Power, Government of India. https://cea.nic.in/l-g-b-r-report/</w:t>
      </w:r>
    </w:p>
    <w:p>
      <w:r>
        <w:rPr>
          <w:sz w:val="20"/>
        </w:rPr>
        <w:t>3. Press Information Bureau. (2025). India's Energy Landscape. Government of India. https://static.pib.gov.in/WriteReadData/specificdocs/documents/2025/jun/doc2025622575501.pdf</w:t>
      </w:r>
    </w:p>
    <w:p>
      <w:r>
        <w:rPr>
          <w:sz w:val="20"/>
        </w:rPr>
        <w:t>4. Ministry of Statistics and Programme Implementation. (2025). Energy Statistics India 2025. https://mospi.gov.in/publication/energy-statistics-india-2025</w:t>
      </w:r>
    </w:p>
    <w:p>
      <w:r>
        <w:rPr>
          <w:sz w:val="20"/>
        </w:rPr>
        <w:t>5. Bureau of Energy Efficiency. (2024). Impact of Energy Efficiency Measures for 2022-23. https://www.beeindia.gov.in/</w:t>
      </w:r>
    </w:p>
    <w:p>
      <w:pPr>
        <w:shd w:fill="D4EFF5"/>
      </w:pPr>
      <w:r>
        <w:rPr>
          <w:b/>
          <w:color w:val="1A6B7C"/>
          <w:sz w:val="22"/>
        </w:rPr>
        <w:t>Appendix: Main Calculations</w:t>
      </w:r>
    </w:p>
    <w:tbl>
      <w:tblPr>
        <w:tblStyle w:val="TableGrid"/>
        <w:tblW w:type="auto" w:w="0"/>
        <w:tblLook w:firstColumn="1" w:firstRow="1" w:lastColumn="0" w:lastRow="0" w:noHBand="0" w:noVBand="1" w:val="04A0"/>
      </w:tblPr>
      <w:tblGrid>
        <w:gridCol w:w="4873"/>
        <w:gridCol w:w="4873"/>
      </w:tblGrid>
      <w:tr>
        <w:tc>
          <w:tcPr>
            <w:tcW w:type="dxa" w:w="4873"/>
            <w:shd w:fill="1A6B7C"/>
          </w:tcPr>
          <w:p>
            <w:r>
              <w:rPr>
                <w:b/>
                <w:color w:val="FFFFFF"/>
                <w:sz w:val="20"/>
              </w:rPr>
              <w:t>Calculation</w:t>
            </w:r>
          </w:p>
        </w:tc>
        <w:tc>
          <w:tcPr>
            <w:tcW w:type="dxa" w:w="4873"/>
            <w:shd w:fill="1A6B7C"/>
          </w:tcPr>
          <w:p>
            <w:r>
              <w:rPr>
                <w:b/>
                <w:color w:val="FFFFFF"/>
                <w:sz w:val="20"/>
              </w:rPr>
              <w:t>Result</w:t>
            </w:r>
          </w:p>
        </w:tc>
      </w:tr>
      <w:tr>
        <w:tc>
          <w:tcPr>
            <w:tcW w:type="dxa" w:w="4873"/>
          </w:tcPr>
          <w:p>
            <w:r>
              <w:rPr>
                <w:sz w:val="20"/>
              </w:rPr>
              <w:t>Agriculture growth</w:t>
            </w:r>
          </w:p>
        </w:tc>
        <w:tc>
          <w:tcPr>
            <w:tcW w:type="dxa" w:w="4873"/>
          </w:tcPr>
          <w:p>
            <w:r>
              <w:rPr>
                <w:sz w:val="20"/>
              </w:rPr>
              <w:t>(98.45-83.30)/83.30 = 18.2%</w:t>
            </w:r>
          </w:p>
        </w:tc>
      </w:tr>
      <w:tr>
        <w:tc>
          <w:tcPr>
            <w:tcW w:type="dxa" w:w="4873"/>
            <w:shd w:fill="B8E8DC"/>
          </w:tcPr>
          <w:p>
            <w:r>
              <w:rPr>
                <w:sz w:val="20"/>
              </w:rPr>
              <w:t>Industrial growth</w:t>
            </w:r>
          </w:p>
        </w:tc>
        <w:tc>
          <w:tcPr>
            <w:tcW w:type="dxa" w:w="4873"/>
            <w:shd w:fill="B8E8DC"/>
          </w:tcPr>
          <w:p>
            <w:r>
              <w:rPr>
                <w:sz w:val="20"/>
              </w:rPr>
              <w:t>(33.65-23.48)/23.48 = 43.3% (highest)</w:t>
            </w:r>
          </w:p>
        </w:tc>
      </w:tr>
      <w:tr>
        <w:tc>
          <w:tcPr>
            <w:tcW w:type="dxa" w:w="4873"/>
            <w:shd w:fill="B8E8DC"/>
          </w:tcPr>
          <w:p>
            <w:r>
              <w:rPr>
                <w:sz w:val="20"/>
              </w:rPr>
              <w:t>Combined growth</w:t>
            </w:r>
          </w:p>
        </w:tc>
        <w:tc>
          <w:tcPr>
            <w:tcW w:type="dxa" w:w="4873"/>
            <w:shd w:fill="B8E8DC"/>
          </w:tcPr>
          <w:p>
            <w:r>
              <w:rPr>
                <w:sz w:val="20"/>
              </w:rPr>
              <w:t>(203.35-165.22)/165.22 = 23.1%</w:t>
            </w:r>
          </w:p>
        </w:tc>
      </w:tr>
      <w:tr>
        <w:tc>
          <w:tcPr>
            <w:tcW w:type="dxa" w:w="4873"/>
            <w:shd w:fill="B8E8DC"/>
          </w:tcPr>
          <w:p>
            <w:r>
              <w:rPr>
                <w:sz w:val="20"/>
              </w:rPr>
              <w:t>Demand–supply gap 2025</w:t>
            </w:r>
          </w:p>
        </w:tc>
        <w:tc>
          <w:tcPr>
            <w:tcW w:type="dxa" w:w="4873"/>
            <w:shd w:fill="B8E8DC"/>
          </w:tcPr>
          <w:p>
            <w:r>
              <w:rPr>
                <w:sz w:val="20"/>
              </w:rPr>
              <w:t>221 - 212 = 9 BU</w:t>
            </w:r>
          </w:p>
        </w:tc>
      </w:tr>
      <w:tr>
        <w:tc>
          <w:tcPr>
            <w:tcW w:type="dxa" w:w="4873"/>
            <w:shd w:fill="B8E8DC"/>
          </w:tcPr>
          <w:p>
            <w:r>
              <w:rPr>
                <w:sz w:val="20"/>
              </w:rPr>
              <w:t>Renewable change</w:t>
            </w:r>
          </w:p>
        </w:tc>
        <w:tc>
          <w:tcPr>
            <w:tcW w:type="dxa" w:w="4873"/>
            <w:shd w:fill="B8E8DC"/>
          </w:tcPr>
          <w:p>
            <w:r>
              <w:rPr>
                <w:sz w:val="20"/>
              </w:rPr>
              <w:t>35% - 24% = 11 percentage points</w:t>
            </w:r>
          </w:p>
        </w:tc>
      </w:tr>
      <w:tr>
        <w:tc>
          <w:tcPr>
            <w:tcW w:type="dxa" w:w="4873"/>
            <w:shd w:fill="B8E8DC"/>
          </w:tcPr>
          <w:p>
            <w:r>
              <w:rPr>
                <w:sz w:val="20"/>
              </w:rPr>
              <w:t>T&amp;D loss change</w:t>
            </w:r>
          </w:p>
        </w:tc>
        <w:tc>
          <w:tcPr>
            <w:tcW w:type="dxa" w:w="4873"/>
            <w:shd w:fill="B8E8DC"/>
          </w:tcPr>
          <w:p>
            <w:r>
              <w:rPr>
                <w:sz w:val="20"/>
              </w:rPr>
              <w:t>18% - 15% = 3 percentage points</w:t>
            </w:r>
          </w:p>
        </w:tc>
      </w:tr>
    </w:tbl>
    <w:p/>
    <w:p>
      <w:pPr>
        <w:jc w:val="center"/>
      </w:pPr>
      <w:r>
        <w:rPr>
          <w:i/>
          <w:color w:val="788C96"/>
          <w:sz w:val="16"/>
        </w:rPr>
        <w:t>Page 10 — End of Report</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