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2"/>
        </w:rPr>
        <w:t>ENERGY DEVELOPMENT &amp; CONSERVATION COUNCIL (EDCC)</w:t>
      </w:r>
    </w:p>
    <w:p>
      <w:pPr>
        <w:jc w:val="center"/>
      </w:pPr>
      <w:r>
        <w:rPr>
          <w:i/>
          <w:sz w:val="18"/>
        </w:rPr>
        <w:t>Analytical Brief | New Delhi, India</w:t>
      </w:r>
    </w:p>
    <w:p>
      <w:pPr>
        <w:spacing w:before="120" w:after="0"/>
        <w:jc w:val="center"/>
        <w:shd w:fill="1B4332"/>
      </w:pPr>
      <w:r>
        <w:rPr>
          <w:b/>
          <w:color w:val="FFFFFF"/>
          <w:sz w:val="28"/>
        </w:rPr>
        <w:t>Trend in Electricity Consumption</w:t>
      </w:r>
    </w:p>
    <w:p>
      <w:pPr>
        <w:spacing w:before="120" w:after="0"/>
        <w:jc w:val="center"/>
        <w:shd w:fill="40916C"/>
      </w:pPr>
      <w:r>
        <w:rPr>
          <w:b/>
          <w:color w:val="FFFFFF"/>
          <w:sz w:val="22"/>
        </w:rPr>
        <w:t>Sector-Wise Analysis &amp; Overall Growth Patterns (2022–2025)</w:t>
      </w:r>
    </w:p>
    <w:p>
      <w:pPr>
        <w:jc w:val="right"/>
      </w:pPr>
      <w:r>
        <w:rPr>
          <w:i/>
          <w:sz w:val="18"/>
        </w:rPr>
        <w:t>Prepared by: Jaya | August 2026</w:t>
      </w:r>
    </w:p>
    <w:p>
      <w:pPr>
        <w:shd w:fill="40916C"/>
      </w:pPr>
      <w:r>
        <w:rPr>
          <w:b/>
          <w:color w:val="FFFFFF"/>
          <w:sz w:val="22"/>
        </w:rPr>
        <w:t>Key Takeaways</w:t>
      </w:r>
    </w:p>
    <w:p>
      <w:pPr>
        <w:pStyle w:val="ListBullet"/>
        <w:ind w:left="283"/>
      </w:pPr>
      <w:r>
        <w:rPr>
          <w:sz w:val="20"/>
        </w:rPr>
        <w:t>Combined electricity consumption rose from 165.22 BU (2022) to 203.35 BU (2025) — a growth of 23.1%.</w:t>
      </w:r>
    </w:p>
    <w:p>
      <w:pPr>
        <w:pStyle w:val="ListBullet"/>
        <w:ind w:left="283"/>
      </w:pPr>
      <w:r>
        <w:rPr>
          <w:sz w:val="20"/>
        </w:rPr>
        <w:t>Agriculture remains the largest consumer at 98.45 BU, accounting for 48.4% of total sector consumption in 2025.</w:t>
      </w:r>
    </w:p>
    <w:p>
      <w:pPr>
        <w:pStyle w:val="ListBullet"/>
        <w:ind w:left="283"/>
      </w:pPr>
      <w:r>
        <w:rPr>
          <w:sz w:val="20"/>
        </w:rPr>
        <w:t>Domestic consumption grew to 71.25 BU, driven by rapid urbanisation and higher use of air conditioners.</w:t>
      </w:r>
    </w:p>
    <w:p>
      <w:pPr>
        <w:pStyle w:val="ListBullet"/>
        <w:ind w:left="283"/>
      </w:pPr>
      <w:r>
        <w:rPr>
          <w:sz w:val="20"/>
        </w:rPr>
        <w:t>Industrial consumption recorded the sharpest single-year jump of 22.6% in 2022–23, reaching 33.65 BU by 2025.</w:t>
      </w:r>
    </w:p>
    <w:p>
      <w:pPr>
        <w:pStyle w:val="ListBullet"/>
        <w:ind w:left="283"/>
      </w:pPr>
      <w:r>
        <w:rPr>
          <w:sz w:val="20"/>
        </w:rPr>
        <w:t>National total demand increased from 182 BU to 221 BU, aligning with the three-sector growth trend of 21.4%.</w:t>
      </w:r>
    </w:p>
    <w:p>
      <w:pPr>
        <w:spacing w:after="160"/>
        <w:jc w:val="both"/>
      </w:pPr>
      <w:r>
        <w:rPr>
          <w:sz w:val="21"/>
        </w:rPr>
        <w:t>Electricity consumption in India has increased steadily across agriculture, industrial, and domestic sectors between 2022 and 2025. Every sector recorded higher consumption in each successive year without any decline. This continuous rise reflects growing pressure on India's power infrastructure and supports the Chairman's concern regarding sustainable electricity management.</w:t>
      </w:r>
    </w:p>
    <w:p>
      <w:pPr>
        <w:shd w:fill="D8F3DC"/>
      </w:pPr>
      <w:r>
        <w:rPr>
          <w:b/>
          <w:color w:val="1B4332"/>
          <w:sz w:val="22"/>
        </w:rPr>
        <w:t>Table 1: Sector-wise Electricity Consumption (Billion Units)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B4332"/>
          </w:tcPr>
          <w:p>
            <w:pPr>
              <w:jc w:val="center"/>
            </w:pPr>
            <w:r>
              <w:rPr>
                <w:b/>
                <w:color w:val="FFFFFF"/>
                <w:sz w:val="20"/>
              </w:rPr>
              <w:t>Sector</w:t>
            </w:r>
          </w:p>
        </w:tc>
        <w:tc>
          <w:tcPr>
            <w:tcW w:type="dxa" w:w="1662"/>
            <w:shd w:fill="1B4332"/>
          </w:tcPr>
          <w:p>
            <w:pPr>
              <w:jc w:val="center"/>
            </w:pPr>
            <w:r>
              <w:rPr>
                <w:b/>
                <w:color w:val="FFFFFF"/>
                <w:sz w:val="20"/>
              </w:rPr>
              <w:t>2022</w:t>
            </w:r>
          </w:p>
        </w:tc>
        <w:tc>
          <w:tcPr>
            <w:tcW w:type="dxa" w:w="1662"/>
            <w:shd w:fill="1B4332"/>
          </w:tcPr>
          <w:p>
            <w:pPr>
              <w:jc w:val="center"/>
            </w:pPr>
            <w:r>
              <w:rPr>
                <w:b/>
                <w:color w:val="FFFFFF"/>
                <w:sz w:val="20"/>
              </w:rPr>
              <w:t>2023</w:t>
            </w:r>
          </w:p>
        </w:tc>
        <w:tc>
          <w:tcPr>
            <w:tcW w:type="dxa" w:w="1662"/>
            <w:shd w:fill="1B4332"/>
          </w:tcPr>
          <w:p>
            <w:pPr>
              <w:jc w:val="center"/>
            </w:pPr>
            <w:r>
              <w:rPr>
                <w:b/>
                <w:color w:val="FFFFFF"/>
                <w:sz w:val="20"/>
              </w:rPr>
              <w:t>2024</w:t>
            </w:r>
          </w:p>
        </w:tc>
        <w:tc>
          <w:tcPr>
            <w:tcW w:type="dxa" w:w="1662"/>
            <w:shd w:fill="1B4332"/>
          </w:tcPr>
          <w:p>
            <w:pPr>
              <w:jc w:val="center"/>
            </w:pPr>
            <w:r>
              <w:rPr>
                <w:b/>
                <w:color w:val="FFFFFF"/>
                <w:sz w:val="20"/>
              </w:rPr>
              <w:t>2025</w:t>
            </w:r>
          </w:p>
        </w:tc>
        <w:tc>
          <w:tcPr>
            <w:tcW w:type="dxa" w:w="1662"/>
            <w:shd w:fill="1B4332"/>
          </w:tcPr>
          <w:p>
            <w:pPr>
              <w:jc w:val="center"/>
            </w:pPr>
            <w:r>
              <w:rPr>
                <w:b/>
                <w:color w:val="FFFFFF"/>
                <w:sz w:val="20"/>
              </w:rPr>
              <w:t>Growth</w:t>
            </w:r>
          </w:p>
        </w:tc>
      </w:tr>
      <w:tr>
        <w:tc>
          <w:tcPr>
            <w:tcW w:type="dxa" w:w="1662"/>
          </w:tcPr>
          <w:p>
            <w:pPr>
              <w:jc w:val="center"/>
            </w:pPr>
            <w:r>
              <w:rPr>
                <w:sz w:val="20"/>
              </w:rPr>
              <w:t>Agriculture</w:t>
            </w:r>
          </w:p>
        </w:tc>
        <w:tc>
          <w:tcPr>
            <w:tcW w:type="dxa" w:w="1662"/>
          </w:tcPr>
          <w:p>
            <w:pPr>
              <w:jc w:val="center"/>
            </w:pPr>
            <w:r>
              <w:rPr>
                <w:sz w:val="20"/>
              </w:rPr>
              <w:t>83.30</w:t>
            </w:r>
          </w:p>
        </w:tc>
        <w:tc>
          <w:tcPr>
            <w:tcW w:type="dxa" w:w="1662"/>
          </w:tcPr>
          <w:p>
            <w:pPr>
              <w:jc w:val="center"/>
            </w:pPr>
            <w:r>
              <w:rPr>
                <w:sz w:val="20"/>
              </w:rPr>
              <w:t>88.96</w:t>
            </w:r>
          </w:p>
        </w:tc>
        <w:tc>
          <w:tcPr>
            <w:tcW w:type="dxa" w:w="1662"/>
          </w:tcPr>
          <w:p>
            <w:pPr>
              <w:jc w:val="center"/>
            </w:pPr>
            <w:r>
              <w:rPr>
                <w:sz w:val="20"/>
              </w:rPr>
              <w:t>93.67</w:t>
            </w:r>
          </w:p>
        </w:tc>
        <w:tc>
          <w:tcPr>
            <w:tcW w:type="dxa" w:w="1662"/>
          </w:tcPr>
          <w:p>
            <w:pPr>
              <w:jc w:val="center"/>
            </w:pPr>
            <w:r>
              <w:rPr>
                <w:sz w:val="20"/>
              </w:rPr>
              <w:t>98.45</w:t>
            </w:r>
          </w:p>
        </w:tc>
        <w:tc>
          <w:tcPr>
            <w:tcW w:type="dxa" w:w="1662"/>
          </w:tcPr>
          <w:p>
            <w:pPr>
              <w:jc w:val="center"/>
            </w:pPr>
            <w:r>
              <w:rPr>
                <w:sz w:val="20"/>
              </w:rPr>
              <w:t>+18.2%</w:t>
            </w:r>
          </w:p>
        </w:tc>
      </w:tr>
      <w:tr>
        <w:tc>
          <w:tcPr>
            <w:tcW w:type="dxa" w:w="1662"/>
            <w:shd w:fill="EDF7F0"/>
          </w:tcPr>
          <w:p>
            <w:pPr>
              <w:jc w:val="center"/>
            </w:pPr>
            <w:r>
              <w:rPr>
                <w:sz w:val="20"/>
              </w:rPr>
              <w:t>Domestic</w:t>
            </w:r>
          </w:p>
        </w:tc>
        <w:tc>
          <w:tcPr>
            <w:tcW w:type="dxa" w:w="1662"/>
            <w:shd w:fill="EDF7F0"/>
          </w:tcPr>
          <w:p>
            <w:pPr>
              <w:jc w:val="center"/>
            </w:pPr>
            <w:r>
              <w:rPr>
                <w:sz w:val="20"/>
              </w:rPr>
              <w:t>58.44</w:t>
            </w:r>
          </w:p>
        </w:tc>
        <w:tc>
          <w:tcPr>
            <w:tcW w:type="dxa" w:w="1662"/>
            <w:shd w:fill="EDF7F0"/>
          </w:tcPr>
          <w:p>
            <w:pPr>
              <w:jc w:val="center"/>
            </w:pPr>
            <w:r>
              <w:rPr>
                <w:sz w:val="20"/>
              </w:rPr>
              <w:t>64.20</w:t>
            </w:r>
          </w:p>
        </w:tc>
        <w:tc>
          <w:tcPr>
            <w:tcW w:type="dxa" w:w="1662"/>
            <w:shd w:fill="EDF7F0"/>
          </w:tcPr>
          <w:p>
            <w:pPr>
              <w:jc w:val="center"/>
            </w:pPr>
            <w:r>
              <w:rPr>
                <w:sz w:val="20"/>
              </w:rPr>
              <w:t>67.80</w:t>
            </w:r>
          </w:p>
        </w:tc>
        <w:tc>
          <w:tcPr>
            <w:tcW w:type="dxa" w:w="1662"/>
            <w:shd w:fill="EDF7F0"/>
          </w:tcPr>
          <w:p>
            <w:pPr>
              <w:jc w:val="center"/>
            </w:pPr>
            <w:r>
              <w:rPr>
                <w:sz w:val="20"/>
              </w:rPr>
              <w:t>71.25</w:t>
            </w:r>
          </w:p>
        </w:tc>
        <w:tc>
          <w:tcPr>
            <w:tcW w:type="dxa" w:w="1662"/>
            <w:shd w:fill="EDF7F0"/>
          </w:tcPr>
          <w:p>
            <w:pPr>
              <w:jc w:val="center"/>
            </w:pPr>
            <w:r>
              <w:rPr>
                <w:sz w:val="20"/>
              </w:rPr>
              <w:t>+21.9%</w:t>
            </w:r>
          </w:p>
        </w:tc>
      </w:tr>
      <w:tr>
        <w:tc>
          <w:tcPr>
            <w:tcW w:type="dxa" w:w="1662"/>
          </w:tcPr>
          <w:p>
            <w:pPr>
              <w:jc w:val="center"/>
            </w:pPr>
            <w:r>
              <w:rPr>
                <w:sz w:val="20"/>
              </w:rPr>
              <w:t>Industrial</w:t>
            </w:r>
          </w:p>
        </w:tc>
        <w:tc>
          <w:tcPr>
            <w:tcW w:type="dxa" w:w="1662"/>
          </w:tcPr>
          <w:p>
            <w:pPr>
              <w:jc w:val="center"/>
            </w:pPr>
            <w:r>
              <w:rPr>
                <w:sz w:val="20"/>
              </w:rPr>
              <w:t>23.48</w:t>
            </w:r>
          </w:p>
        </w:tc>
        <w:tc>
          <w:tcPr>
            <w:tcW w:type="dxa" w:w="1662"/>
          </w:tcPr>
          <w:p>
            <w:pPr>
              <w:jc w:val="center"/>
            </w:pPr>
            <w:r>
              <w:rPr>
                <w:sz w:val="20"/>
              </w:rPr>
              <w:t>28.78</w:t>
            </w:r>
          </w:p>
        </w:tc>
        <w:tc>
          <w:tcPr>
            <w:tcW w:type="dxa" w:w="1662"/>
          </w:tcPr>
          <w:p>
            <w:pPr>
              <w:jc w:val="center"/>
            </w:pPr>
            <w:r>
              <w:rPr>
                <w:sz w:val="20"/>
              </w:rPr>
              <w:t>30.78</w:t>
            </w:r>
          </w:p>
        </w:tc>
        <w:tc>
          <w:tcPr>
            <w:tcW w:type="dxa" w:w="1662"/>
          </w:tcPr>
          <w:p>
            <w:pPr>
              <w:jc w:val="center"/>
            </w:pPr>
            <w:r>
              <w:rPr>
                <w:sz w:val="20"/>
              </w:rPr>
              <w:t>33.65</w:t>
            </w:r>
          </w:p>
        </w:tc>
        <w:tc>
          <w:tcPr>
            <w:tcW w:type="dxa" w:w="1662"/>
          </w:tcPr>
          <w:p>
            <w:pPr>
              <w:jc w:val="center"/>
            </w:pPr>
            <w:r>
              <w:rPr>
                <w:sz w:val="20"/>
              </w:rPr>
              <w:t>+43.3%</w:t>
            </w:r>
          </w:p>
        </w:tc>
      </w:tr>
    </w:tbl>
    <w:p/>
    <w:p>
      <w:pPr>
        <w:shd w:fill="D8F3DC"/>
      </w:pPr>
      <w:r>
        <w:rPr>
          <w:b/>
          <w:color w:val="1B4332"/>
          <w:sz w:val="22"/>
        </w:rPr>
        <w:t>Sector Summary (2025)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332"/>
          </w:tcPr>
          <w:p>
            <w:pPr>
              <w:jc w:val="center"/>
            </w:pPr>
            <w:r>
              <w:rPr>
                <w:b/>
                <w:color w:val="FFFFFF"/>
                <w:sz w:val="20"/>
              </w:rPr>
              <w:t>Sector</w:t>
            </w:r>
          </w:p>
        </w:tc>
        <w:tc>
          <w:tcPr>
            <w:tcW w:type="dxa" w:w="2493"/>
            <w:shd w:fill="1B4332"/>
          </w:tcPr>
          <w:p>
            <w:pPr>
              <w:jc w:val="center"/>
            </w:pPr>
            <w:r>
              <w:rPr>
                <w:b/>
                <w:color w:val="FFFFFF"/>
                <w:sz w:val="20"/>
              </w:rPr>
              <w:t>Consumption (BU)</w:t>
            </w:r>
          </w:p>
        </w:tc>
        <w:tc>
          <w:tcPr>
            <w:tcW w:type="dxa" w:w="2493"/>
            <w:shd w:fill="1B4332"/>
          </w:tcPr>
          <w:p>
            <w:pPr>
              <w:jc w:val="center"/>
            </w:pPr>
            <w:r>
              <w:rPr>
                <w:b/>
                <w:color w:val="FFFFFF"/>
                <w:sz w:val="20"/>
              </w:rPr>
              <w:t>Share (%)</w:t>
            </w:r>
          </w:p>
        </w:tc>
        <w:tc>
          <w:tcPr>
            <w:tcW w:type="dxa" w:w="2493"/>
            <w:shd w:fill="1B4332"/>
          </w:tcPr>
          <w:p>
            <w:pPr>
              <w:jc w:val="center"/>
            </w:pPr>
            <w:r>
              <w:rPr>
                <w:b/>
                <w:color w:val="FFFFFF"/>
                <w:sz w:val="20"/>
              </w:rPr>
              <w:t>Growth (%)</w:t>
            </w:r>
          </w:p>
        </w:tc>
      </w:tr>
      <w:tr>
        <w:tc>
          <w:tcPr>
            <w:tcW w:type="dxa" w:w="2493"/>
          </w:tcPr>
          <w:p>
            <w:pPr>
              <w:jc w:val="center"/>
            </w:pPr>
            <w:r>
              <w:rPr>
                <w:sz w:val="20"/>
              </w:rPr>
              <w:t>Agriculture (Largest)</w:t>
            </w:r>
          </w:p>
        </w:tc>
        <w:tc>
          <w:tcPr>
            <w:tcW w:type="dxa" w:w="2493"/>
          </w:tcPr>
          <w:p>
            <w:pPr>
              <w:jc w:val="center"/>
            </w:pPr>
            <w:r>
              <w:rPr>
                <w:sz w:val="20"/>
              </w:rPr>
              <w:t>98.45</w:t>
            </w:r>
          </w:p>
        </w:tc>
        <w:tc>
          <w:tcPr>
            <w:tcW w:type="dxa" w:w="2493"/>
          </w:tcPr>
          <w:p>
            <w:pPr>
              <w:jc w:val="center"/>
            </w:pPr>
            <w:r>
              <w:rPr>
                <w:sz w:val="20"/>
              </w:rPr>
              <w:t>48.4%</w:t>
            </w:r>
          </w:p>
        </w:tc>
        <w:tc>
          <w:tcPr>
            <w:tcW w:type="dxa" w:w="2493"/>
          </w:tcPr>
          <w:p>
            <w:pPr>
              <w:jc w:val="center"/>
            </w:pPr>
            <w:r>
              <w:rPr>
                <w:sz w:val="20"/>
              </w:rPr>
              <w:t>18.2%</w:t>
            </w:r>
          </w:p>
        </w:tc>
      </w:tr>
      <w:tr>
        <w:tc>
          <w:tcPr>
            <w:tcW w:type="dxa" w:w="2493"/>
            <w:shd w:fill="EDF7F0"/>
          </w:tcPr>
          <w:p>
            <w:pPr>
              <w:jc w:val="center"/>
            </w:pPr>
            <w:r>
              <w:rPr>
                <w:sz w:val="20"/>
              </w:rPr>
              <w:t>Domestic (2nd Largest)</w:t>
            </w:r>
          </w:p>
        </w:tc>
        <w:tc>
          <w:tcPr>
            <w:tcW w:type="dxa" w:w="2493"/>
            <w:shd w:fill="EDF7F0"/>
          </w:tcPr>
          <w:p>
            <w:pPr>
              <w:jc w:val="center"/>
            </w:pPr>
            <w:r>
              <w:rPr>
                <w:sz w:val="20"/>
              </w:rPr>
              <w:t>71.25</w:t>
            </w:r>
          </w:p>
        </w:tc>
        <w:tc>
          <w:tcPr>
            <w:tcW w:type="dxa" w:w="2493"/>
            <w:shd w:fill="EDF7F0"/>
          </w:tcPr>
          <w:p>
            <w:pPr>
              <w:jc w:val="center"/>
            </w:pPr>
            <w:r>
              <w:rPr>
                <w:sz w:val="20"/>
              </w:rPr>
              <w:t>35.1%</w:t>
            </w:r>
          </w:p>
        </w:tc>
        <w:tc>
          <w:tcPr>
            <w:tcW w:type="dxa" w:w="2493"/>
            <w:shd w:fill="EDF7F0"/>
          </w:tcPr>
          <w:p>
            <w:pPr>
              <w:jc w:val="center"/>
            </w:pPr>
            <w:r>
              <w:rPr>
                <w:sz w:val="20"/>
              </w:rPr>
              <w:t>21.9%</w:t>
            </w:r>
          </w:p>
        </w:tc>
      </w:tr>
      <w:tr>
        <w:tc>
          <w:tcPr>
            <w:tcW w:type="dxa" w:w="2493"/>
          </w:tcPr>
          <w:p>
            <w:pPr>
              <w:jc w:val="center"/>
            </w:pPr>
            <w:r>
              <w:rPr>
                <w:sz w:val="20"/>
              </w:rPr>
              <w:t>Industrial (Fastest Growing)</w:t>
            </w:r>
          </w:p>
        </w:tc>
        <w:tc>
          <w:tcPr>
            <w:tcW w:type="dxa" w:w="2493"/>
          </w:tcPr>
          <w:p>
            <w:pPr>
              <w:jc w:val="center"/>
            </w:pPr>
            <w:r>
              <w:rPr>
                <w:sz w:val="20"/>
              </w:rPr>
              <w:t>33.65</w:t>
            </w:r>
          </w:p>
        </w:tc>
        <w:tc>
          <w:tcPr>
            <w:tcW w:type="dxa" w:w="2493"/>
          </w:tcPr>
          <w:p>
            <w:pPr>
              <w:jc w:val="center"/>
            </w:pPr>
            <w:r>
              <w:rPr>
                <w:sz w:val="20"/>
              </w:rPr>
              <w:t>16.6%</w:t>
            </w:r>
          </w:p>
        </w:tc>
        <w:tc>
          <w:tcPr>
            <w:tcW w:type="dxa" w:w="2493"/>
          </w:tcPr>
          <w:p>
            <w:pPr>
              <w:jc w:val="center"/>
            </w:pPr>
            <w:r>
              <w:rPr>
                <w:sz w:val="20"/>
              </w:rPr>
              <w:t>43.3%</w:t>
            </w:r>
          </w:p>
        </w:tc>
      </w:tr>
    </w:tbl>
    <w:p/>
    <w:p>
      <w:pPr>
        <w:jc w:val="center"/>
      </w:pPr>
      <w:r>
        <w:drawing>
          <wp:inline xmlns:a="http://schemas.openxmlformats.org/drawingml/2006/main" xmlns:pic="http://schemas.openxmlformats.org/drawingml/2006/picture">
            <wp:extent cx="2743200" cy="2205317"/>
            <wp:docPr id="1" name="Picture 1"/>
            <wp:cNvGraphicFramePr>
              <a:graphicFrameLocks noChangeAspect="1"/>
            </wp:cNvGraphicFramePr>
            <a:graphic>
              <a:graphicData uri="http://schemas.openxmlformats.org/drawingml/2006/picture">
                <pic:pic>
                  <pic:nvPicPr>
                    <pic:cNvPr id="0" name="infographic_sector_2025.png"/>
                    <pic:cNvPicPr/>
                  </pic:nvPicPr>
                  <pic:blipFill>
                    <a:blip r:embed="rId9"/>
                    <a:stretch>
                      <a:fillRect/>
                    </a:stretch>
                  </pic:blipFill>
                  <pic:spPr>
                    <a:xfrm>
                      <a:off x="0" y="0"/>
                      <a:ext cx="2743200" cy="2205317"/>
                    </a:xfrm>
                    <a:prstGeom prst="rect"/>
                  </pic:spPr>
                </pic:pic>
              </a:graphicData>
            </a:graphic>
          </wp:inline>
        </w:drawing>
      </w:r>
      <w:r>
        <w:t xml:space="preserve">  </w:t>
      </w:r>
      <w:r>
        <w:drawing>
          <wp:inline xmlns:a="http://schemas.openxmlformats.org/drawingml/2006/main" xmlns:pic="http://schemas.openxmlformats.org/drawingml/2006/picture">
            <wp:extent cx="2743200" cy="2205317"/>
            <wp:docPr id="2" name="Picture 2"/>
            <wp:cNvGraphicFramePr>
              <a:graphicFrameLocks noChangeAspect="1"/>
            </wp:cNvGraphicFramePr>
            <a:graphic>
              <a:graphicData uri="http://schemas.openxmlformats.org/drawingml/2006/picture">
                <pic:pic>
                  <pic:nvPicPr>
                    <pic:cNvPr id="0" name="infographic_combined_growth.png"/>
                    <pic:cNvPicPr/>
                  </pic:nvPicPr>
                  <pic:blipFill>
                    <a:blip r:embed="rId10"/>
                    <a:stretch>
                      <a:fillRect/>
                    </a:stretch>
                  </pic:blipFill>
                  <pic:spPr>
                    <a:xfrm>
                      <a:off x="0" y="0"/>
                      <a:ext cx="2743200" cy="2205317"/>
                    </a:xfrm>
                    <a:prstGeom prst="rect"/>
                  </pic:spPr>
                </pic:pic>
              </a:graphicData>
            </a:graphic>
          </wp:inline>
        </w:drawing>
      </w:r>
    </w:p>
    <w:p>
      <w:pPr>
        <w:jc w:val="center"/>
      </w:pPr>
      <w:r>
        <w:rPr>
          <w:i/>
          <w:color w:val="808080"/>
          <w:sz w:val="16"/>
        </w:rPr>
        <w:t>Source: EDCC Data, Table 1 &amp; Table 2 | Page 2 of 3</w:t>
      </w:r>
    </w:p>
    <w:p>
      <w:r>
        <w:br w:type="page"/>
      </w:r>
    </w:p>
    <w:p>
      <w:pPr>
        <w:jc w:val="center"/>
      </w:pPr>
      <w:r>
        <w:rPr>
          <w:b/>
          <w:color w:val="1B4332"/>
          <w:sz w:val="22"/>
        </w:rPr>
        <w:t>ENERGY DEVELOPMENT &amp; CONSERVATION COUNCIL (EDCC)</w:t>
      </w:r>
    </w:p>
    <w:p>
      <w:pPr>
        <w:jc w:val="center"/>
      </w:pPr>
      <w:r>
        <w:rPr>
          <w:i/>
          <w:sz w:val="18"/>
        </w:rPr>
        <w:t>Analytical Brief | New Delhi, India</w:t>
      </w:r>
    </w:p>
    <w:p>
      <w:pPr>
        <w:spacing w:before="120" w:after="0"/>
        <w:jc w:val="center"/>
        <w:shd w:fill="1B4332"/>
      </w:pPr>
      <w:r>
        <w:rPr>
          <w:b/>
          <w:color w:val="FFFFFF"/>
          <w:sz w:val="28"/>
        </w:rPr>
        <w:t>Highest Growth Sector Analysis</w:t>
      </w:r>
    </w:p>
    <w:p>
      <w:pPr>
        <w:spacing w:before="120" w:after="0"/>
        <w:jc w:val="center"/>
        <w:shd w:fill="40916C"/>
      </w:pPr>
      <w:r>
        <w:rPr>
          <w:b/>
          <w:color w:val="FFFFFF"/>
          <w:sz w:val="22"/>
        </w:rPr>
        <w:t>Identification of Dominant Sector &amp; Key Drivers of Growth</w:t>
      </w:r>
    </w:p>
    <w:p>
      <w:pPr>
        <w:jc w:val="right"/>
      </w:pPr>
      <w:r>
        <w:rPr>
          <w:i/>
          <w:sz w:val="18"/>
        </w:rPr>
        <w:t>Prepared by: Jaya | August 2026</w:t>
      </w:r>
    </w:p>
    <w:p>
      <w:pPr>
        <w:shd w:fill="40916C"/>
      </w:pPr>
      <w:r>
        <w:rPr>
          <w:b/>
          <w:color w:val="FFFFFF"/>
          <w:sz w:val="22"/>
        </w:rPr>
        <w:t>Key Findings</w:t>
      </w:r>
    </w:p>
    <w:p>
      <w:pPr>
        <w:pStyle w:val="ListBullet"/>
        <w:ind w:left="283"/>
      </w:pPr>
      <w:r>
        <w:rPr>
          <w:sz w:val="20"/>
        </w:rPr>
        <w:t>The Industrial sector recorded the highest growth at 43.3% — more than double agriculture (18.2%) and domestic (21.9%).</w:t>
      </w:r>
    </w:p>
    <w:p>
      <w:pPr>
        <w:pStyle w:val="ListBullet"/>
        <w:ind w:left="283"/>
      </w:pPr>
      <w:r>
        <w:rPr>
          <w:sz w:val="20"/>
        </w:rPr>
        <w:t>Industrial CAGR of 12.7% is the highest among all sectors, with a peak single-year growth of 22.6% in 2022–23.</w:t>
      </w:r>
    </w:p>
    <w:p>
      <w:pPr>
        <w:pStyle w:val="ListBullet"/>
        <w:ind w:left="283"/>
      </w:pPr>
      <w:r>
        <w:rPr>
          <w:sz w:val="20"/>
        </w:rPr>
        <w:t>Industrial share of domestic consumption rose from 40.2% to 47.2%, signalling a structural shift in demand.</w:t>
      </w:r>
    </w:p>
    <w:p>
      <w:pPr>
        <w:pStyle w:val="ListBullet"/>
        <w:ind w:left="283"/>
      </w:pPr>
      <w:r>
        <w:rPr>
          <w:sz w:val="20"/>
        </w:rPr>
        <w:t>Main drivers: industrial expansion, increased agricultural irrigation, and rapid urbanisation with higher AC use.</w:t>
      </w:r>
    </w:p>
    <w:p>
      <w:pPr>
        <w:pStyle w:val="ListBullet"/>
        <w:ind w:left="283"/>
      </w:pPr>
      <w:r>
        <w:rPr>
          <w:sz w:val="20"/>
        </w:rPr>
        <w:t>All three sectors contribute to peak electricity demand alongside cooling requirements.</w:t>
      </w:r>
    </w:p>
    <w:p>
      <w:pPr>
        <w:spacing w:after="160"/>
        <w:jc w:val="both"/>
      </w:pPr>
      <w:r>
        <w:rPr>
          <w:sz w:val="21"/>
        </w:rPr>
        <w:t>After comparing consumption data across all three sectors from 2022 to 2025, the industrial sector clearly emerges as the highest-growth segment. While agriculture adds the most absolute consumption, industry is expanding at the fastest rate — a trend with significant implications for power supply planning and infrastructure development.</w:t>
      </w:r>
    </w:p>
    <w:p>
      <w:pPr>
        <w:shd w:fill="D8F3DC"/>
      </w:pPr>
      <w:r>
        <w:rPr>
          <w:b/>
          <w:color w:val="1B4332"/>
          <w:sz w:val="22"/>
        </w:rPr>
        <w:t>Comparative Growth Analysis (2022–2025)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332"/>
          </w:tcPr>
          <w:p>
            <w:pPr>
              <w:jc w:val="center"/>
            </w:pPr>
            <w:r>
              <w:rPr>
                <w:b/>
                <w:color w:val="FFFFFF"/>
                <w:sz w:val="20"/>
              </w:rPr>
              <w:t>Measure</w:t>
            </w:r>
          </w:p>
        </w:tc>
        <w:tc>
          <w:tcPr>
            <w:tcW w:type="dxa" w:w="2493"/>
            <w:shd w:fill="1B4332"/>
          </w:tcPr>
          <w:p>
            <w:pPr>
              <w:jc w:val="center"/>
            </w:pPr>
            <w:r>
              <w:rPr>
                <w:b/>
                <w:color w:val="FFFFFF"/>
                <w:sz w:val="20"/>
              </w:rPr>
              <w:t>Agriculture</w:t>
            </w:r>
          </w:p>
        </w:tc>
        <w:tc>
          <w:tcPr>
            <w:tcW w:type="dxa" w:w="2493"/>
            <w:shd w:fill="1B4332"/>
          </w:tcPr>
          <w:p>
            <w:pPr>
              <w:jc w:val="center"/>
            </w:pPr>
            <w:r>
              <w:rPr>
                <w:b/>
                <w:color w:val="FFFFFF"/>
                <w:sz w:val="20"/>
              </w:rPr>
              <w:t>Industrial</w:t>
            </w:r>
          </w:p>
        </w:tc>
        <w:tc>
          <w:tcPr>
            <w:tcW w:type="dxa" w:w="2493"/>
            <w:shd w:fill="1B4332"/>
          </w:tcPr>
          <w:p>
            <w:pPr>
              <w:jc w:val="center"/>
            </w:pPr>
            <w:r>
              <w:rPr>
                <w:b/>
                <w:color w:val="FFFFFF"/>
                <w:sz w:val="20"/>
              </w:rPr>
              <w:t>Domestic</w:t>
            </w:r>
          </w:p>
        </w:tc>
      </w:tr>
      <w:tr>
        <w:tc>
          <w:tcPr>
            <w:tcW w:type="dxa" w:w="2493"/>
          </w:tcPr>
          <w:p>
            <w:pPr>
              <w:jc w:val="center"/>
            </w:pPr>
            <w:r>
              <w:rPr>
                <w:sz w:val="20"/>
              </w:rPr>
              <w:t>2022 Consumption (BU)</w:t>
            </w:r>
          </w:p>
        </w:tc>
        <w:tc>
          <w:tcPr>
            <w:tcW w:type="dxa" w:w="2493"/>
          </w:tcPr>
          <w:p>
            <w:pPr>
              <w:jc w:val="center"/>
            </w:pPr>
            <w:r>
              <w:rPr>
                <w:sz w:val="20"/>
              </w:rPr>
              <w:t>83.30</w:t>
            </w:r>
          </w:p>
        </w:tc>
        <w:tc>
          <w:tcPr>
            <w:tcW w:type="dxa" w:w="2493"/>
          </w:tcPr>
          <w:p>
            <w:pPr>
              <w:jc w:val="center"/>
            </w:pPr>
            <w:r>
              <w:rPr>
                <w:sz w:val="20"/>
              </w:rPr>
              <w:t>23.48</w:t>
            </w:r>
          </w:p>
        </w:tc>
        <w:tc>
          <w:tcPr>
            <w:tcW w:type="dxa" w:w="2493"/>
          </w:tcPr>
          <w:p>
            <w:pPr>
              <w:jc w:val="center"/>
            </w:pPr>
            <w:r>
              <w:rPr>
                <w:sz w:val="20"/>
              </w:rPr>
              <w:t>58.44</w:t>
            </w:r>
          </w:p>
        </w:tc>
      </w:tr>
      <w:tr>
        <w:tc>
          <w:tcPr>
            <w:tcW w:type="dxa" w:w="2493"/>
            <w:shd w:fill="EDF7F0"/>
          </w:tcPr>
          <w:p>
            <w:pPr>
              <w:jc w:val="center"/>
            </w:pPr>
            <w:r>
              <w:rPr>
                <w:sz w:val="20"/>
              </w:rPr>
              <w:t>2025 Consumption (BU)</w:t>
            </w:r>
          </w:p>
        </w:tc>
        <w:tc>
          <w:tcPr>
            <w:tcW w:type="dxa" w:w="2493"/>
            <w:shd w:fill="EDF7F0"/>
          </w:tcPr>
          <w:p>
            <w:pPr>
              <w:jc w:val="center"/>
            </w:pPr>
            <w:r>
              <w:rPr>
                <w:sz w:val="20"/>
              </w:rPr>
              <w:t>98.45</w:t>
            </w:r>
          </w:p>
        </w:tc>
        <w:tc>
          <w:tcPr>
            <w:tcW w:type="dxa" w:w="2493"/>
            <w:shd w:fill="EDF7F0"/>
          </w:tcPr>
          <w:p>
            <w:pPr>
              <w:jc w:val="center"/>
            </w:pPr>
            <w:r>
              <w:rPr>
                <w:sz w:val="20"/>
              </w:rPr>
              <w:t>33.65</w:t>
            </w:r>
          </w:p>
        </w:tc>
        <w:tc>
          <w:tcPr>
            <w:tcW w:type="dxa" w:w="2493"/>
            <w:shd w:fill="EDF7F0"/>
          </w:tcPr>
          <w:p>
            <w:pPr>
              <w:jc w:val="center"/>
            </w:pPr>
            <w:r>
              <w:rPr>
                <w:sz w:val="20"/>
              </w:rPr>
              <w:t>71.25</w:t>
            </w:r>
          </w:p>
        </w:tc>
      </w:tr>
      <w:tr>
        <w:tc>
          <w:tcPr>
            <w:tcW w:type="dxa" w:w="2493"/>
          </w:tcPr>
          <w:p>
            <w:pPr>
              <w:jc w:val="center"/>
            </w:pPr>
            <w:r>
              <w:rPr>
                <w:sz w:val="20"/>
              </w:rPr>
              <w:t>Absolute Growth (BU)</w:t>
            </w:r>
          </w:p>
        </w:tc>
        <w:tc>
          <w:tcPr>
            <w:tcW w:type="dxa" w:w="2493"/>
          </w:tcPr>
          <w:p>
            <w:pPr>
              <w:jc w:val="center"/>
            </w:pPr>
            <w:r>
              <w:rPr>
                <w:sz w:val="20"/>
              </w:rPr>
              <w:t>+15.15</w:t>
            </w:r>
          </w:p>
        </w:tc>
        <w:tc>
          <w:tcPr>
            <w:tcW w:type="dxa" w:w="2493"/>
          </w:tcPr>
          <w:p>
            <w:pPr>
              <w:jc w:val="center"/>
            </w:pPr>
            <w:r>
              <w:rPr>
                <w:sz w:val="20"/>
              </w:rPr>
              <w:t>+10.17</w:t>
            </w:r>
          </w:p>
        </w:tc>
        <w:tc>
          <w:tcPr>
            <w:tcW w:type="dxa" w:w="2493"/>
          </w:tcPr>
          <w:p>
            <w:pPr>
              <w:jc w:val="center"/>
            </w:pPr>
            <w:r>
              <w:rPr>
                <w:sz w:val="20"/>
              </w:rPr>
              <w:t>+12.81</w:t>
            </w:r>
          </w:p>
        </w:tc>
      </w:tr>
      <w:tr>
        <w:tc>
          <w:tcPr>
            <w:tcW w:type="dxa" w:w="2493"/>
            <w:shd w:fill="EDF7F0"/>
          </w:tcPr>
          <w:p>
            <w:pPr>
              <w:jc w:val="center"/>
            </w:pPr>
            <w:r>
              <w:rPr>
                <w:sz w:val="20"/>
              </w:rPr>
              <w:t>Percentage Growth</w:t>
            </w:r>
          </w:p>
        </w:tc>
        <w:tc>
          <w:tcPr>
            <w:tcW w:type="dxa" w:w="2493"/>
            <w:shd w:fill="EDF7F0"/>
          </w:tcPr>
          <w:p>
            <w:pPr>
              <w:jc w:val="center"/>
            </w:pPr>
            <w:r>
              <w:rPr>
                <w:sz w:val="20"/>
              </w:rPr>
              <w:t>18.2%</w:t>
            </w:r>
          </w:p>
        </w:tc>
        <w:tc>
          <w:tcPr>
            <w:tcW w:type="dxa" w:w="2493"/>
            <w:shd w:fill="EDF7F0"/>
          </w:tcPr>
          <w:p>
            <w:pPr>
              <w:jc w:val="center"/>
            </w:pPr>
            <w:r>
              <w:rPr>
                <w:sz w:val="20"/>
              </w:rPr>
              <w:t>43.3%</w:t>
            </w:r>
          </w:p>
        </w:tc>
        <w:tc>
          <w:tcPr>
            <w:tcW w:type="dxa" w:w="2493"/>
            <w:shd w:fill="EDF7F0"/>
          </w:tcPr>
          <w:p>
            <w:pPr>
              <w:jc w:val="center"/>
            </w:pPr>
            <w:r>
              <w:rPr>
                <w:sz w:val="20"/>
              </w:rPr>
              <w:t>21.9%</w:t>
            </w:r>
          </w:p>
        </w:tc>
      </w:tr>
      <w:tr>
        <w:tc>
          <w:tcPr>
            <w:tcW w:type="dxa" w:w="2493"/>
          </w:tcPr>
          <w:p>
            <w:pPr>
              <w:jc w:val="center"/>
            </w:pPr>
            <w:r>
              <w:rPr>
                <w:sz w:val="20"/>
              </w:rPr>
              <w:t>CAGR</w:t>
            </w:r>
          </w:p>
        </w:tc>
        <w:tc>
          <w:tcPr>
            <w:tcW w:type="dxa" w:w="2493"/>
          </w:tcPr>
          <w:p>
            <w:pPr>
              <w:jc w:val="center"/>
            </w:pPr>
            <w:r>
              <w:rPr>
                <w:sz w:val="20"/>
              </w:rPr>
              <w:t>5.8%</w:t>
            </w:r>
          </w:p>
        </w:tc>
        <w:tc>
          <w:tcPr>
            <w:tcW w:type="dxa" w:w="2493"/>
          </w:tcPr>
          <w:p>
            <w:pPr>
              <w:jc w:val="center"/>
            </w:pPr>
            <w:r>
              <w:rPr>
                <w:sz w:val="20"/>
              </w:rPr>
              <w:t>12.7%</w:t>
            </w:r>
          </w:p>
        </w:tc>
        <w:tc>
          <w:tcPr>
            <w:tcW w:type="dxa" w:w="2493"/>
          </w:tcPr>
          <w:p>
            <w:pPr>
              <w:jc w:val="center"/>
            </w:pPr>
            <w:r>
              <w:rPr>
                <w:sz w:val="20"/>
              </w:rPr>
              <w:t>6.7%</w:t>
            </w:r>
          </w:p>
        </w:tc>
      </w:tr>
      <w:tr>
        <w:tc>
          <w:tcPr>
            <w:tcW w:type="dxa" w:w="2493"/>
            <w:shd w:fill="EDF7F0"/>
          </w:tcPr>
          <w:p>
            <w:pPr>
              <w:jc w:val="center"/>
            </w:pPr>
            <w:r>
              <w:rPr>
                <w:sz w:val="20"/>
              </w:rPr>
              <w:t>Best Single Year</w:t>
            </w:r>
          </w:p>
        </w:tc>
        <w:tc>
          <w:tcPr>
            <w:tcW w:type="dxa" w:w="2493"/>
            <w:shd w:fill="EDF7F0"/>
          </w:tcPr>
          <w:p>
            <w:pPr>
              <w:jc w:val="center"/>
            </w:pPr>
            <w:r>
              <w:rPr>
                <w:sz w:val="20"/>
              </w:rPr>
              <w:t>6.8%</w:t>
            </w:r>
          </w:p>
        </w:tc>
        <w:tc>
          <w:tcPr>
            <w:tcW w:type="dxa" w:w="2493"/>
            <w:shd w:fill="EDF7F0"/>
          </w:tcPr>
          <w:p>
            <w:pPr>
              <w:jc w:val="center"/>
            </w:pPr>
            <w:r>
              <w:rPr>
                <w:sz w:val="20"/>
              </w:rPr>
              <w:t>22.6%</w:t>
            </w:r>
          </w:p>
        </w:tc>
        <w:tc>
          <w:tcPr>
            <w:tcW w:type="dxa" w:w="2493"/>
            <w:shd w:fill="EDF7F0"/>
          </w:tcPr>
          <w:p>
            <w:pPr>
              <w:jc w:val="center"/>
            </w:pPr>
            <w:r>
              <w:rPr>
                <w:sz w:val="20"/>
              </w:rPr>
              <w:t>9.9%</w:t>
            </w:r>
          </w:p>
        </w:tc>
      </w:tr>
    </w:tbl>
    <w:p/>
    <w:p>
      <w:pPr>
        <w:jc w:val="center"/>
      </w:pPr>
      <w:r>
        <w:drawing>
          <wp:inline xmlns:a="http://schemas.openxmlformats.org/drawingml/2006/main" xmlns:pic="http://schemas.openxmlformats.org/drawingml/2006/picture">
            <wp:extent cx="2743200" cy="2205317"/>
            <wp:docPr id="3" name="Picture 3"/>
            <wp:cNvGraphicFramePr>
              <a:graphicFrameLocks noChangeAspect="1"/>
            </wp:cNvGraphicFramePr>
            <a:graphic>
              <a:graphicData uri="http://schemas.openxmlformats.org/drawingml/2006/picture">
                <pic:pic>
                  <pic:nvPicPr>
                    <pic:cNvPr id="0" name="infographic_growth_rates.png"/>
                    <pic:cNvPicPr/>
                  </pic:nvPicPr>
                  <pic:blipFill>
                    <a:blip r:embed="rId11"/>
                    <a:stretch>
                      <a:fillRect/>
                    </a:stretch>
                  </pic:blipFill>
                  <pic:spPr>
                    <a:xfrm>
                      <a:off x="0" y="0"/>
                      <a:ext cx="2743200" cy="2205317"/>
                    </a:xfrm>
                    <a:prstGeom prst="rect"/>
                  </pic:spPr>
                </pic:pic>
              </a:graphicData>
            </a:graphic>
          </wp:inline>
        </w:drawing>
      </w:r>
      <w:r>
        <w:t xml:space="preserve">  </w:t>
      </w:r>
      <w:r>
        <w:drawing>
          <wp:inline xmlns:a="http://schemas.openxmlformats.org/drawingml/2006/main" xmlns:pic="http://schemas.openxmlformats.org/drawingml/2006/picture">
            <wp:extent cx="2743200" cy="2205317"/>
            <wp:docPr id="4" name="Picture 4"/>
            <wp:cNvGraphicFramePr>
              <a:graphicFrameLocks noChangeAspect="1"/>
            </wp:cNvGraphicFramePr>
            <a:graphic>
              <a:graphicData uri="http://schemas.openxmlformats.org/drawingml/2006/picture">
                <pic:pic>
                  <pic:nvPicPr>
                    <pic:cNvPr id="0" name="infographic_industrial_rise.png"/>
                    <pic:cNvPicPr/>
                  </pic:nvPicPr>
                  <pic:blipFill>
                    <a:blip r:embed="rId12"/>
                    <a:stretch>
                      <a:fillRect/>
                    </a:stretch>
                  </pic:blipFill>
                  <pic:spPr>
                    <a:xfrm>
                      <a:off x="0" y="0"/>
                      <a:ext cx="2743200" cy="2205317"/>
                    </a:xfrm>
                    <a:prstGeom prst="rect"/>
                  </pic:spPr>
                </pic:pic>
              </a:graphicData>
            </a:graphic>
          </wp:inline>
        </w:drawing>
      </w:r>
    </w:p>
    <w:p>
      <w:pPr>
        <w:shd w:fill="D8F3DC"/>
      </w:pPr>
      <w:r>
        <w:rPr>
          <w:b/>
          <w:color w:val="1B4332"/>
          <w:sz w:val="22"/>
        </w:rPr>
        <w:t>Key Drivers of Sectoral Growth</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B4332"/>
          </w:tcPr>
          <w:p>
            <w:pPr>
              <w:jc w:val="center"/>
            </w:pPr>
            <w:r>
              <w:rPr>
                <w:b/>
                <w:color w:val="FFFFFF"/>
                <w:sz w:val="20"/>
              </w:rPr>
              <w:t>Sector</w:t>
            </w:r>
          </w:p>
        </w:tc>
        <w:tc>
          <w:tcPr>
            <w:tcW w:type="dxa" w:w="3324"/>
            <w:shd w:fill="1B4332"/>
          </w:tcPr>
          <w:p>
            <w:pPr>
              <w:jc w:val="center"/>
            </w:pPr>
            <w:r>
              <w:rPr>
                <w:b/>
                <w:color w:val="FFFFFF"/>
                <w:sz w:val="20"/>
              </w:rPr>
              <w:t>Growth</w:t>
            </w:r>
          </w:p>
        </w:tc>
        <w:tc>
          <w:tcPr>
            <w:tcW w:type="dxa" w:w="3324"/>
            <w:shd w:fill="1B4332"/>
          </w:tcPr>
          <w:p>
            <w:pPr>
              <w:jc w:val="center"/>
            </w:pPr>
            <w:r>
              <w:rPr>
                <w:b/>
                <w:color w:val="FFFFFF"/>
                <w:sz w:val="20"/>
              </w:rPr>
              <w:t>Main Drivers</w:t>
            </w:r>
          </w:p>
        </w:tc>
      </w:tr>
      <w:tr>
        <w:tc>
          <w:tcPr>
            <w:tcW w:type="dxa" w:w="3324"/>
          </w:tcPr>
          <w:p>
            <w:pPr>
              <w:jc w:val="center"/>
            </w:pPr>
            <w:r>
              <w:rPr>
                <w:sz w:val="20"/>
              </w:rPr>
              <w:t>Industrial</w:t>
            </w:r>
          </w:p>
        </w:tc>
        <w:tc>
          <w:tcPr>
            <w:tcW w:type="dxa" w:w="3324"/>
          </w:tcPr>
          <w:p>
            <w:pPr>
              <w:jc w:val="center"/>
            </w:pPr>
            <w:r>
              <w:rPr>
                <w:sz w:val="20"/>
              </w:rPr>
              <w:t>43.3%</w:t>
            </w:r>
          </w:p>
        </w:tc>
        <w:tc>
          <w:tcPr>
            <w:tcW w:type="dxa" w:w="3324"/>
          </w:tcPr>
          <w:p>
            <w:pPr>
              <w:jc w:val="center"/>
            </w:pPr>
            <w:r>
              <w:rPr>
                <w:sz w:val="20"/>
              </w:rPr>
              <w:t>Industrial expansion; continuous peak demand pressure; 22.6% surge in 2022–23</w:t>
            </w:r>
          </w:p>
        </w:tc>
      </w:tr>
      <w:tr>
        <w:tc>
          <w:tcPr>
            <w:tcW w:type="dxa" w:w="3324"/>
            <w:shd w:fill="EDF7F0"/>
          </w:tcPr>
          <w:p>
            <w:pPr>
              <w:jc w:val="center"/>
            </w:pPr>
            <w:r>
              <w:rPr>
                <w:sz w:val="20"/>
              </w:rPr>
              <w:t>Agriculture</w:t>
            </w:r>
          </w:p>
        </w:tc>
        <w:tc>
          <w:tcPr>
            <w:tcW w:type="dxa" w:w="3324"/>
            <w:shd w:fill="EDF7F0"/>
          </w:tcPr>
          <w:p>
            <w:pPr>
              <w:jc w:val="center"/>
            </w:pPr>
            <w:r>
              <w:rPr>
                <w:sz w:val="20"/>
              </w:rPr>
              <w:t>18.2%</w:t>
            </w:r>
          </w:p>
        </w:tc>
        <w:tc>
          <w:tcPr>
            <w:tcW w:type="dxa" w:w="3324"/>
            <w:shd w:fill="EDF7F0"/>
          </w:tcPr>
          <w:p>
            <w:pPr>
              <w:jc w:val="center"/>
            </w:pPr>
            <w:r>
              <w:rPr>
                <w:sz w:val="20"/>
              </w:rPr>
              <w:t>Increased agricultural irrigation; largest consumption base; seasonal peak load</w:t>
            </w:r>
          </w:p>
        </w:tc>
      </w:tr>
      <w:tr>
        <w:tc>
          <w:tcPr>
            <w:tcW w:type="dxa" w:w="3324"/>
          </w:tcPr>
          <w:p>
            <w:pPr>
              <w:jc w:val="center"/>
            </w:pPr>
            <w:r>
              <w:rPr>
                <w:sz w:val="20"/>
              </w:rPr>
              <w:t>Domestic</w:t>
            </w:r>
          </w:p>
        </w:tc>
        <w:tc>
          <w:tcPr>
            <w:tcW w:type="dxa" w:w="3324"/>
          </w:tcPr>
          <w:p>
            <w:pPr>
              <w:jc w:val="center"/>
            </w:pPr>
            <w:r>
              <w:rPr>
                <w:sz w:val="20"/>
              </w:rPr>
              <w:t>21.9%</w:t>
            </w:r>
          </w:p>
        </w:tc>
        <w:tc>
          <w:tcPr>
            <w:tcW w:type="dxa" w:w="3324"/>
          </w:tcPr>
          <w:p>
            <w:pPr>
              <w:jc w:val="center"/>
            </w:pPr>
            <w:r>
              <w:rPr>
                <w:sz w:val="20"/>
              </w:rPr>
              <w:t>Rapid urbanisation; higher use of air conditioners; steady 5–10% growth</w:t>
            </w:r>
          </w:p>
        </w:tc>
      </w:tr>
    </w:tbl>
    <w:p/>
    <w:p>
      <w:pPr>
        <w:jc w:val="center"/>
      </w:pPr>
      <w:r>
        <w:drawing>
          <wp:inline xmlns:a="http://schemas.openxmlformats.org/drawingml/2006/main" xmlns:pic="http://schemas.openxmlformats.org/drawingml/2006/picture">
            <wp:extent cx="2743200" cy="2228683"/>
            <wp:docPr id="5" name="Picture 5"/>
            <wp:cNvGraphicFramePr>
              <a:graphicFrameLocks noChangeAspect="1"/>
            </wp:cNvGraphicFramePr>
            <a:graphic>
              <a:graphicData uri="http://schemas.openxmlformats.org/drawingml/2006/picture">
                <pic:pic>
                  <pic:nvPicPr>
                    <pic:cNvPr id="0" name="infographic_sector_trend.png"/>
                    <pic:cNvPicPr/>
                  </pic:nvPicPr>
                  <pic:blipFill>
                    <a:blip r:embed="rId13"/>
                    <a:stretch>
                      <a:fillRect/>
                    </a:stretch>
                  </pic:blipFill>
                  <pic:spPr>
                    <a:xfrm>
                      <a:off x="0" y="0"/>
                      <a:ext cx="2743200" cy="2228683"/>
                    </a:xfrm>
                    <a:prstGeom prst="rect"/>
                  </pic:spPr>
                </pic:pic>
              </a:graphicData>
            </a:graphic>
          </wp:inline>
        </w:drawing>
      </w:r>
      <w:r>
        <w:t xml:space="preserve">  </w:t>
      </w:r>
      <w:r>
        <w:drawing>
          <wp:inline xmlns:a="http://schemas.openxmlformats.org/drawingml/2006/main" xmlns:pic="http://schemas.openxmlformats.org/drawingml/2006/picture">
            <wp:extent cx="2743200" cy="2205317"/>
            <wp:docPr id="6" name="Picture 6"/>
            <wp:cNvGraphicFramePr>
              <a:graphicFrameLocks noChangeAspect="1"/>
            </wp:cNvGraphicFramePr>
            <a:graphic>
              <a:graphicData uri="http://schemas.openxmlformats.org/drawingml/2006/picture">
                <pic:pic>
                  <pic:nvPicPr>
                    <pic:cNvPr id="0" name="infographic_demand_growth.png"/>
                    <pic:cNvPicPr/>
                  </pic:nvPicPr>
                  <pic:blipFill>
                    <a:blip r:embed="rId14"/>
                    <a:stretch>
                      <a:fillRect/>
                    </a:stretch>
                  </pic:blipFill>
                  <pic:spPr>
                    <a:xfrm>
                      <a:off x="0" y="0"/>
                      <a:ext cx="2743200" cy="2205317"/>
                    </a:xfrm>
                    <a:prstGeom prst="rect"/>
                  </pic:spPr>
                </pic:pic>
              </a:graphicData>
            </a:graphic>
          </wp:inline>
        </w:drawing>
      </w:r>
    </w:p>
    <w:p>
      <w:pPr>
        <w:shd w:fill="1B4332"/>
      </w:pPr>
      <w:r>
        <w:rPr>
          <w:b/>
          <w:color w:val="FFD166"/>
          <w:sz w:val="20"/>
        </w:rPr>
        <w:t xml:space="preserve">Conclusion: </w:t>
      </w:r>
      <w:r>
        <w:rPr>
          <w:color w:val="FFFFFF"/>
          <w:sz w:val="20"/>
        </w:rPr>
        <w:t>Electricity consumption rose in every sector every year from 2022 to 2025. Combined consumption grew 23.1% (165.22 → 203.35 BU). Agriculture remains the largest consumer (98.45 BU), but the industrial sector recorded the highest growth at 43.3%. These findings confirm the need for effective energy planning and sustainable electricity management as highlighted by the Chairman of the Council.</w:t>
      </w:r>
    </w:p>
    <w:p>
      <w:pPr>
        <w:jc w:val="center"/>
      </w:pPr>
      <w:r>
        <w:rPr>
          <w:i/>
          <w:color w:val="808080"/>
          <w:sz w:val="16"/>
        </w:rPr>
        <w:t>Source: EDCC Data, Tables 1 &amp; 2 | Additional Information | Page 3 of 3</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