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4E79"/>
          <w:sz w:val="44"/>
          <w:szCs w:val="44"/>
        </w:rPr>
        <w:t xml:space="preserve">Telangana PDS Analytics</w:t>
      </w:r>
    </w:p>
    <w:p>
      <w:pPr>
        <w:spacing w:after="60"/>
        <w:jc w:val="center"/>
      </w:pPr>
      <w:r>
        <w:rPr>
          <w:color w:val="444444"/>
          <w:sz w:val="28"/>
          <w:szCs w:val="28"/>
        </w:rPr>
        <w:t xml:space="preserve">Multi-Dimensional Shop Performance Clustering &amp; Anomaly Profiling</w:t>
      </w:r>
    </w:p>
    <w:p>
      <w:pPr>
        <w:spacing w:after="800"/>
        <w:jc w:val="center"/>
      </w:pPr>
      <w:r>
        <w:rPr>
          <w:i/>
          <w:iCs/>
          <w:color w:val="666666"/>
          <w:sz w:val="24"/>
          <w:szCs w:val="24"/>
        </w:rPr>
        <w:t xml:space="preserve">Final Project Report</w:t>
      </w:r>
    </w:p>
    <w:p>
      <w:pPr>
        <w:spacing w:after="2200"/>
        <w:jc w:val="center"/>
      </w:pPr>
      <w:r>
        <w:rPr>
          <w:sz w:val="20"/>
          <w:szCs w:val="20"/>
        </w:rPr>
        <w:t xml:space="preserve">Domain: Public Distribution System (PDS) &amp; Supply Chain Logistics</w:t>
      </w:r>
    </w:p>
    <w:p>
      <w:pPr>
        <w:spacing w:after="80"/>
        <w:jc w:val="center"/>
      </w:pPr>
      <w:r>
        <w:rPr>
          <w:sz w:val="20"/>
          <w:szCs w:val="20"/>
        </w:rPr>
        <w:t xml:space="preserve">Prepared for: GUVI–HCL Capstone Evaluation</w:t>
      </w:r>
    </w:p>
    <w:p>
      <w:pPr>
        <w:spacing w:after="80"/>
        <w:jc w:val="center"/>
      </w:pPr>
      <w:r>
        <w:rPr>
          <w:sz w:val="20"/>
          <w:szCs w:val="20"/>
        </w:rPr>
        <w:t xml:space="preserve">Techniques used: PCA · K-Means · DBSCAN · Streamlit · Folium</w:t>
      </w:r>
    </w:p>
    <w:p>
      <w:pPr>
        <w:jc w:val="center"/>
      </w:pPr>
      <w:r>
        <w:rPr>
          <w:sz w:val="20"/>
          <w:szCs w:val="20"/>
        </w:rPr>
        <w:t xml:space="preserve">Data source: Telangana Open Data Portal (2023–2025 transactions, 2022 card status, FPS locations)</w:t>
      </w:r>
    </w:p>
    <w:p>
      <w:pPr>
        <w:pageBreakBefore/>
      </w:pPr>
      <w:r>
        <w:br/>
        <w:t xml:space="preserve"/>
      </w:r>
    </w:p>
    <w:p>
      <w:pPr>
        <w:pStyle w:val="Heading1"/>
        <w:spacing w:after="160" w:before="320"/>
      </w:pPr>
      <w:r>
        <w:t xml:space="preserve">1. Executive Summary</w:t>
      </w:r>
    </w:p>
    <w:p>
      <w:pPr>
        <w:spacing w:after="160"/>
      </w:pPr>
      <w:r>
        <w:t xml:space="preserve">This project analyzed roughly 17,000 active Fair Price Shops (FPS) across Telangana, integrating 2023–2025 monthly transaction records with 2022 card-entitlement data and FPS geolocation data. The goal was to segment shops into behavioral personas and flag shops whose activity patterns deviate from their peers, supporting three business use cases: policy impact analysis (ONORC portability), fraud prevention, and logistics optimization.</w:t>
      </w:r>
    </w:p>
    <w:p>
      <w:pPr>
        <w:spacing w:after="160"/>
      </w:pPr>
      <w:r>
        <w:t xml:space="preserve">K-Means clustering (k=4, selected via silhouette analysis) identified four distinct shop personas, ranging from stable low-volume rural shops to high-traffic urban portability hubs. DBSCAN density-based clustering separately flagged 528 shops (3.1% of the active shop base) as behavioral outliers — split between shops with erratic, high-portability activity, and a smaller set of shops transacting several times beyond their 2022 entitlement baseline, which merit direct audit.</w:t>
      </w:r>
    </w:p>
    <w:p>
      <w:pPr>
        <w:pStyle w:val="Heading1"/>
        <w:spacing w:after="160" w:before="320"/>
      </w:pPr>
      <w:r>
        <w:t xml:space="preserve">2. Methodology</w:t>
      </w:r>
    </w:p>
    <w:p>
      <w:pPr>
        <w:pStyle w:val="Heading2"/>
        <w:spacing w:after="120" w:before="240"/>
      </w:pPr>
      <w:r>
        <w:t xml:space="preserve">2.1 Data Integration</w:t>
      </w:r>
    </w:p>
    <w:p>
      <w:pPr>
        <w:spacing w:after="160"/>
      </w:pPr>
      <w:r>
        <w:t xml:space="preserve">Three datasets were consolidated:</w:t>
      </w:r>
    </w:p>
    <w:p>
      <w:pPr>
        <w:pStyle w:val="ListParagraph"/>
        <w:numPr>
          <w:ilvl w:val="0"/>
          <w:numId w:val="2"/>
        </w:numPr>
        <w:spacing w:after="80"/>
      </w:pPr>
      <w:r>
        <w:t xml:space="preserve">Transactions: monthly shop-wise commodity and portability records, 2023–2025 (Telangana Open Data Portal, multiple files per year).</w:t>
      </w:r>
    </w:p>
    <w:p>
      <w:pPr>
        <w:pStyle w:val="ListParagraph"/>
        <w:numPr>
          <w:ilvl w:val="0"/>
          <w:numId w:val="2"/>
        </w:numPr>
        <w:spacing w:after="80"/>
      </w:pPr>
      <w:r>
        <w:t xml:space="preserve">Card Status: a single entitlement snapshot dated October 2022, giving total ration cards (totalRcs) and units per shop.</w:t>
      </w:r>
    </w:p>
    <w:p>
      <w:pPr>
        <w:pStyle w:val="ListParagraph"/>
        <w:numPr>
          <w:ilvl w:val="0"/>
          <w:numId w:val="2"/>
        </w:numPr>
        <w:spacing w:after="80"/>
      </w:pPr>
      <w:r>
        <w:t xml:space="preserve">FPS Locations: shop coordinates, active/inactive status, and shop type.</w:t>
      </w:r>
    </w:p>
    <w:p>
      <w:pPr>
        <w:spacing w:after="160"/>
      </w:pPr>
      <w:r>
        <w:t xml:space="preserve">All three were joined on shopNo. Because the card-status snapshot has no year/month overlap with the 2023–2025 transaction records, it was treated as a static entitlement baseline per shop rather than a monthly time series. This is a deliberate modeling choice discussed further in Section 5 (Limitations).</w:t>
      </w:r>
    </w:p>
    <w:p>
      <w:pPr>
        <w:pStyle w:val="Heading2"/>
        <w:spacing w:after="120" w:before="240"/>
      </w:pPr>
      <w:r>
        <w:t xml:space="preserve">2.2 Feature Engineering</w:t>
      </w:r>
    </w:p>
    <w:p>
      <w:pPr>
        <w:spacing w:after="160"/>
      </w:pPr>
      <w:r>
        <w:t xml:space="preserve">Six shop-level features were engineered from the consolidated dataset:</w:t>
      </w:r>
    </w:p>
    <w:p>
      <w:pPr>
        <w:pStyle w:val="ListParagraph"/>
        <w:numPr>
          <w:ilvl w:val="0"/>
          <w:numId w:val="2"/>
        </w:numPr>
        <w:spacing w:after="80"/>
      </w:pPr>
      <w:r>
        <w:t xml:space="preserve">Utilization Ratio — average monthly transactions relative to 2022 entitled cards.</w:t>
      </w:r>
    </w:p>
    <w:p>
      <w:pPr>
        <w:pStyle w:val="ListParagraph"/>
        <w:numPr>
          <w:ilvl w:val="0"/>
          <w:numId w:val="2"/>
        </w:numPr>
        <w:spacing w:after="80"/>
      </w:pPr>
      <w:r>
        <w:t xml:space="preserve">Rice Dependency — share of total commodity volume made up of rice (all three rice sub-schemes combined).</w:t>
      </w:r>
    </w:p>
    <w:p>
      <w:pPr>
        <w:pStyle w:val="ListParagraph"/>
        <w:numPr>
          <w:ilvl w:val="0"/>
          <w:numId w:val="2"/>
        </w:numPr>
        <w:spacing w:after="80"/>
      </w:pPr>
      <w:r>
        <w:t xml:space="preserve">Portability Ratio — share of transactions coming from non-local (ONORC) beneficiaries.</w:t>
      </w:r>
    </w:p>
    <w:p>
      <w:pPr>
        <w:pStyle w:val="ListParagraph"/>
        <w:numPr>
          <w:ilvl w:val="0"/>
          <w:numId w:val="2"/>
        </w:numPr>
        <w:spacing w:after="80"/>
      </w:pPr>
      <w:r>
        <w:t xml:space="preserve">Volatility (CV) — coefficient of variation of monthly transaction volume, capturing erratic behavior.</w:t>
      </w:r>
    </w:p>
    <w:p>
      <w:pPr>
        <w:pStyle w:val="ListParagraph"/>
        <w:numPr>
          <w:ilvl w:val="0"/>
          <w:numId w:val="2"/>
        </w:numPr>
        <w:spacing w:after="80"/>
      </w:pPr>
      <w:r>
        <w:t xml:space="preserve">Average Monthly Transactions — overall shop activity level.</w:t>
      </w:r>
    </w:p>
    <w:p>
      <w:pPr>
        <w:pStyle w:val="ListParagraph"/>
        <w:numPr>
          <w:ilvl w:val="0"/>
          <w:numId w:val="2"/>
        </w:numPr>
        <w:spacing w:after="80"/>
      </w:pPr>
      <w:r>
        <w:t xml:space="preserve">Total Entitled Cards (totalRcs) — shop size proxy.</w:t>
      </w:r>
    </w:p>
    <w:p>
      <w:pPr>
        <w:spacing w:after="160"/>
      </w:pPr>
      <w:r>
        <w:t xml:space="preserve">All features were standardized (StandardScaler) prior to clustering, as required for distance-based algorithms. Two candidate features were discarded during EDA: a raw rice-to-wheat ratio produced extreme, uninterpretable values because most shops distribute near-zero wheat, so it was replaced with the bounded Rice Dependency measure above.</w:t>
      </w:r>
    </w:p>
    <w:p>
      <w:pPr>
        <w:pStyle w:val="Heading2"/>
        <w:spacing w:after="120" w:before="240"/>
      </w:pPr>
      <w:r>
        <w:t xml:space="preserve">2.3 Clustering Approach</w:t>
      </w:r>
    </w:p>
    <w:p>
      <w:pPr>
        <w:spacing w:after="160"/>
      </w:pPr>
      <w:r>
        <w:t xml:space="preserve">K-Means was evaluated for k = 2 through 8 using the elbow method and silhouette score. While k=2 produced the highest silhouette score (0.565), it collapsed the shop base into only two broad groups and did not satisfy the project's requirement for 4–5 interpretable behavioral personas. k=4 was selected as the best balance between statistical separation (silhouette = 0.356, the highest among k≥3) and business interpretability.</w:t>
      </w:r>
    </w:p>
    <w:p>
      <w:pPr>
        <w:spacing w:after="160"/>
      </w:pPr>
      <w:r>
        <w:t xml:space="preserve">DBSCAN was run separately on the same scaled feature space (eps=0.85, min_samples=5, chosen via a k-distance plot) to identify individual anomalous shops — points that do not fit cleanly into any density-based neighborhood, regardless of their K-Means cluster assignment.</w:t>
      </w:r>
    </w:p>
    <w:p>
      <w:pPr>
        <w:pStyle w:val="Heading1"/>
        <w:spacing w:after="160" w:before="320"/>
      </w:pPr>
      <w:r>
        <w:t xml:space="preserve">3. Cluster Profiles</w:t>
      </w:r>
    </w:p>
    <w:p>
      <w:pPr>
        <w:spacing w:after="160"/>
      </w:pPr>
      <w:r>
        <w:t xml:space="preserve">K-Means (k=4) produced the following four shop personas, named from their mean feature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1600"/>
        <w:gridCol w:w="1600"/>
        <w:gridCol w:w="1600"/>
      </w:tblGrid>
      <w:tr>
        <w:trPr>
          <w:tblHeader/>
        </w:trPr>
        <w:tc>
          <w:tcPr>
            <w:tcW w:type="dxa" w:w="900"/>
            <w:shd w:fill="1F4E79" w:val="clear"/>
            <w:tcMar>
              <w:top w:type="dxa" w:w="80"/>
              <w:left w:type="dxa" w:w="120"/>
              <w:bottom w:type="dxa" w:w="80"/>
              <w:right w:type="dxa" w:w="120"/>
            </w:tcMar>
          </w:tcPr>
          <w:p>
            <w:pPr>
              <w:jc w:val="center"/>
            </w:pPr>
            <w:r>
              <w:rPr>
                <w:b/>
                <w:bCs/>
              </w:rPr>
              <w:t xml:space="preserve">Cluster</w:t>
            </w:r>
          </w:p>
        </w:tc>
        <w:tc>
          <w:tcPr>
            <w:tcW w:type="dxa" w:w="2400"/>
            <w:shd w:fill="1F4E79" w:val="clear"/>
            <w:tcMar>
              <w:top w:type="dxa" w:w="80"/>
              <w:left w:type="dxa" w:w="120"/>
              <w:bottom w:type="dxa" w:w="80"/>
              <w:right w:type="dxa" w:w="120"/>
            </w:tcMar>
          </w:tcPr>
          <w:p>
            <w:pPr>
              <w:jc w:val="left"/>
            </w:pPr>
            <w:r>
              <w:rPr>
                <w:b/>
                <w:bCs/>
              </w:rPr>
              <w:t xml:space="preserve">Persona</w:t>
            </w:r>
          </w:p>
        </w:tc>
        <w:tc>
          <w:tcPr>
            <w:tcW w:type="dxa" w:w="900"/>
            <w:shd w:fill="1F4E79" w:val="clear"/>
            <w:tcMar>
              <w:top w:type="dxa" w:w="80"/>
              <w:left w:type="dxa" w:w="120"/>
              <w:bottom w:type="dxa" w:w="80"/>
              <w:right w:type="dxa" w:w="120"/>
            </w:tcMar>
          </w:tcPr>
          <w:p>
            <w:pPr>
              <w:jc w:val="center"/>
            </w:pPr>
            <w:r>
              <w:rPr>
                <w:b/>
                <w:bCs/>
              </w:rPr>
              <w:t xml:space="preserve">Shops</w:t>
            </w:r>
          </w:p>
        </w:tc>
        <w:tc>
          <w:tcPr>
            <w:tcW w:type="dxa" w:w="1600"/>
            <w:shd w:fill="1F4E79" w:val="clear"/>
            <w:tcMar>
              <w:top w:type="dxa" w:w="80"/>
              <w:left w:type="dxa" w:w="120"/>
              <w:bottom w:type="dxa" w:w="80"/>
              <w:right w:type="dxa" w:w="120"/>
            </w:tcMar>
          </w:tcPr>
          <w:p>
            <w:pPr>
              <w:jc w:val="center"/>
            </w:pPr>
            <w:r>
              <w:rPr>
                <w:b/>
                <w:bCs/>
              </w:rPr>
              <w:t xml:space="preserve">Avg Utilization</w:t>
            </w:r>
          </w:p>
        </w:tc>
        <w:tc>
          <w:tcPr>
            <w:tcW w:type="dxa" w:w="1600"/>
            <w:shd w:fill="1F4E79" w:val="clear"/>
            <w:tcMar>
              <w:top w:type="dxa" w:w="80"/>
              <w:left w:type="dxa" w:w="120"/>
              <w:bottom w:type="dxa" w:w="80"/>
              <w:right w:type="dxa" w:w="120"/>
            </w:tcMar>
          </w:tcPr>
          <w:p>
            <w:pPr>
              <w:jc w:val="center"/>
            </w:pPr>
            <w:r>
              <w:rPr>
                <w:b/>
                <w:bCs/>
              </w:rPr>
              <w:t xml:space="preserve">Avg Portability</w:t>
            </w:r>
          </w:p>
        </w:tc>
        <w:tc>
          <w:tcPr>
            <w:tcW w:type="dxa" w:w="1600"/>
            <w:shd w:fill="1F4E79" w:val="clear"/>
            <w:tcMar>
              <w:top w:type="dxa" w:w="80"/>
              <w:left w:type="dxa" w:w="120"/>
              <w:bottom w:type="dxa" w:w="80"/>
              <w:right w:type="dxa" w:w="120"/>
            </w:tcMar>
          </w:tcPr>
          <w:p>
            <w:pPr>
              <w:jc w:val="center"/>
            </w:pPr>
            <w:r>
              <w:rPr>
                <w:b/>
                <w:bCs/>
              </w:rPr>
              <w:t xml:space="preserve">Avg Volatility</w:t>
            </w:r>
          </w:p>
        </w:tc>
      </w:tr>
      <w:tr>
        <w:tc>
          <w:tcPr>
            <w:tcW w:type="dxa" w:w="900"/>
            <w:tcMar>
              <w:top w:type="dxa" w:w="80"/>
              <w:left w:type="dxa" w:w="120"/>
              <w:bottom w:type="dxa" w:w="80"/>
              <w:right w:type="dxa" w:w="120"/>
            </w:tcMar>
          </w:tcPr>
          <w:p>
            <w:pPr>
              <w:jc w:val="center"/>
            </w:pPr>
            <w:r>
              <w:rPr>
                <w:b w:val="false"/>
                <w:bCs w:val="false"/>
              </w:rPr>
              <w:t xml:space="preserve">0</w:t>
            </w:r>
          </w:p>
        </w:tc>
        <w:tc>
          <w:tcPr>
            <w:tcW w:type="dxa" w:w="2400"/>
            <w:tcMar>
              <w:top w:type="dxa" w:w="80"/>
              <w:left w:type="dxa" w:w="120"/>
              <w:bottom w:type="dxa" w:w="80"/>
              <w:right w:type="dxa" w:w="120"/>
            </w:tcMar>
          </w:tcPr>
          <w:p>
            <w:pPr>
              <w:jc w:val="left"/>
            </w:pPr>
            <w:r>
              <w:rPr>
                <w:b w:val="false"/>
                <w:bCs w:val="false"/>
              </w:rPr>
              <w:t xml:space="preserve">Low-Volume Rural / Steady</w:t>
            </w:r>
          </w:p>
        </w:tc>
        <w:tc>
          <w:tcPr>
            <w:tcW w:type="dxa" w:w="900"/>
            <w:tcMar>
              <w:top w:type="dxa" w:w="80"/>
              <w:left w:type="dxa" w:w="120"/>
              <w:bottom w:type="dxa" w:w="80"/>
              <w:right w:type="dxa" w:w="120"/>
            </w:tcMar>
          </w:tcPr>
          <w:p>
            <w:pPr>
              <w:jc w:val="center"/>
            </w:pPr>
            <w:r>
              <w:rPr>
                <w:b w:val="false"/>
                <w:bCs w:val="false"/>
              </w:rPr>
              <w:t xml:space="preserve">10,537</w:t>
            </w:r>
          </w:p>
        </w:tc>
        <w:tc>
          <w:tcPr>
            <w:tcW w:type="dxa" w:w="1600"/>
            <w:tcMar>
              <w:top w:type="dxa" w:w="80"/>
              <w:left w:type="dxa" w:w="120"/>
              <w:bottom w:type="dxa" w:w="80"/>
              <w:right w:type="dxa" w:w="120"/>
            </w:tcMar>
          </w:tcPr>
          <w:p>
            <w:pPr>
              <w:jc w:val="center"/>
            </w:pPr>
            <w:r>
              <w:rPr>
                <w:b w:val="false"/>
                <w:bCs w:val="false"/>
              </w:rPr>
              <w:t xml:space="preserve">0.798</w:t>
            </w:r>
          </w:p>
        </w:tc>
        <w:tc>
          <w:tcPr>
            <w:tcW w:type="dxa" w:w="1600"/>
            <w:tcMar>
              <w:top w:type="dxa" w:w="80"/>
              <w:left w:type="dxa" w:w="120"/>
              <w:bottom w:type="dxa" w:w="80"/>
              <w:right w:type="dxa" w:w="120"/>
            </w:tcMar>
          </w:tcPr>
          <w:p>
            <w:pPr>
              <w:jc w:val="center"/>
            </w:pPr>
            <w:r>
              <w:rPr>
                <w:b w:val="false"/>
                <w:bCs w:val="false"/>
              </w:rPr>
              <w:t xml:space="preserve">0.128</w:t>
            </w:r>
          </w:p>
        </w:tc>
        <w:tc>
          <w:tcPr>
            <w:tcW w:type="dxa" w:w="1600"/>
            <w:tcMar>
              <w:top w:type="dxa" w:w="80"/>
              <w:left w:type="dxa" w:w="120"/>
              <w:bottom w:type="dxa" w:w="80"/>
              <w:right w:type="dxa" w:w="120"/>
            </w:tcMar>
          </w:tcPr>
          <w:p>
            <w:pPr>
              <w:jc w:val="center"/>
            </w:pPr>
            <w:r>
              <w:rPr>
                <w:b w:val="false"/>
                <w:bCs w:val="false"/>
              </w:rPr>
              <w:t xml:space="preserve">0.052</w:t>
            </w:r>
          </w:p>
        </w:tc>
      </w:tr>
      <w:tr>
        <w:tc>
          <w:tcPr>
            <w:tcW w:type="dxa" w:w="900"/>
            <w:tcMar>
              <w:top w:type="dxa" w:w="80"/>
              <w:left w:type="dxa" w:w="120"/>
              <w:bottom w:type="dxa" w:w="80"/>
              <w:right w:type="dxa" w:w="120"/>
            </w:tcMar>
          </w:tcPr>
          <w:p>
            <w:pPr>
              <w:jc w:val="center"/>
            </w:pPr>
            <w:r>
              <w:rPr>
                <w:b w:val="false"/>
                <w:bCs w:val="false"/>
              </w:rPr>
              <w:t xml:space="preserve">1</w:t>
            </w:r>
          </w:p>
        </w:tc>
        <w:tc>
          <w:tcPr>
            <w:tcW w:type="dxa" w:w="2400"/>
            <w:tcMar>
              <w:top w:type="dxa" w:w="80"/>
              <w:left w:type="dxa" w:w="120"/>
              <w:bottom w:type="dxa" w:w="80"/>
              <w:right w:type="dxa" w:w="120"/>
            </w:tcMar>
          </w:tcPr>
          <w:p>
            <w:pPr>
              <w:jc w:val="left"/>
            </w:pPr>
            <w:r>
              <w:rPr>
                <w:b w:val="false"/>
                <w:bCs w:val="false"/>
              </w:rPr>
              <w:t xml:space="preserve">Urban Portability Hub</w:t>
            </w:r>
          </w:p>
        </w:tc>
        <w:tc>
          <w:tcPr>
            <w:tcW w:type="dxa" w:w="900"/>
            <w:tcMar>
              <w:top w:type="dxa" w:w="80"/>
              <w:left w:type="dxa" w:w="120"/>
              <w:bottom w:type="dxa" w:w="80"/>
              <w:right w:type="dxa" w:w="120"/>
            </w:tcMar>
          </w:tcPr>
          <w:p>
            <w:pPr>
              <w:jc w:val="center"/>
            </w:pPr>
            <w:r>
              <w:rPr>
                <w:b w:val="false"/>
                <w:bCs w:val="false"/>
              </w:rPr>
              <w:t xml:space="preserve">1,206</w:t>
            </w:r>
          </w:p>
        </w:tc>
        <w:tc>
          <w:tcPr>
            <w:tcW w:type="dxa" w:w="1600"/>
            <w:tcMar>
              <w:top w:type="dxa" w:w="80"/>
              <w:left w:type="dxa" w:w="120"/>
              <w:bottom w:type="dxa" w:w="80"/>
              <w:right w:type="dxa" w:w="120"/>
            </w:tcMar>
          </w:tcPr>
          <w:p>
            <w:pPr>
              <w:jc w:val="center"/>
            </w:pPr>
            <w:r>
              <w:rPr>
                <w:b w:val="false"/>
                <w:bCs w:val="false"/>
              </w:rPr>
              <w:t xml:space="preserve">1.016</w:t>
            </w:r>
          </w:p>
        </w:tc>
        <w:tc>
          <w:tcPr>
            <w:tcW w:type="dxa" w:w="1600"/>
            <w:tcMar>
              <w:top w:type="dxa" w:w="80"/>
              <w:left w:type="dxa" w:w="120"/>
              <w:bottom w:type="dxa" w:w="80"/>
              <w:right w:type="dxa" w:w="120"/>
            </w:tcMar>
          </w:tcPr>
          <w:p>
            <w:pPr>
              <w:jc w:val="center"/>
            </w:pPr>
            <w:r>
              <w:rPr>
                <w:b w:val="false"/>
                <w:bCs w:val="false"/>
              </w:rPr>
              <w:t xml:space="preserve">0.766</w:t>
            </w:r>
          </w:p>
        </w:tc>
        <w:tc>
          <w:tcPr>
            <w:tcW w:type="dxa" w:w="1600"/>
            <w:tcMar>
              <w:top w:type="dxa" w:w="80"/>
              <w:left w:type="dxa" w:w="120"/>
              <w:bottom w:type="dxa" w:w="80"/>
              <w:right w:type="dxa" w:w="120"/>
            </w:tcMar>
          </w:tcPr>
          <w:p>
            <w:pPr>
              <w:jc w:val="center"/>
            </w:pPr>
            <w:r>
              <w:rPr>
                <w:b w:val="false"/>
                <w:bCs w:val="false"/>
              </w:rPr>
              <w:t xml:space="preserve">0.124</w:t>
            </w:r>
          </w:p>
        </w:tc>
      </w:tr>
      <w:tr>
        <w:tc>
          <w:tcPr>
            <w:tcW w:type="dxa" w:w="900"/>
            <w:tcMar>
              <w:top w:type="dxa" w:w="80"/>
              <w:left w:type="dxa" w:w="120"/>
              <w:bottom w:type="dxa" w:w="80"/>
              <w:right w:type="dxa" w:w="120"/>
            </w:tcMar>
          </w:tcPr>
          <w:p>
            <w:pPr>
              <w:jc w:val="center"/>
            </w:pPr>
            <w:r>
              <w:rPr>
                <w:b w:val="false"/>
                <w:bCs w:val="false"/>
              </w:rPr>
              <w:t xml:space="preserve">2</w:t>
            </w:r>
          </w:p>
        </w:tc>
        <w:tc>
          <w:tcPr>
            <w:tcW w:type="dxa" w:w="2400"/>
            <w:tcMar>
              <w:top w:type="dxa" w:w="80"/>
              <w:left w:type="dxa" w:w="120"/>
              <w:bottom w:type="dxa" w:w="80"/>
              <w:right w:type="dxa" w:w="120"/>
            </w:tcMar>
          </w:tcPr>
          <w:p>
            <w:pPr>
              <w:jc w:val="left"/>
            </w:pPr>
            <w:r>
              <w:rPr>
                <w:b w:val="false"/>
                <w:bCs w:val="false"/>
              </w:rPr>
              <w:t xml:space="preserve">Mid-Volume Semi-Urban</w:t>
            </w:r>
          </w:p>
        </w:tc>
        <w:tc>
          <w:tcPr>
            <w:tcW w:type="dxa" w:w="900"/>
            <w:tcMar>
              <w:top w:type="dxa" w:w="80"/>
              <w:left w:type="dxa" w:w="120"/>
              <w:bottom w:type="dxa" w:w="80"/>
              <w:right w:type="dxa" w:w="120"/>
            </w:tcMar>
          </w:tcPr>
          <w:p>
            <w:pPr>
              <w:jc w:val="center"/>
            </w:pPr>
            <w:r>
              <w:rPr>
                <w:b w:val="false"/>
                <w:bCs w:val="false"/>
              </w:rPr>
              <w:t xml:space="preserve">4,266</w:t>
            </w:r>
          </w:p>
        </w:tc>
        <w:tc>
          <w:tcPr>
            <w:tcW w:type="dxa" w:w="1600"/>
            <w:tcMar>
              <w:top w:type="dxa" w:w="80"/>
              <w:left w:type="dxa" w:w="120"/>
              <w:bottom w:type="dxa" w:w="80"/>
              <w:right w:type="dxa" w:w="120"/>
            </w:tcMar>
          </w:tcPr>
          <w:p>
            <w:pPr>
              <w:jc w:val="center"/>
            </w:pPr>
            <w:r>
              <w:rPr>
                <w:b w:val="false"/>
                <w:bCs w:val="false"/>
              </w:rPr>
              <w:t xml:space="preserve">0.949</w:t>
            </w:r>
          </w:p>
        </w:tc>
        <w:tc>
          <w:tcPr>
            <w:tcW w:type="dxa" w:w="1600"/>
            <w:tcMar>
              <w:top w:type="dxa" w:w="80"/>
              <w:left w:type="dxa" w:w="120"/>
              <w:bottom w:type="dxa" w:w="80"/>
              <w:right w:type="dxa" w:w="120"/>
            </w:tcMar>
          </w:tcPr>
          <w:p>
            <w:pPr>
              <w:jc w:val="center"/>
            </w:pPr>
            <w:r>
              <w:rPr>
                <w:b w:val="false"/>
                <w:bCs w:val="false"/>
              </w:rPr>
              <w:t xml:space="preserve">0.484</w:t>
            </w:r>
          </w:p>
        </w:tc>
        <w:tc>
          <w:tcPr>
            <w:tcW w:type="dxa" w:w="1600"/>
            <w:tcMar>
              <w:top w:type="dxa" w:w="80"/>
              <w:left w:type="dxa" w:w="120"/>
              <w:bottom w:type="dxa" w:w="80"/>
              <w:right w:type="dxa" w:w="120"/>
            </w:tcMar>
          </w:tcPr>
          <w:p>
            <w:pPr>
              <w:jc w:val="center"/>
            </w:pPr>
            <w:r>
              <w:rPr>
                <w:b w:val="false"/>
                <w:bCs w:val="false"/>
              </w:rPr>
              <w:t xml:space="preserve">0.073</w:t>
            </w:r>
          </w:p>
        </w:tc>
      </w:tr>
      <w:tr>
        <w:tc>
          <w:tcPr>
            <w:tcW w:type="dxa" w:w="900"/>
            <w:tcMar>
              <w:top w:type="dxa" w:w="80"/>
              <w:left w:type="dxa" w:w="120"/>
              <w:bottom w:type="dxa" w:w="80"/>
              <w:right w:type="dxa" w:w="120"/>
            </w:tcMar>
          </w:tcPr>
          <w:p>
            <w:pPr>
              <w:jc w:val="center"/>
            </w:pPr>
            <w:r>
              <w:rPr>
                <w:b w:val="false"/>
                <w:bCs w:val="false"/>
              </w:rPr>
              <w:t xml:space="preserve">3</w:t>
            </w:r>
          </w:p>
        </w:tc>
        <w:tc>
          <w:tcPr>
            <w:tcW w:type="dxa" w:w="2400"/>
            <w:tcMar>
              <w:top w:type="dxa" w:w="80"/>
              <w:left w:type="dxa" w:w="120"/>
              <w:bottom w:type="dxa" w:w="80"/>
              <w:right w:type="dxa" w:w="120"/>
            </w:tcMar>
          </w:tcPr>
          <w:p>
            <w:pPr>
              <w:jc w:val="left"/>
            </w:pPr>
            <w:r>
              <w:rPr>
                <w:b w:val="false"/>
                <w:bCs w:val="false"/>
              </w:rPr>
              <w:t xml:space="preserve">Volatile / Under-Utilized</w:t>
            </w:r>
          </w:p>
        </w:tc>
        <w:tc>
          <w:tcPr>
            <w:tcW w:type="dxa" w:w="900"/>
            <w:tcMar>
              <w:top w:type="dxa" w:w="80"/>
              <w:left w:type="dxa" w:w="120"/>
              <w:bottom w:type="dxa" w:w="80"/>
              <w:right w:type="dxa" w:w="120"/>
            </w:tcMar>
          </w:tcPr>
          <w:p>
            <w:pPr>
              <w:jc w:val="center"/>
            </w:pPr>
            <w:r>
              <w:rPr>
                <w:b w:val="false"/>
                <w:bCs w:val="false"/>
              </w:rPr>
              <w:t xml:space="preserve">894</w:t>
            </w:r>
          </w:p>
        </w:tc>
        <w:tc>
          <w:tcPr>
            <w:tcW w:type="dxa" w:w="1600"/>
            <w:tcMar>
              <w:top w:type="dxa" w:w="80"/>
              <w:left w:type="dxa" w:w="120"/>
              <w:bottom w:type="dxa" w:w="80"/>
              <w:right w:type="dxa" w:w="120"/>
            </w:tcMar>
          </w:tcPr>
          <w:p>
            <w:pPr>
              <w:jc w:val="center"/>
            </w:pPr>
            <w:r>
              <w:rPr>
                <w:b w:val="false"/>
                <w:bCs w:val="false"/>
              </w:rPr>
              <w:t xml:space="preserve">0.549</w:t>
            </w:r>
          </w:p>
        </w:tc>
        <w:tc>
          <w:tcPr>
            <w:tcW w:type="dxa" w:w="1600"/>
            <w:tcMar>
              <w:top w:type="dxa" w:w="80"/>
              <w:left w:type="dxa" w:w="120"/>
              <w:bottom w:type="dxa" w:w="80"/>
              <w:right w:type="dxa" w:w="120"/>
            </w:tcMar>
          </w:tcPr>
          <w:p>
            <w:pPr>
              <w:jc w:val="center"/>
            </w:pPr>
            <w:r>
              <w:rPr>
                <w:b w:val="false"/>
                <w:bCs w:val="false"/>
              </w:rPr>
              <w:t xml:space="preserve">0.554</w:t>
            </w:r>
          </w:p>
        </w:tc>
        <w:tc>
          <w:tcPr>
            <w:tcW w:type="dxa" w:w="1600"/>
            <w:tcMar>
              <w:top w:type="dxa" w:w="80"/>
              <w:left w:type="dxa" w:w="120"/>
              <w:bottom w:type="dxa" w:w="80"/>
              <w:right w:type="dxa" w:w="120"/>
            </w:tcMar>
          </w:tcPr>
          <w:p>
            <w:pPr>
              <w:jc w:val="center"/>
            </w:pPr>
            <w:r>
              <w:rPr>
                <w:b w:val="false"/>
                <w:bCs w:val="false"/>
              </w:rPr>
              <w:t xml:space="preserve">0.336</w:t>
            </w:r>
          </w:p>
        </w:tc>
      </w:tr>
    </w:tbl>
    <w:p>
      <w:pPr>
        <w:spacing w:after="240"/>
      </w:pPr>
    </w:p>
    <w:p>
      <w:pPr>
        <w:pStyle w:val="Heading2"/>
        <w:spacing w:after="120" w:before="240"/>
      </w:pPr>
      <w:r>
        <w:t xml:space="preserve">Cluster 0 — Low-Volume Rural / Steady (10,537 shops, 62% of active shops)</w:t>
      </w:r>
    </w:p>
    <w:p>
      <w:pPr>
        <w:spacing w:after="160"/>
      </w:pPr>
      <w:r>
        <w:t xml:space="preserve">The largest and most stable segment. Lowest average monthly volume (332 transactions), lowest volatility (0.052 — highly consistent month to month), and minimal portability activity (0.128). Concentrated in rural districts including Nalgonda, Sangareddy, and Siddipet. This is the baseline "typical" shop against which other clusters stand out.</w:t>
      </w:r>
    </w:p>
    <w:p>
      <w:pPr>
        <w:pStyle w:val="Heading2"/>
        <w:spacing w:after="120" w:before="240"/>
      </w:pPr>
      <w:r>
        <w:t xml:space="preserve">Cluster 1 — Urban Portability Hub (1,206 shops, 7%)</w:t>
      </w:r>
    </w:p>
    <w:p>
      <w:pPr>
        <w:spacing w:after="160"/>
      </w:pPr>
      <w:r>
        <w:t xml:space="preserve">The highest-traffic segment: 981 transactions/month on average and the largest entitlement base (984 cards). Defined by a portability ratio of 0.766 — three-quarters of transactions come from non-local, ONORC-enabled beneficiaries. Concentrated in Hyderabad, Medchal, and Ranga Reddy — the metro core. Utilization slightly exceeds 1.0, which is expected given these fast-growing urban areas likely added cards after the October 2022 entitlement snapshot (see Section 5).</w:t>
      </w:r>
    </w:p>
    <w:p>
      <w:pPr>
        <w:pStyle w:val="Heading2"/>
        <w:spacing w:after="120" w:before="240"/>
      </w:pPr>
      <w:r>
        <w:t xml:space="preserve">Cluster 2 — Mid-Volume Semi-Urban (4,266 shops, 25%)</w:t>
      </w:r>
    </w:p>
    <w:p>
      <w:pPr>
        <w:spacing w:after="160"/>
      </w:pPr>
      <w:r>
        <w:t xml:space="preserve">A transitional segment sitting between the rural and urban extremes on every feature — moderate volume (619/month), moderate portability (0.484). Concentrated in semi-urban centers such as Nizamabad, Sangareddy, and Khammam.</w:t>
      </w:r>
    </w:p>
    <w:p>
      <w:pPr>
        <w:pStyle w:val="Heading2"/>
        <w:spacing w:after="120" w:before="240"/>
      </w:pPr>
      <w:r>
        <w:t xml:space="preserve">Cluster 3 — Volatile / Under-Utilized (894 shops, 5%)</w:t>
      </w:r>
    </w:p>
    <w:p>
      <w:pPr>
        <w:spacing w:after="160"/>
      </w:pPr>
      <w:r>
        <w:t xml:space="preserve">The most operationally concerning cluster. Lowest utilization of any segment (0.549 — using barely half of entitled capacity) combined with the highest volatility (0.336, roughly 6x Cluster 0's) and moderately high portability (0.554). This combination — inconsistent activity plus low baseline utilization — is the strongest candidate segment for the Fraud Prevention and Logistics Optimization use cases, since replenishment planning and entitlement audits are both harder when a shop's behavior is unpredictable.</w:t>
      </w:r>
    </w:p>
    <w:p>
      <w:pPr>
        <w:pStyle w:val="Heading1"/>
        <w:spacing w:after="160" w:before="320"/>
      </w:pPr>
      <w:r>
        <w:t xml:space="preserve">4. Anomaly Detection (DBSCAN)</w:t>
      </w:r>
    </w:p>
    <w:p>
      <w:pPr>
        <w:spacing w:after="160"/>
      </w:pPr>
      <w:r>
        <w:t xml:space="preserve">DBSCAN (eps=0.85, min_samples=5) identified 528 shops (3.1% of the 16,903 active shops analyzed) as noise points — shops whose feature combination does not fit any dense neighborhood of peers. This rate falls within a healthy range for anomaly detection: high enough to be a meaningful audit list, low enough to remain actionable rather than overwhelming.</w:t>
      </w:r>
    </w:p>
    <w:p>
      <w:pPr>
        <w:pStyle w:val="Heading2"/>
        <w:spacing w:after="120" w:before="240"/>
      </w:pPr>
      <w:r>
        <w:t xml:space="preserve">4.1 General Anomaly Pattern</w:t>
      </w:r>
    </w:p>
    <w:p>
      <w:pPr>
        <w:spacing w:after="160"/>
      </w:pPr>
      <w:r>
        <w:t xml:space="preserve">Comparing the 528 flagged shops against the overall population average reveals a distinct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4E79" w:val="clear"/>
            <w:tcMar>
              <w:top w:type="dxa" w:w="80"/>
              <w:left w:type="dxa" w:w="120"/>
              <w:bottom w:type="dxa" w:w="80"/>
              <w:right w:type="dxa" w:w="120"/>
            </w:tcMar>
          </w:tcPr>
          <w:p>
            <w:pPr>
              <w:jc w:val="left"/>
            </w:pPr>
            <w:r>
              <w:rPr>
                <w:b/>
                <w:bCs/>
              </w:rPr>
              <w:t xml:space="preserve">Feature</w:t>
            </w:r>
          </w:p>
        </w:tc>
        <w:tc>
          <w:tcPr>
            <w:tcW w:type="dxa" w:w="2200"/>
            <w:shd w:fill="1F4E79" w:val="clear"/>
            <w:tcMar>
              <w:top w:type="dxa" w:w="80"/>
              <w:left w:type="dxa" w:w="120"/>
              <w:bottom w:type="dxa" w:w="80"/>
              <w:right w:type="dxa" w:w="120"/>
            </w:tcMar>
          </w:tcPr>
          <w:p>
            <w:pPr>
              <w:jc w:val="center"/>
            </w:pPr>
            <w:r>
              <w:rPr>
                <w:b/>
                <w:bCs/>
              </w:rPr>
              <w:t xml:space="preserve">Anomalies (mean)</w:t>
            </w:r>
          </w:p>
        </w:tc>
        <w:tc>
          <w:tcPr>
            <w:tcW w:type="dxa" w:w="2200"/>
            <w:shd w:fill="1F4E79" w:val="clear"/>
            <w:tcMar>
              <w:top w:type="dxa" w:w="80"/>
              <w:left w:type="dxa" w:w="120"/>
              <w:bottom w:type="dxa" w:w="80"/>
              <w:right w:type="dxa" w:w="120"/>
            </w:tcMar>
          </w:tcPr>
          <w:p>
            <w:pPr>
              <w:jc w:val="center"/>
            </w:pPr>
            <w:r>
              <w:rPr>
                <w:b/>
                <w:bCs/>
              </w:rPr>
              <w:t xml:space="preserve">Overall (mean)</w:t>
            </w:r>
          </w:p>
        </w:tc>
        <w:tc>
          <w:tcPr>
            <w:tcW w:type="dxa" w:w="2000"/>
            <w:shd w:fill="1F4E79" w:val="clear"/>
            <w:tcMar>
              <w:top w:type="dxa" w:w="80"/>
              <w:left w:type="dxa" w:w="120"/>
              <w:bottom w:type="dxa" w:w="80"/>
              <w:right w:type="dxa" w:w="120"/>
            </w:tcMar>
          </w:tcPr>
          <w:p>
            <w:pPr>
              <w:jc w:val="center"/>
            </w:pPr>
            <w:r>
              <w:rPr>
                <w:b/>
                <w:bCs/>
              </w:rPr>
              <w:t xml:space="preserve">Difference</w:t>
            </w:r>
          </w:p>
        </w:tc>
      </w:tr>
      <w:tr>
        <w:tc>
          <w:tcPr>
            <w:tcW w:type="dxa" w:w="2600"/>
            <w:tcMar>
              <w:top w:type="dxa" w:w="80"/>
              <w:left w:type="dxa" w:w="120"/>
              <w:bottom w:type="dxa" w:w="80"/>
              <w:right w:type="dxa" w:w="120"/>
            </w:tcMar>
          </w:tcPr>
          <w:p>
            <w:pPr>
              <w:jc w:val="left"/>
            </w:pPr>
            <w:r>
              <w:rPr>
                <w:b w:val="false"/>
                <w:bCs w:val="false"/>
              </w:rPr>
              <w:t xml:space="preserve">Utilization Ratio</w:t>
            </w:r>
          </w:p>
        </w:tc>
        <w:tc>
          <w:tcPr>
            <w:tcW w:type="dxa" w:w="2200"/>
            <w:tcMar>
              <w:top w:type="dxa" w:w="80"/>
              <w:left w:type="dxa" w:w="120"/>
              <w:bottom w:type="dxa" w:w="80"/>
              <w:right w:type="dxa" w:w="120"/>
            </w:tcMar>
          </w:tcPr>
          <w:p>
            <w:pPr>
              <w:jc w:val="center"/>
            </w:pPr>
            <w:r>
              <w:rPr>
                <w:b w:val="false"/>
                <w:bCs w:val="false"/>
              </w:rPr>
              <w:t xml:space="preserve">0.846</w:t>
            </w:r>
          </w:p>
        </w:tc>
        <w:tc>
          <w:tcPr>
            <w:tcW w:type="dxa" w:w="2200"/>
            <w:tcMar>
              <w:top w:type="dxa" w:w="80"/>
              <w:left w:type="dxa" w:w="120"/>
              <w:bottom w:type="dxa" w:w="80"/>
              <w:right w:type="dxa" w:w="120"/>
            </w:tcMar>
          </w:tcPr>
          <w:p>
            <w:pPr>
              <w:jc w:val="center"/>
            </w:pPr>
            <w:r>
              <w:rPr>
                <w:b w:val="false"/>
                <w:bCs w:val="false"/>
              </w:rPr>
              <w:t xml:space="preserve">0.839</w:t>
            </w:r>
          </w:p>
        </w:tc>
        <w:tc>
          <w:tcPr>
            <w:tcW w:type="dxa" w:w="2000"/>
            <w:tcMar>
              <w:top w:type="dxa" w:w="80"/>
              <w:left w:type="dxa" w:w="120"/>
              <w:bottom w:type="dxa" w:w="80"/>
              <w:right w:type="dxa" w:w="120"/>
            </w:tcMar>
          </w:tcPr>
          <w:p>
            <w:pPr>
              <w:jc w:val="center"/>
            </w:pPr>
            <w:r>
              <w:rPr>
                <w:b w:val="false"/>
                <w:bCs w:val="false"/>
              </w:rPr>
              <w:t xml:space="preserve">+0.007</w:t>
            </w:r>
          </w:p>
        </w:tc>
      </w:tr>
      <w:tr>
        <w:tc>
          <w:tcPr>
            <w:tcW w:type="dxa" w:w="2600"/>
            <w:tcMar>
              <w:top w:type="dxa" w:w="80"/>
              <w:left w:type="dxa" w:w="120"/>
              <w:bottom w:type="dxa" w:w="80"/>
              <w:right w:type="dxa" w:w="120"/>
            </w:tcMar>
          </w:tcPr>
          <w:p>
            <w:pPr>
              <w:jc w:val="left"/>
            </w:pPr>
            <w:r>
              <w:rPr>
                <w:b w:val="false"/>
                <w:bCs w:val="false"/>
              </w:rPr>
              <w:t xml:space="preserve">Rice Dependency</w:t>
            </w:r>
          </w:p>
        </w:tc>
        <w:tc>
          <w:tcPr>
            <w:tcW w:type="dxa" w:w="2200"/>
            <w:tcMar>
              <w:top w:type="dxa" w:w="80"/>
              <w:left w:type="dxa" w:w="120"/>
              <w:bottom w:type="dxa" w:w="80"/>
              <w:right w:type="dxa" w:w="120"/>
            </w:tcMar>
          </w:tcPr>
          <w:p>
            <w:pPr>
              <w:jc w:val="center"/>
            </w:pPr>
            <w:r>
              <w:rPr>
                <w:b w:val="false"/>
                <w:bCs w:val="false"/>
              </w:rPr>
              <w:t xml:space="preserve">0.930</w:t>
            </w:r>
          </w:p>
        </w:tc>
        <w:tc>
          <w:tcPr>
            <w:tcW w:type="dxa" w:w="2200"/>
            <w:tcMar>
              <w:top w:type="dxa" w:w="80"/>
              <w:left w:type="dxa" w:w="120"/>
              <w:bottom w:type="dxa" w:w="80"/>
              <w:right w:type="dxa" w:w="120"/>
            </w:tcMar>
          </w:tcPr>
          <w:p>
            <w:pPr>
              <w:jc w:val="center"/>
            </w:pPr>
            <w:r>
              <w:rPr>
                <w:b w:val="false"/>
                <w:bCs w:val="false"/>
              </w:rPr>
              <w:t xml:space="preserve">0.991</w:t>
            </w:r>
          </w:p>
        </w:tc>
        <w:tc>
          <w:tcPr>
            <w:tcW w:type="dxa" w:w="2000"/>
            <w:tcMar>
              <w:top w:type="dxa" w:w="80"/>
              <w:left w:type="dxa" w:w="120"/>
              <w:bottom w:type="dxa" w:w="80"/>
              <w:right w:type="dxa" w:w="120"/>
            </w:tcMar>
          </w:tcPr>
          <w:p>
            <w:pPr>
              <w:jc w:val="center"/>
            </w:pPr>
            <w:r>
              <w:rPr>
                <w:b w:val="false"/>
                <w:bCs w:val="false"/>
              </w:rPr>
              <w:t xml:space="preserve">-0.061</w:t>
            </w:r>
          </w:p>
        </w:tc>
      </w:tr>
      <w:tr>
        <w:tc>
          <w:tcPr>
            <w:tcW w:type="dxa" w:w="2600"/>
            <w:tcMar>
              <w:top w:type="dxa" w:w="80"/>
              <w:left w:type="dxa" w:w="120"/>
              <w:bottom w:type="dxa" w:w="80"/>
              <w:right w:type="dxa" w:w="120"/>
            </w:tcMar>
          </w:tcPr>
          <w:p>
            <w:pPr>
              <w:jc w:val="left"/>
            </w:pPr>
            <w:r>
              <w:rPr>
                <w:b w:val="false"/>
                <w:bCs w:val="false"/>
              </w:rPr>
              <w:t xml:space="preserve">Portability Ratio</w:t>
            </w:r>
          </w:p>
        </w:tc>
        <w:tc>
          <w:tcPr>
            <w:tcW w:type="dxa" w:w="2200"/>
            <w:tcMar>
              <w:top w:type="dxa" w:w="80"/>
              <w:left w:type="dxa" w:w="120"/>
              <w:bottom w:type="dxa" w:w="80"/>
              <w:right w:type="dxa" w:w="120"/>
            </w:tcMar>
          </w:tcPr>
          <w:p>
            <w:pPr>
              <w:jc w:val="center"/>
            </w:pPr>
            <w:r>
              <w:rPr>
                <w:b w:val="false"/>
                <w:bCs w:val="false"/>
              </w:rPr>
              <w:t xml:space="preserve">0.712</w:t>
            </w:r>
          </w:p>
        </w:tc>
        <w:tc>
          <w:tcPr>
            <w:tcW w:type="dxa" w:w="2200"/>
            <w:tcMar>
              <w:top w:type="dxa" w:w="80"/>
              <w:left w:type="dxa" w:w="120"/>
              <w:bottom w:type="dxa" w:w="80"/>
              <w:right w:type="dxa" w:w="120"/>
            </w:tcMar>
          </w:tcPr>
          <w:p>
            <w:pPr>
              <w:jc w:val="center"/>
            </w:pPr>
            <w:r>
              <w:rPr>
                <w:b w:val="false"/>
                <w:bCs w:val="false"/>
              </w:rPr>
              <w:t xml:space="preserve">0.286</w:t>
            </w:r>
          </w:p>
        </w:tc>
        <w:tc>
          <w:tcPr>
            <w:tcW w:type="dxa" w:w="2000"/>
            <w:tcMar>
              <w:top w:type="dxa" w:w="80"/>
              <w:left w:type="dxa" w:w="120"/>
              <w:bottom w:type="dxa" w:w="80"/>
              <w:right w:type="dxa" w:w="120"/>
            </w:tcMar>
          </w:tcPr>
          <w:p>
            <w:pPr>
              <w:jc w:val="center"/>
            </w:pPr>
            <w:r>
              <w:rPr>
                <w:b w:val="false"/>
                <w:bCs w:val="false"/>
              </w:rPr>
              <w:t xml:space="preserve">+0.426</w:t>
            </w:r>
          </w:p>
        </w:tc>
      </w:tr>
      <w:tr>
        <w:tc>
          <w:tcPr>
            <w:tcW w:type="dxa" w:w="2600"/>
            <w:tcMar>
              <w:top w:type="dxa" w:w="80"/>
              <w:left w:type="dxa" w:w="120"/>
              <w:bottom w:type="dxa" w:w="80"/>
              <w:right w:type="dxa" w:w="120"/>
            </w:tcMar>
          </w:tcPr>
          <w:p>
            <w:pPr>
              <w:jc w:val="left"/>
            </w:pPr>
            <w:r>
              <w:rPr>
                <w:b w:val="false"/>
                <w:bCs w:val="false"/>
              </w:rPr>
              <w:t xml:space="preserve">Volatility (CV)</w:t>
            </w:r>
          </w:p>
        </w:tc>
        <w:tc>
          <w:tcPr>
            <w:tcW w:type="dxa" w:w="2200"/>
            <w:tcMar>
              <w:top w:type="dxa" w:w="80"/>
              <w:left w:type="dxa" w:w="120"/>
              <w:bottom w:type="dxa" w:w="80"/>
              <w:right w:type="dxa" w:w="120"/>
            </w:tcMar>
          </w:tcPr>
          <w:p>
            <w:pPr>
              <w:jc w:val="center"/>
            </w:pPr>
            <w:r>
              <w:rPr>
                <w:b w:val="false"/>
                <w:bCs w:val="false"/>
              </w:rPr>
              <w:t xml:space="preserve">0.312</w:t>
            </w:r>
          </w:p>
        </w:tc>
        <w:tc>
          <w:tcPr>
            <w:tcW w:type="dxa" w:w="2200"/>
            <w:tcMar>
              <w:top w:type="dxa" w:w="80"/>
              <w:left w:type="dxa" w:w="120"/>
              <w:bottom w:type="dxa" w:w="80"/>
              <w:right w:type="dxa" w:w="120"/>
            </w:tcMar>
          </w:tcPr>
          <w:p>
            <w:pPr>
              <w:jc w:val="center"/>
            </w:pPr>
            <w:r>
              <w:rPr>
                <w:b w:val="false"/>
                <w:bCs w:val="false"/>
              </w:rPr>
              <w:t xml:space="preserve">0.078</w:t>
            </w:r>
          </w:p>
        </w:tc>
        <w:tc>
          <w:tcPr>
            <w:tcW w:type="dxa" w:w="2000"/>
            <w:tcMar>
              <w:top w:type="dxa" w:w="80"/>
              <w:left w:type="dxa" w:w="120"/>
              <w:bottom w:type="dxa" w:w="80"/>
              <w:right w:type="dxa" w:w="120"/>
            </w:tcMar>
          </w:tcPr>
          <w:p>
            <w:pPr>
              <w:jc w:val="center"/>
            </w:pPr>
            <w:r>
              <w:rPr>
                <w:b w:val="false"/>
                <w:bCs w:val="false"/>
              </w:rPr>
              <w:t xml:space="preserve">+0.234</w:t>
            </w:r>
          </w:p>
        </w:tc>
      </w:tr>
      <w:tr>
        <w:tc>
          <w:tcPr>
            <w:tcW w:type="dxa" w:w="2600"/>
            <w:tcMar>
              <w:top w:type="dxa" w:w="80"/>
              <w:left w:type="dxa" w:w="120"/>
              <w:bottom w:type="dxa" w:w="80"/>
              <w:right w:type="dxa" w:w="120"/>
            </w:tcMar>
          </w:tcPr>
          <w:p>
            <w:pPr>
              <w:jc w:val="left"/>
            </w:pPr>
            <w:r>
              <w:rPr>
                <w:b w:val="false"/>
                <w:bCs w:val="false"/>
              </w:rPr>
              <w:t xml:space="preserve">Avg Monthly Transactions</w:t>
            </w:r>
          </w:p>
        </w:tc>
        <w:tc>
          <w:tcPr>
            <w:tcW w:type="dxa" w:w="2200"/>
            <w:tcMar>
              <w:top w:type="dxa" w:w="80"/>
              <w:left w:type="dxa" w:w="120"/>
              <w:bottom w:type="dxa" w:w="80"/>
              <w:right w:type="dxa" w:w="120"/>
            </w:tcMar>
          </w:tcPr>
          <w:p>
            <w:pPr>
              <w:jc w:val="center"/>
            </w:pPr>
            <w:r>
              <w:rPr>
                <w:b w:val="false"/>
                <w:bCs w:val="false"/>
              </w:rPr>
              <w:t xml:space="preserve">670.3</w:t>
            </w:r>
          </w:p>
        </w:tc>
        <w:tc>
          <w:tcPr>
            <w:tcW w:type="dxa" w:w="2200"/>
            <w:tcMar>
              <w:top w:type="dxa" w:w="80"/>
              <w:left w:type="dxa" w:w="120"/>
              <w:bottom w:type="dxa" w:w="80"/>
              <w:right w:type="dxa" w:w="120"/>
            </w:tcMar>
          </w:tcPr>
          <w:p>
            <w:pPr>
              <w:jc w:val="center"/>
            </w:pPr>
            <w:r>
              <w:rPr>
                <w:b w:val="false"/>
                <w:bCs w:val="false"/>
              </w:rPr>
              <w:t xml:space="preserve">446.3</w:t>
            </w:r>
          </w:p>
        </w:tc>
        <w:tc>
          <w:tcPr>
            <w:tcW w:type="dxa" w:w="2000"/>
            <w:tcMar>
              <w:top w:type="dxa" w:w="80"/>
              <w:left w:type="dxa" w:w="120"/>
              <w:bottom w:type="dxa" w:w="80"/>
              <w:right w:type="dxa" w:w="120"/>
            </w:tcMar>
          </w:tcPr>
          <w:p>
            <w:pPr>
              <w:jc w:val="center"/>
            </w:pPr>
            <w:r>
              <w:rPr>
                <w:b w:val="false"/>
                <w:bCs w:val="false"/>
              </w:rPr>
              <w:t xml:space="preserve">+224.0</w:t>
            </w:r>
          </w:p>
        </w:tc>
      </w:tr>
      <w:tr>
        <w:tc>
          <w:tcPr>
            <w:tcW w:type="dxa" w:w="2600"/>
            <w:tcMar>
              <w:top w:type="dxa" w:w="80"/>
              <w:left w:type="dxa" w:w="120"/>
              <w:bottom w:type="dxa" w:w="80"/>
              <w:right w:type="dxa" w:w="120"/>
            </w:tcMar>
          </w:tcPr>
          <w:p>
            <w:pPr>
              <w:jc w:val="left"/>
            </w:pPr>
            <w:r>
              <w:rPr>
                <w:b w:val="false"/>
                <w:bCs w:val="false"/>
              </w:rPr>
              <w:t xml:space="preserve">Total Entitled Cards</w:t>
            </w:r>
          </w:p>
        </w:tc>
        <w:tc>
          <w:tcPr>
            <w:tcW w:type="dxa" w:w="2200"/>
            <w:tcMar>
              <w:top w:type="dxa" w:w="80"/>
              <w:left w:type="dxa" w:w="120"/>
              <w:bottom w:type="dxa" w:w="80"/>
              <w:right w:type="dxa" w:w="120"/>
            </w:tcMar>
          </w:tcPr>
          <w:p>
            <w:pPr>
              <w:jc w:val="center"/>
            </w:pPr>
            <w:r>
              <w:rPr>
                <w:b w:val="false"/>
                <w:bCs w:val="false"/>
              </w:rPr>
              <w:t xml:space="preserve">823.7</w:t>
            </w:r>
          </w:p>
        </w:tc>
        <w:tc>
          <w:tcPr>
            <w:tcW w:type="dxa" w:w="2200"/>
            <w:tcMar>
              <w:top w:type="dxa" w:w="80"/>
              <w:left w:type="dxa" w:w="120"/>
              <w:bottom w:type="dxa" w:w="80"/>
              <w:right w:type="dxa" w:w="120"/>
            </w:tcMar>
          </w:tcPr>
          <w:p>
            <w:pPr>
              <w:jc w:val="center"/>
            </w:pPr>
            <w:r>
              <w:rPr>
                <w:b w:val="false"/>
                <w:bCs w:val="false"/>
              </w:rPr>
              <w:t xml:space="preserve">524.0</w:t>
            </w:r>
          </w:p>
        </w:tc>
        <w:tc>
          <w:tcPr>
            <w:tcW w:type="dxa" w:w="2000"/>
            <w:tcMar>
              <w:top w:type="dxa" w:w="80"/>
              <w:left w:type="dxa" w:w="120"/>
              <w:bottom w:type="dxa" w:w="80"/>
              <w:right w:type="dxa" w:w="120"/>
            </w:tcMar>
          </w:tcPr>
          <w:p>
            <w:pPr>
              <w:jc w:val="center"/>
            </w:pPr>
            <w:r>
              <w:rPr>
                <w:b w:val="false"/>
                <w:bCs w:val="false"/>
              </w:rPr>
              <w:t xml:space="preserve">+299.7</w:t>
            </w:r>
          </w:p>
        </w:tc>
      </w:tr>
    </w:tbl>
    <w:p>
      <w:pPr>
        <w:spacing w:after="240"/>
      </w:pPr>
    </w:p>
    <w:p>
      <w:pPr>
        <w:spacing w:after="160"/>
      </w:pPr>
      <w:r>
        <w:t xml:space="preserve">Notably, average utilization for anomalies (0.846) is nearly identical to the overall average (0.839) — DBSCAN is not primarily catching simple over-claiming shops. Instead, the dominant anomaly signature is high portability (+0.426 above average) combined with high volatility (+0.234, roughly 4x the baseline). In other words: the typical flagged shop is a larger, busier shop with unpredictable month-to-month activity that is heavily serving non-local beneficiaries. This points toward operational inconsistency and non-local traffic concentration as the primary anomaly driver, distinct from straightforward entitlement fraud.</w:t>
      </w:r>
    </w:p>
    <w:p>
      <w:pPr>
        <w:pStyle w:val="Heading2"/>
        <w:spacing w:after="120" w:before="240"/>
      </w:pPr>
      <w:r>
        <w:t xml:space="preserve">4.2 Extreme Individual Outliers</w:t>
      </w:r>
    </w:p>
    <w:p>
      <w:pPr>
        <w:spacing w:after="160"/>
      </w:pPr>
      <w:r>
        <w:t xml:space="preserve">A smaller subset of flagged shops shows a second, more acute pattern: utilization several times their entitled card count. These merit direct follow-up as the strongest candidates for the Fraud Prevention use case (ghost beneficiaries or stock diversion):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1500"/>
        <w:gridCol w:w="1800"/>
      </w:tblGrid>
      <w:tr>
        <w:trPr>
          <w:tblHeader/>
        </w:trPr>
        <w:tc>
          <w:tcPr>
            <w:tcW w:type="dxa" w:w="1400"/>
            <w:shd w:fill="8B0000" w:val="clear"/>
            <w:tcMar>
              <w:top w:type="dxa" w:w="80"/>
              <w:left w:type="dxa" w:w="120"/>
              <w:bottom w:type="dxa" w:w="80"/>
              <w:right w:type="dxa" w:w="120"/>
            </w:tcMar>
          </w:tcPr>
          <w:p>
            <w:pPr>
              <w:jc w:val="center"/>
            </w:pPr>
            <w:r>
              <w:rPr>
                <w:b/>
                <w:bCs/>
              </w:rPr>
              <w:t xml:space="preserve">Shop No.</w:t>
            </w:r>
          </w:p>
        </w:tc>
        <w:tc>
          <w:tcPr>
            <w:tcW w:type="dxa" w:w="2200"/>
            <w:shd w:fill="8B0000" w:val="clear"/>
            <w:tcMar>
              <w:top w:type="dxa" w:w="80"/>
              <w:left w:type="dxa" w:w="120"/>
              <w:bottom w:type="dxa" w:w="80"/>
              <w:right w:type="dxa" w:w="120"/>
            </w:tcMar>
          </w:tcPr>
          <w:p>
            <w:pPr>
              <w:jc w:val="left"/>
            </w:pPr>
            <w:r>
              <w:rPr>
                <w:b/>
                <w:bCs/>
              </w:rPr>
              <w:t xml:space="preserve">District</w:t>
            </w:r>
          </w:p>
        </w:tc>
        <w:tc>
          <w:tcPr>
            <w:tcW w:type="dxa" w:w="1500"/>
            <w:shd w:fill="8B0000" w:val="clear"/>
            <w:tcMar>
              <w:top w:type="dxa" w:w="80"/>
              <w:left w:type="dxa" w:w="120"/>
              <w:bottom w:type="dxa" w:w="80"/>
              <w:right w:type="dxa" w:w="120"/>
            </w:tcMar>
          </w:tcPr>
          <w:p>
            <w:pPr>
              <w:jc w:val="center"/>
            </w:pPr>
            <w:r>
              <w:rPr>
                <w:b/>
                <w:bCs/>
              </w:rPr>
              <w:t xml:space="preserve">Utilization</w:t>
            </w:r>
          </w:p>
        </w:tc>
        <w:tc>
          <w:tcPr>
            <w:tcW w:type="dxa" w:w="1500"/>
            <w:shd w:fill="8B0000" w:val="clear"/>
            <w:tcMar>
              <w:top w:type="dxa" w:w="80"/>
              <w:left w:type="dxa" w:w="120"/>
              <w:bottom w:type="dxa" w:w="80"/>
              <w:right w:type="dxa" w:w="120"/>
            </w:tcMar>
          </w:tcPr>
          <w:p>
            <w:pPr>
              <w:jc w:val="center"/>
            </w:pPr>
            <w:r>
              <w:rPr>
                <w:b/>
                <w:bCs/>
              </w:rPr>
              <w:t xml:space="preserve">Entitled Cards</w:t>
            </w:r>
          </w:p>
        </w:tc>
        <w:tc>
          <w:tcPr>
            <w:tcW w:type="dxa" w:w="1800"/>
            <w:shd w:fill="8B0000" w:val="clear"/>
            <w:tcMar>
              <w:top w:type="dxa" w:w="80"/>
              <w:left w:type="dxa" w:w="120"/>
              <w:bottom w:type="dxa" w:w="80"/>
              <w:right w:type="dxa" w:w="120"/>
            </w:tcMar>
          </w:tcPr>
          <w:p>
            <w:pPr>
              <w:jc w:val="center"/>
            </w:pPr>
            <w:r>
              <w:rPr>
                <w:b/>
                <w:bCs/>
              </w:rPr>
              <w:t xml:space="preserve">Avg Monthly Trans.</w:t>
            </w:r>
          </w:p>
        </w:tc>
      </w:tr>
      <w:tr>
        <w:tc>
          <w:tcPr>
            <w:tcW w:type="dxa" w:w="1400"/>
            <w:tcMar>
              <w:top w:type="dxa" w:w="80"/>
              <w:left w:type="dxa" w:w="120"/>
              <w:bottom w:type="dxa" w:w="80"/>
              <w:right w:type="dxa" w:w="120"/>
            </w:tcMar>
          </w:tcPr>
          <w:p>
            <w:pPr>
              <w:jc w:val="center"/>
            </w:pPr>
            <w:r>
              <w:rPr>
                <w:b w:val="false"/>
                <w:bCs w:val="false"/>
              </w:rPr>
              <w:t xml:space="preserve">2411015</w:t>
            </w:r>
          </w:p>
        </w:tc>
        <w:tc>
          <w:tcPr>
            <w:tcW w:type="dxa" w:w="2200"/>
            <w:tcMar>
              <w:top w:type="dxa" w:w="80"/>
              <w:left w:type="dxa" w:w="120"/>
              <w:bottom w:type="dxa" w:w="80"/>
              <w:right w:type="dxa" w:w="120"/>
            </w:tcMar>
          </w:tcPr>
          <w:p>
            <w:pPr>
              <w:jc w:val="left"/>
            </w:pPr>
            <w:r>
              <w:rPr>
                <w:b w:val="false"/>
                <w:bCs w:val="false"/>
              </w:rPr>
              <w:t xml:space="preserve">Kumarambheem Asifabad</w:t>
            </w:r>
          </w:p>
        </w:tc>
        <w:tc>
          <w:tcPr>
            <w:tcW w:type="dxa" w:w="1500"/>
            <w:tcMar>
              <w:top w:type="dxa" w:w="80"/>
              <w:left w:type="dxa" w:w="120"/>
              <w:bottom w:type="dxa" w:w="80"/>
              <w:right w:type="dxa" w:w="120"/>
            </w:tcMar>
          </w:tcPr>
          <w:p>
            <w:pPr>
              <w:jc w:val="center"/>
            </w:pPr>
            <w:r>
              <w:rPr>
                <w:b/>
                <w:bCs/>
              </w:rPr>
              <w:t xml:space="preserve">6.04x</w:t>
            </w:r>
          </w:p>
        </w:tc>
        <w:tc>
          <w:tcPr>
            <w:tcW w:type="dxa" w:w="1500"/>
            <w:tcMar>
              <w:top w:type="dxa" w:w="80"/>
              <w:left w:type="dxa" w:w="120"/>
              <w:bottom w:type="dxa" w:w="80"/>
              <w:right w:type="dxa" w:w="120"/>
            </w:tcMar>
          </w:tcPr>
          <w:p>
            <w:pPr>
              <w:jc w:val="center"/>
            </w:pPr>
            <w:r>
              <w:rPr>
                <w:b w:val="false"/>
                <w:bCs w:val="false"/>
              </w:rPr>
              <w:t xml:space="preserve">45</w:t>
            </w:r>
          </w:p>
        </w:tc>
        <w:tc>
          <w:tcPr>
            <w:tcW w:type="dxa" w:w="1800"/>
            <w:tcMar>
              <w:top w:type="dxa" w:w="80"/>
              <w:left w:type="dxa" w:w="120"/>
              <w:bottom w:type="dxa" w:w="80"/>
              <w:right w:type="dxa" w:w="120"/>
            </w:tcMar>
          </w:tcPr>
          <w:p>
            <w:pPr>
              <w:jc w:val="center"/>
            </w:pPr>
            <w:r>
              <w:rPr>
                <w:b w:val="false"/>
                <w:bCs w:val="false"/>
              </w:rPr>
              <w:t xml:space="preserve">272</w:t>
            </w:r>
          </w:p>
        </w:tc>
      </w:tr>
      <w:tr>
        <w:tc>
          <w:tcPr>
            <w:tcW w:type="dxa" w:w="1400"/>
            <w:tcMar>
              <w:top w:type="dxa" w:w="80"/>
              <w:left w:type="dxa" w:w="120"/>
              <w:bottom w:type="dxa" w:w="80"/>
              <w:right w:type="dxa" w:w="120"/>
            </w:tcMar>
          </w:tcPr>
          <w:p>
            <w:pPr>
              <w:jc w:val="center"/>
            </w:pPr>
            <w:r>
              <w:rPr>
                <w:b w:val="false"/>
                <w:bCs w:val="false"/>
              </w:rPr>
              <w:t xml:space="preserve">3384211</w:t>
            </w:r>
          </w:p>
        </w:tc>
        <w:tc>
          <w:tcPr>
            <w:tcW w:type="dxa" w:w="2200"/>
            <w:tcMar>
              <w:top w:type="dxa" w:w="80"/>
              <w:left w:type="dxa" w:w="120"/>
              <w:bottom w:type="dxa" w:w="80"/>
              <w:right w:type="dxa" w:w="120"/>
            </w:tcMar>
          </w:tcPr>
          <w:p>
            <w:pPr>
              <w:jc w:val="left"/>
            </w:pPr>
            <w:r>
              <w:rPr>
                <w:b w:val="false"/>
                <w:bCs w:val="false"/>
              </w:rPr>
              <w:t xml:space="preserve">Medchal</w:t>
            </w:r>
          </w:p>
        </w:tc>
        <w:tc>
          <w:tcPr>
            <w:tcW w:type="dxa" w:w="1500"/>
            <w:tcMar>
              <w:top w:type="dxa" w:w="80"/>
              <w:left w:type="dxa" w:w="120"/>
              <w:bottom w:type="dxa" w:w="80"/>
              <w:right w:type="dxa" w:w="120"/>
            </w:tcMar>
          </w:tcPr>
          <w:p>
            <w:pPr>
              <w:jc w:val="center"/>
            </w:pPr>
            <w:r>
              <w:rPr>
                <w:b/>
                <w:bCs/>
              </w:rPr>
              <w:t xml:space="preserve">4.28x</w:t>
            </w:r>
          </w:p>
        </w:tc>
        <w:tc>
          <w:tcPr>
            <w:tcW w:type="dxa" w:w="1500"/>
            <w:tcMar>
              <w:top w:type="dxa" w:w="80"/>
              <w:left w:type="dxa" w:w="120"/>
              <w:bottom w:type="dxa" w:w="80"/>
              <w:right w:type="dxa" w:w="120"/>
            </w:tcMar>
          </w:tcPr>
          <w:p>
            <w:pPr>
              <w:jc w:val="center"/>
            </w:pPr>
            <w:r>
              <w:rPr>
                <w:b w:val="false"/>
                <w:bCs w:val="false"/>
              </w:rPr>
              <w:t xml:space="preserve">100</w:t>
            </w:r>
          </w:p>
        </w:tc>
        <w:tc>
          <w:tcPr>
            <w:tcW w:type="dxa" w:w="1800"/>
            <w:tcMar>
              <w:top w:type="dxa" w:w="80"/>
              <w:left w:type="dxa" w:w="120"/>
              <w:bottom w:type="dxa" w:w="80"/>
              <w:right w:type="dxa" w:w="120"/>
            </w:tcMar>
          </w:tcPr>
          <w:p>
            <w:pPr>
              <w:jc w:val="center"/>
            </w:pPr>
            <w:r>
              <w:rPr>
                <w:b w:val="false"/>
                <w:bCs w:val="false"/>
              </w:rPr>
              <w:t xml:space="preserve">428</w:t>
            </w:r>
          </w:p>
        </w:tc>
      </w:tr>
      <w:tr>
        <w:tc>
          <w:tcPr>
            <w:tcW w:type="dxa" w:w="1400"/>
            <w:tcMar>
              <w:top w:type="dxa" w:w="80"/>
              <w:left w:type="dxa" w:w="120"/>
              <w:bottom w:type="dxa" w:w="80"/>
              <w:right w:type="dxa" w:w="120"/>
            </w:tcMar>
          </w:tcPr>
          <w:p>
            <w:pPr>
              <w:jc w:val="center"/>
            </w:pPr>
            <w:r>
              <w:rPr>
                <w:b w:val="false"/>
                <w:bCs w:val="false"/>
              </w:rPr>
              <w:t xml:space="preserve">2411014</w:t>
            </w:r>
          </w:p>
        </w:tc>
        <w:tc>
          <w:tcPr>
            <w:tcW w:type="dxa" w:w="2200"/>
            <w:tcMar>
              <w:top w:type="dxa" w:w="80"/>
              <w:left w:type="dxa" w:w="120"/>
              <w:bottom w:type="dxa" w:w="80"/>
              <w:right w:type="dxa" w:w="120"/>
            </w:tcMar>
          </w:tcPr>
          <w:p>
            <w:pPr>
              <w:jc w:val="left"/>
            </w:pPr>
            <w:r>
              <w:rPr>
                <w:b w:val="false"/>
                <w:bCs w:val="false"/>
              </w:rPr>
              <w:t xml:space="preserve">Kumarambheem Asifabad</w:t>
            </w:r>
          </w:p>
        </w:tc>
        <w:tc>
          <w:tcPr>
            <w:tcW w:type="dxa" w:w="1500"/>
            <w:tcMar>
              <w:top w:type="dxa" w:w="80"/>
              <w:left w:type="dxa" w:w="120"/>
              <w:bottom w:type="dxa" w:w="80"/>
              <w:right w:type="dxa" w:w="120"/>
            </w:tcMar>
          </w:tcPr>
          <w:p>
            <w:pPr>
              <w:jc w:val="center"/>
            </w:pPr>
            <w:r>
              <w:rPr>
                <w:b/>
                <w:bCs/>
              </w:rPr>
              <w:t xml:space="preserve">4.14x</w:t>
            </w:r>
          </w:p>
        </w:tc>
        <w:tc>
          <w:tcPr>
            <w:tcW w:type="dxa" w:w="1500"/>
            <w:tcMar>
              <w:top w:type="dxa" w:w="80"/>
              <w:left w:type="dxa" w:w="120"/>
              <w:bottom w:type="dxa" w:w="80"/>
              <w:right w:type="dxa" w:w="120"/>
            </w:tcMar>
          </w:tcPr>
          <w:p>
            <w:pPr>
              <w:jc w:val="center"/>
            </w:pPr>
            <w:r>
              <w:rPr>
                <w:b w:val="false"/>
                <w:bCs w:val="false"/>
              </w:rPr>
              <w:t xml:space="preserve">135</w:t>
            </w:r>
          </w:p>
        </w:tc>
        <w:tc>
          <w:tcPr>
            <w:tcW w:type="dxa" w:w="1800"/>
            <w:tcMar>
              <w:top w:type="dxa" w:w="80"/>
              <w:left w:type="dxa" w:w="120"/>
              <w:bottom w:type="dxa" w:w="80"/>
              <w:right w:type="dxa" w:w="120"/>
            </w:tcMar>
          </w:tcPr>
          <w:p>
            <w:pPr>
              <w:jc w:val="center"/>
            </w:pPr>
            <w:r>
              <w:rPr>
                <w:b w:val="false"/>
                <w:bCs w:val="false"/>
              </w:rPr>
              <w:t xml:space="preserve">558</w:t>
            </w:r>
          </w:p>
        </w:tc>
      </w:tr>
      <w:tr>
        <w:tc>
          <w:tcPr>
            <w:tcW w:type="dxa" w:w="1400"/>
            <w:tcMar>
              <w:top w:type="dxa" w:w="80"/>
              <w:left w:type="dxa" w:w="120"/>
              <w:bottom w:type="dxa" w:w="80"/>
              <w:right w:type="dxa" w:w="120"/>
            </w:tcMar>
          </w:tcPr>
          <w:p>
            <w:pPr>
              <w:jc w:val="center"/>
            </w:pPr>
            <w:r>
              <w:rPr>
                <w:b w:val="false"/>
                <w:bCs w:val="false"/>
              </w:rPr>
              <w:t xml:space="preserve">2047333</w:t>
            </w:r>
          </w:p>
        </w:tc>
        <w:tc>
          <w:tcPr>
            <w:tcW w:type="dxa" w:w="2200"/>
            <w:tcMar>
              <w:top w:type="dxa" w:w="80"/>
              <w:left w:type="dxa" w:w="120"/>
              <w:bottom w:type="dxa" w:w="80"/>
              <w:right w:type="dxa" w:w="120"/>
            </w:tcMar>
          </w:tcPr>
          <w:p>
            <w:pPr>
              <w:jc w:val="left"/>
            </w:pPr>
            <w:r>
              <w:rPr>
                <w:b w:val="false"/>
                <w:bCs w:val="false"/>
              </w:rPr>
              <w:t xml:space="preserve">Karimnagar</w:t>
            </w:r>
          </w:p>
        </w:tc>
        <w:tc>
          <w:tcPr>
            <w:tcW w:type="dxa" w:w="1500"/>
            <w:tcMar>
              <w:top w:type="dxa" w:w="80"/>
              <w:left w:type="dxa" w:w="120"/>
              <w:bottom w:type="dxa" w:w="80"/>
              <w:right w:type="dxa" w:w="120"/>
            </w:tcMar>
          </w:tcPr>
          <w:p>
            <w:pPr>
              <w:jc w:val="center"/>
            </w:pPr>
            <w:r>
              <w:rPr>
                <w:b/>
                <w:bCs/>
              </w:rPr>
              <w:t xml:space="preserve">3.79x</w:t>
            </w:r>
          </w:p>
        </w:tc>
        <w:tc>
          <w:tcPr>
            <w:tcW w:type="dxa" w:w="1500"/>
            <w:tcMar>
              <w:top w:type="dxa" w:w="80"/>
              <w:left w:type="dxa" w:w="120"/>
              <w:bottom w:type="dxa" w:w="80"/>
              <w:right w:type="dxa" w:w="120"/>
            </w:tcMar>
          </w:tcPr>
          <w:p>
            <w:pPr>
              <w:jc w:val="center"/>
            </w:pPr>
            <w:r>
              <w:rPr>
                <w:b w:val="false"/>
                <w:bCs w:val="false"/>
              </w:rPr>
              <w:t xml:space="preserve">26</w:t>
            </w:r>
          </w:p>
        </w:tc>
        <w:tc>
          <w:tcPr>
            <w:tcW w:type="dxa" w:w="1800"/>
            <w:tcMar>
              <w:top w:type="dxa" w:w="80"/>
              <w:left w:type="dxa" w:w="120"/>
              <w:bottom w:type="dxa" w:w="80"/>
              <w:right w:type="dxa" w:w="120"/>
            </w:tcMar>
          </w:tcPr>
          <w:p>
            <w:pPr>
              <w:jc w:val="center"/>
            </w:pPr>
            <w:r>
              <w:rPr>
                <w:b w:val="false"/>
                <w:bCs w:val="false"/>
              </w:rPr>
              <w:t xml:space="preserve">98</w:t>
            </w:r>
          </w:p>
        </w:tc>
      </w:tr>
      <w:tr>
        <w:tc>
          <w:tcPr>
            <w:tcW w:type="dxa" w:w="1400"/>
            <w:tcMar>
              <w:top w:type="dxa" w:w="80"/>
              <w:left w:type="dxa" w:w="120"/>
              <w:bottom w:type="dxa" w:w="80"/>
              <w:right w:type="dxa" w:w="120"/>
            </w:tcMar>
          </w:tcPr>
          <w:p>
            <w:pPr>
              <w:jc w:val="center"/>
            </w:pPr>
            <w:r>
              <w:rPr>
                <w:b w:val="false"/>
                <w:bCs w:val="false"/>
              </w:rPr>
              <w:t xml:space="preserve">2084139</w:t>
            </w:r>
          </w:p>
        </w:tc>
        <w:tc>
          <w:tcPr>
            <w:tcW w:type="dxa" w:w="2200"/>
            <w:tcMar>
              <w:top w:type="dxa" w:w="80"/>
              <w:left w:type="dxa" w:w="120"/>
              <w:bottom w:type="dxa" w:w="80"/>
              <w:right w:type="dxa" w:w="120"/>
            </w:tcMar>
          </w:tcPr>
          <w:p>
            <w:pPr>
              <w:jc w:val="left"/>
            </w:pPr>
            <w:r>
              <w:rPr>
                <w:b w:val="false"/>
                <w:bCs w:val="false"/>
              </w:rPr>
              <w:t xml:space="preserve">Karimnagar</w:t>
            </w:r>
          </w:p>
        </w:tc>
        <w:tc>
          <w:tcPr>
            <w:tcW w:type="dxa" w:w="1500"/>
            <w:tcMar>
              <w:top w:type="dxa" w:w="80"/>
              <w:left w:type="dxa" w:w="120"/>
              <w:bottom w:type="dxa" w:w="80"/>
              <w:right w:type="dxa" w:w="120"/>
            </w:tcMar>
          </w:tcPr>
          <w:p>
            <w:pPr>
              <w:jc w:val="center"/>
            </w:pPr>
            <w:r>
              <w:rPr>
                <w:b/>
                <w:bCs/>
              </w:rPr>
              <w:t xml:space="preserve">3.55x</w:t>
            </w:r>
          </w:p>
        </w:tc>
        <w:tc>
          <w:tcPr>
            <w:tcW w:type="dxa" w:w="1500"/>
            <w:tcMar>
              <w:top w:type="dxa" w:w="80"/>
              <w:left w:type="dxa" w:w="120"/>
              <w:bottom w:type="dxa" w:w="80"/>
              <w:right w:type="dxa" w:w="120"/>
            </w:tcMar>
          </w:tcPr>
          <w:p>
            <w:pPr>
              <w:jc w:val="center"/>
            </w:pPr>
            <w:r>
              <w:rPr>
                <w:b w:val="false"/>
                <w:bCs w:val="false"/>
              </w:rPr>
              <w:t xml:space="preserve">363</w:t>
            </w:r>
          </w:p>
        </w:tc>
        <w:tc>
          <w:tcPr>
            <w:tcW w:type="dxa" w:w="1800"/>
            <w:tcMar>
              <w:top w:type="dxa" w:w="80"/>
              <w:left w:type="dxa" w:w="120"/>
              <w:bottom w:type="dxa" w:w="80"/>
              <w:right w:type="dxa" w:w="120"/>
            </w:tcMar>
          </w:tcPr>
          <w:p>
            <w:pPr>
              <w:jc w:val="center"/>
            </w:pPr>
            <w:r>
              <w:rPr>
                <w:b w:val="false"/>
                <w:bCs w:val="false"/>
              </w:rPr>
              <w:t xml:space="preserve">1,289</w:t>
            </w:r>
          </w:p>
        </w:tc>
      </w:tr>
    </w:tbl>
    <w:p>
      <w:pPr>
        <w:spacing w:after="240"/>
      </w:pPr>
    </w:p>
    <w:p>
      <w:pPr>
        <w:spacing w:after="160"/>
      </w:pPr>
      <w:r>
        <w:rPr>
          <w:i/>
          <w:iCs/>
        </w:rPr>
        <w:t xml:space="preserve">Shop 2411015 stands out with a utilization ratio of 6.04 — transacting over six times its entitled card count. Notably, shops 2411014 and 2411015 are adjacent shop codes in the same district (Kumarambheem Asifabad), which may warrant a joint review to check whether they share operational or beneficiary overlap.</w:t>
      </w:r>
    </w:p>
    <w:p>
      <w:pPr>
        <w:pStyle w:val="Heading1"/>
        <w:spacing w:after="160" w:before="320"/>
      </w:pPr>
      <w:r>
        <w:t xml:space="preserve">5. Limitations &amp; Assumptions</w:t>
      </w:r>
    </w:p>
    <w:p>
      <w:pPr>
        <w:pStyle w:val="ListParagraph"/>
        <w:numPr>
          <w:ilvl w:val="0"/>
          <w:numId w:val="2"/>
        </w:numPr>
        <w:spacing w:after="80"/>
      </w:pPr>
      <w:r>
        <w:t xml:space="preserve">Static entitlement baseline: Card Status data is a single October 2022 snapshot with no year-over-year updates. Utilization Ratio therefore measures 2023–2025 activity against a fixed 2022 baseline. Shops in fast-growing areas (e.g. Cluster 1 — Urban Portability Hub) may show utilization slightly above 1.0 simply due to legitimate card growth after 2022, not necessarily overuse.</w:t>
      </w:r>
    </w:p>
    <w:p>
      <w:pPr>
        <w:pStyle w:val="ListParagraph"/>
        <w:numPr>
          <w:ilvl w:val="0"/>
          <w:numId w:val="2"/>
        </w:numPr>
        <w:spacing w:after="80"/>
      </w:pPr>
      <w:r>
        <w:t xml:space="preserve">~5,337 transaction records (1.1%) had no matching card-status entry and were excluded from clustering, likely representing shops established after the 2022 snapshot.</w:t>
      </w:r>
    </w:p>
    <w:p>
      <w:pPr>
        <w:pStyle w:val="ListParagraph"/>
        <w:numPr>
          <w:ilvl w:val="0"/>
          <w:numId w:val="2"/>
        </w:numPr>
        <w:spacing w:after="80"/>
      </w:pPr>
      <w:r>
        <w:t xml:space="preserve">Rice-to-wheat ratio was dropped as a feature after EDA revealed most shops distribute near-zero wheat, which produced mathematically unstable ratios; Rice Dependency was used instead.</w:t>
      </w:r>
    </w:p>
    <w:p>
      <w:pPr>
        <w:pStyle w:val="ListParagraph"/>
        <w:numPr>
          <w:ilvl w:val="0"/>
          <w:numId w:val="2"/>
        </w:numPr>
        <w:spacing w:after="80"/>
      </w:pPr>
      <w:r>
        <w:t xml:space="preserve">DBSCAN parameters (eps=0.85, min_samples=5) were tuned via a k-distance plot on this specific dataset; they would need re-tuning if applied to a different subset of shops or a different feature set.</w:t>
      </w:r>
    </w:p>
    <w:p>
      <w:pPr>
        <w:pStyle w:val="ListParagraph"/>
        <w:numPr>
          <w:ilvl w:val="0"/>
          <w:numId w:val="2"/>
        </w:numPr>
        <w:spacing w:after="80"/>
      </w:pPr>
      <w:r>
        <w:t xml:space="preserve">Cluster and anomaly assignments reflect aggregate 2023–2025 behavior and do not capture whether a flagged shop's pattern is recent or persisted throughout the full period — a useful extension would be re-running the pipeline on a rolling window.</w:t>
      </w:r>
    </w:p>
    <w:p>
      <w:pPr>
        <w:pStyle w:val="Heading1"/>
        <w:spacing w:after="160" w:before="320"/>
      </w:pPr>
      <w:r>
        <w:t xml:space="preserve">6. Recommendations</w:t>
      </w:r>
    </w:p>
    <w:p>
      <w:pPr>
        <w:pStyle w:val="ListParagraph"/>
        <w:numPr>
          <w:ilvl w:val="0"/>
          <w:numId w:val="2"/>
        </w:numPr>
        <w:spacing w:after="80"/>
      </w:pPr>
      <w:r>
        <w:t xml:space="preserve">Priority Audit List: Route the 528 DBSCAN-flagged shops, and especially the top utilization outliers (led by shop 2411015 at 6.04x entitlement), to the Civil Supplies Department's audit queue, prioritized by utilization ratio.</w:t>
      </w:r>
    </w:p>
    <w:p>
      <w:pPr>
        <w:pStyle w:val="ListParagraph"/>
        <w:numPr>
          <w:ilvl w:val="0"/>
          <w:numId w:val="2"/>
        </w:numPr>
        <w:spacing w:after="80"/>
      </w:pPr>
      <w:r>
        <w:t xml:space="preserve">Targeted Card Re-Verification: Given the entitlement baseline is nearly three years old, prioritize a re-verification pass in Cluster 1 (Urban Portability Hub) and Cluster 3 (Volatile/Under-Utilized) districts, since these are where the aged baseline most affects interpretation.</w:t>
      </w:r>
    </w:p>
    <w:p>
      <w:pPr>
        <w:pStyle w:val="ListParagraph"/>
        <w:numPr>
          <w:ilvl w:val="0"/>
          <w:numId w:val="2"/>
        </w:numPr>
        <w:spacing w:after="80"/>
      </w:pPr>
      <w:r>
        <w:t xml:space="preserve">Replenishment Frequency: Increase stock replenishment cadence for Cluster 1 (Urban Portability Hub) shops, which combine the highest transaction volume with the highest non-local traffic share — consistent with the "Portability Hub" logistics use case in the project brief.</w:t>
      </w:r>
    </w:p>
    <w:p>
      <w:pPr>
        <w:pStyle w:val="ListParagraph"/>
        <w:numPr>
          <w:ilvl w:val="0"/>
          <w:numId w:val="2"/>
        </w:numPr>
        <w:spacing w:after="80"/>
      </w:pPr>
      <w:r>
        <w:t xml:space="preserve">Operational Review for Cluster 3: The Volatile/Under-Utilized cluster's combination of low utilization and high volatility suggests inconsistent shop operating patterns (e.g. irregular stock delivery or opening hours) rather than fraud per se — worth a distinct, lighter-touch operational review rather than a fraud audit.</w:t>
      </w:r>
    </w:p>
    <w:p>
      <w:pPr>
        <w:pStyle w:val="ListParagraph"/>
        <w:numPr>
          <w:ilvl w:val="0"/>
          <w:numId w:val="2"/>
        </w:numPr>
        <w:spacing w:after="80"/>
      </w:pPr>
      <w:r>
        <w:t xml:space="preserve">Monitoring Cadence: Re-run this clustering pipeline quarterly as new transaction data arrives, and refresh the card-status entitlement snapshot on the same cadence so Utilization Ratio reflects current, not 2022, entitlement levels.</w:t>
      </w:r>
    </w:p>
    <w:p>
      <w:pPr>
        <w:pStyle w:val="Heading1"/>
        <w:spacing w:after="160" w:before="320"/>
      </w:pPr>
      <w:r>
        <w:t xml:space="preserve">7. Project Deliverables</w:t>
      </w:r>
    </w:p>
    <w:p>
      <w:pPr>
        <w:pStyle w:val="ListParagraph"/>
        <w:numPr>
          <w:ilvl w:val="0"/>
          <w:numId w:val="2"/>
        </w:numPr>
        <w:spacing w:after="80"/>
      </w:pPr>
      <w:r>
        <w:t xml:space="preserve">Jupyter Notebook — full EDA, feature engineering, PCA, K-Means, and DBSCAN pipeline (PDS_Analysis.ipynb).</w:t>
      </w:r>
    </w:p>
    <w:p>
      <w:pPr>
        <w:pStyle w:val="ListParagraph"/>
        <w:numPr>
          <w:ilvl w:val="0"/>
          <w:numId w:val="2"/>
        </w:numPr>
        <w:spacing w:after="80"/>
      </w:pPr>
      <w:r>
        <w:t xml:space="preserve">Streamlit Dashboard (app.py) — interactive filtering by district/cluster, geospatial cluster map, cluster profile summary, and shop-vs-cluster-average lookup tool.</w:t>
      </w:r>
    </w:p>
    <w:p>
      <w:pPr>
        <w:pStyle w:val="ListParagraph"/>
        <w:numPr>
          <w:ilvl w:val="0"/>
          <w:numId w:val="2"/>
        </w:numPr>
        <w:spacing w:after="80"/>
      </w:pPr>
      <w:r>
        <w:t xml:space="preserve">Output Datasets — shop_features_clustered.csv (per-shop features, cluster and anomaly labels) and cluster_profile.csv (aggregated persona statistics).</w:t>
      </w:r>
    </w:p>
    <w:p>
      <w:pPr>
        <w:pStyle w:val="ListParagraph"/>
        <w:numPr>
          <w:ilvl w:val="0"/>
          <w:numId w:val="2"/>
        </w:numPr>
        <w:spacing w:after="80"/>
      </w:pPr>
      <w:r>
        <w:t xml:space="preserve">This Final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2026-08-12T05:28:25.658Z</dcterms:created>
  <dcterms:modified xsi:type="dcterms:W3CDTF">2026-08-12T05:28:25.675Z</dcterms:modified>
</cp:coreProperties>
</file>

<file path=docProps/custom.xml><?xml version="1.0" encoding="utf-8"?>
<Properties xmlns="http://schemas.openxmlformats.org/officeDocument/2006/custom-properties" xmlns:vt="http://schemas.openxmlformats.org/officeDocument/2006/docPropsVTypes"/>
</file>