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0" w:line="280" w:lineRule="auto"/>
      </w:pPr>
    </w:p>
    <w:p>
      <w:pPr>
        <w:shd w:fill="003087" w:val="clear"/>
        <w:spacing w:before="0" w:after="60" w:line="280" w:lineRule="auto"/>
        <w:jc w:val="center"/>
      </w:pPr>
      <w:r>
        <w:rPr>
          <w:rFonts w:ascii="Calibri" w:cs="Calibri" w:eastAsia="Calibri" w:hAnsi="Calibri"/>
          <w:b/>
          <w:bCs/>
          <w:color w:val="FFFFFF"/>
          <w:sz w:val="80"/>
          <w:szCs w:val="80"/>
        </w:rPr>
        <w:t xml:space="preserve">B2H STUDIOS</w:t>
      </w:r>
    </w:p>
    <w:p>
      <w:pPr>
        <w:shd w:fill="003087" w:val="clear"/>
        <w:spacing w:before="0" w:after="60" w:line="280" w:lineRule="auto"/>
        <w:jc w:val="center"/>
      </w:pPr>
      <w:r>
        <w:rPr>
          <w:rFonts w:ascii="Calibri" w:cs="Calibri" w:eastAsia="Calibri" w:hAnsi="Calibri"/>
          <w:b/>
          <w:bCs/>
          <w:color w:val="7AADDA"/>
          <w:sz w:val="36"/>
          <w:szCs w:val="36"/>
        </w:rPr>
        <w:t xml:space="preserve">INFRASTRUCTURE SOLUTION</w:t>
      </w:r>
    </w:p>
    <w:p>
      <w:pPr>
        <w:shd w:fill="003087" w:val="clear"/>
        <w:spacing w:before="0" w:after="70" w:line="280" w:lineRule="auto"/>
        <w:jc w:val="center"/>
      </w:pPr>
      <w:r>
        <w:rPr>
          <w:rFonts w:ascii="Calibri" w:cs="Calibri" w:eastAsia="Calibri" w:hAnsi="Calibri"/>
          <w:b/>
          <w:bCs/>
          <w:color w:val="AAD4F0"/>
          <w:sz w:val="32"/>
          <w:szCs w:val="32"/>
        </w:rPr>
        <w:t xml:space="preserve">OPTION B - SYNOLOGY HD6500</w:t>
      </w:r>
    </w:p>
    <w:p>
      <w:pPr>
        <w:shd w:fill="003087" w:val="clear"/>
        <w:spacing w:before="0" w:after="400" w:line="280" w:lineRule="auto"/>
        <w:jc w:val="center"/>
      </w:pPr>
      <w:r>
        <w:rPr>
          <w:rFonts w:ascii="Calibri" w:cs="Calibri" w:eastAsia="Calibri" w:hAnsi="Calibri"/>
          <w:color w:val="446688"/>
          <w:sz w:val="19"/>
          <w:szCs w:val="19"/>
        </w:rPr>
        <w:t xml:space="preserve">400TB On-Prem NAS  |  Site A + Site B DR  |  ZTNA Remote Access  |  Wasabi Cloud  |  Signiant Jet v7.0</w:t>
      </w:r>
    </w:p>
    <w:p>
      <w:pPr>
        <w:pBdr>
          <w:bottom w:val="single" w:color="CFD8DC" w:sz="4"/>
        </w:pBdr>
        <w:spacing w:before="80" w:after="80" w:line="280" w:lineRule="auto"/>
      </w:pPr>
    </w:p>
    <w:p>
      <w:pPr>
        <w:spacing w:before="80" w:after="0" w:line="280" w:lineRule="auto"/>
      </w:pPr>
    </w:p>
    <w:p>
      <w:pPr>
        <w:spacing w:before="60" w:after="60" w:line="280" w:lineRule="auto"/>
        <w:jc w:val="center"/>
      </w:pPr>
      <w:r>
        <w:rPr>
          <w:rFonts w:ascii="Calibri" w:cs="Calibri" w:eastAsia="Calibri" w:hAnsi="Calibri"/>
          <w:b/>
          <w:bCs/>
          <w:i w:val="false"/>
          <w:iCs w:val="false"/>
          <w:color w:val="6B1010"/>
          <w:sz w:val="22"/>
          <w:szCs w:val="22"/>
        </w:rPr>
        <w:t xml:space="preserve">CONFIDENTIAL - RESTRICTED DISTRIBUTION</w:t>
      </w:r>
    </w:p>
    <w:p>
      <w:pPr>
        <w:spacing w:before="0" w:after="60" w:line="280" w:lineRule="auto"/>
        <w:jc w:val="center"/>
      </w:pPr>
      <w:r>
        <w:rPr>
          <w:rFonts w:ascii="Calibri" w:cs="Calibri" w:eastAsia="Calibri" w:hAnsi="Calibri"/>
          <w:b w:val="false"/>
          <w:bCs w:val="false"/>
          <w:i w:val="false"/>
          <w:iCs w:val="false"/>
          <w:color w:val="0A1628"/>
          <w:sz w:val="22"/>
          <w:szCs w:val="22"/>
        </w:rPr>
        <w:t xml:space="preserve">Prepared for: B2H Studios - CTO, IT Lead</w:t>
      </w:r>
    </w:p>
    <w:p>
      <w:pPr>
        <w:spacing w:before="0" w:after="60" w:line="280" w:lineRule="auto"/>
        <w:jc w:val="center"/>
      </w:pPr>
      <w:r>
        <w:rPr>
          <w:rFonts w:ascii="Calibri" w:cs="Calibri" w:eastAsia="Calibri" w:hAnsi="Calibri"/>
          <w:b w:val="false"/>
          <w:bCs w:val="false"/>
          <w:i w:val="false"/>
          <w:iCs w:val="false"/>
          <w:color w:val="0A1628"/>
          <w:sz w:val="22"/>
          <w:szCs w:val="22"/>
        </w:rPr>
        <w:t xml:space="preserve">March 2026  |  Pricing in INR including 18% GST  |  No import duties applicable</w:t>
      </w:r>
    </w:p>
    <w:p>
      <w:pPr>
        <w:spacing w:before="0" w:after="60" w:line="280" w:lineRule="auto"/>
        <w:jc w:val="center"/>
      </w:pPr>
      <w:r>
        <w:rPr>
          <w:rFonts w:ascii="Calibri" w:cs="Calibri" w:eastAsia="Calibri" w:hAnsi="Calibri"/>
          <w:b w:val="false"/>
          <w:bCs w:val="false"/>
          <w:i w:val="false"/>
          <w:iCs w:val="false"/>
          <w:color w:val="0A1628"/>
          <w:sz w:val="22"/>
          <w:szCs w:val="22"/>
        </w:rPr>
        <w:t xml:space="preserve">Companion document: Option A - Dell PowerScale F710 (separate file)</w:t>
      </w:r>
    </w:p>
    <w:p>
      <w:r>
        <w:br w:type="page"/>
      </w:r>
    </w:p>
    <w:p>
      <w:pPr>
        <w:pStyle w:val="Heading1"/>
        <w:pBdr>
          <w:bottom w:val="single" w:color="1565C0" w:sz="12"/>
        </w:pBdr>
        <w:shd w:fill="003087" w:val="clear"/>
        <w:spacing w:before="400" w:after="180" w:line="280" w:lineRule="auto"/>
        <w:ind w:left="180" w:right="180"/>
      </w:pPr>
      <w:r>
        <w:rPr>
          <w:rFonts w:ascii="Calibri" w:cs="Calibri" w:eastAsia="Calibri" w:hAnsi="Calibri"/>
          <w:b/>
          <w:bCs/>
          <w:color w:val="FFFFFF"/>
          <w:sz w:val="40"/>
          <w:szCs w:val="4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565C0" w:sz="12"/>
        </w:pBdr>
        <w:shd w:fill="003087" w:val="clear"/>
        <w:spacing w:before="400" w:after="180" w:line="280" w:lineRule="auto"/>
        <w:ind w:left="180" w:right="180"/>
      </w:pPr>
      <w:r>
        <w:rPr>
          <w:rFonts w:ascii="Calibri" w:cs="Calibri" w:eastAsia="Calibri" w:hAnsi="Calibri"/>
          <w:b/>
          <w:bCs/>
          <w:color w:val="FFFFFF"/>
          <w:sz w:val="40"/>
          <w:szCs w:val="40"/>
        </w:rPr>
        <w:t xml:space="preserve">1. Executive Summary</w:t>
      </w:r>
    </w:p>
    <w:p>
      <w:pPr>
        <w:spacing w:before="100" w:after="100" w:line="280" w:lineRule="auto"/>
      </w:pPr>
      <w:r>
        <w:rPr>
          <w:rFonts w:ascii="Calibri" w:cs="Calibri" w:eastAsia="Calibri" w:hAnsi="Calibri"/>
          <w:b w:val="false"/>
          <w:bCs w:val="false"/>
          <w:i w:val="false"/>
          <w:iCs w:val="false"/>
          <w:color w:val="0A1628"/>
          <w:sz w:val="22"/>
          <w:szCs w:val="22"/>
        </w:rPr>
        <w:t xml:space="preserve">This document presents the complete infrastructure design for B2H Studios using Synology HD6500 as the primary NAS storage platform. The solution delivers 400TB usable storage across two locations (Site A primary data centre, Site B disaster recovery), secure remote access for 25 employees via ZTNA, cloud integration via Wasabi Hot Cloud Storage using Synology Hybrid Share, and high-speed media ingest via Signiant Jet v7.0.</w:t>
      </w:r>
    </w:p>
    <w:p>
      <w:pPr>
        <w:spacing w:before="100" w:after="100" w:line="280" w:lineRule="auto"/>
      </w:pPr>
      <w:r>
        <w:rPr>
          <w:rFonts w:ascii="Calibri" w:cs="Calibri" w:eastAsia="Calibri" w:hAnsi="Calibri"/>
          <w:b w:val="false"/>
          <w:bCs w:val="false"/>
          <w:i w:val="false"/>
          <w:iCs w:val="false"/>
          <w:color w:val="0A1628"/>
          <w:sz w:val="22"/>
          <w:szCs w:val="22"/>
        </w:rPr>
        <w:t xml:space="preserve">The Synology HD6500 is a 60-bay enterprise NAS running DSM 7.x (DiskStation Manager), purpose-built for dense storage at significantly lower capital cost than all-flash enterprise alternatives. It uses high-capacity SAS/SATA hard drives, delivering excellent TB-per-rupee value for a studio where primary NAS performance does not need to be all-NVMe - editors work on proxy files stored locally, and the NAS holds originals and archives.</w:t>
      </w:r>
    </w:p>
    <w:p>
      <w:pPr>
        <w:spacing w:before="60" w:after="0" w:line="280" w:lineRule="auto"/>
      </w:pP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1.1 Option A vs Option B - At a Glance</w:t>
      </w:r>
    </w:p>
    <w:p>
      <w:pPr>
        <w:spacing w:before="100" w:after="100" w:line="280" w:lineRule="auto"/>
      </w:pPr>
      <w:r>
        <w:rPr>
          <w:rFonts w:ascii="Calibri" w:cs="Calibri" w:eastAsia="Calibri" w:hAnsi="Calibri"/>
          <w:b w:val="false"/>
          <w:bCs w:val="false"/>
          <w:i w:val="false"/>
          <w:iCs w:val="false"/>
          <w:color w:val="0A1628"/>
          <w:sz w:val="22"/>
          <w:szCs w:val="22"/>
        </w:rPr>
        <w:t xml:space="preserve">This document and its companion document (Option A - Dell PowerScale F710) allow B2H leadership to compare two architecturally different approaches. Before the detailed design, here is the key trade-off: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Factor</w:t>
            </w:r>
          </w:p>
        </w:tc>
        <w:tc>
          <w:tcPr>
            <w:tcW w:type="dxa" w:w="328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Option A - Dell PowerScale F710</w:t>
            </w:r>
          </w:p>
        </w:tc>
        <w:tc>
          <w:tcPr>
            <w:tcW w:type="dxa" w:w="328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Option B - Synology HD6500 (this document)</w:t>
            </w:r>
          </w:p>
        </w:tc>
      </w:tr>
      <w:tr>
        <w:tc>
          <w:tcPr>
            <w:tcW w:type="dxa" w:w="2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Storage media</w:t>
            </w:r>
          </w:p>
        </w:tc>
        <w:tc>
          <w:tcPr>
            <w:tcW w:type="dxa" w:w="32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All-NVMe SSD. Sub-millisecond latency. 614TB usable per site.</w:t>
            </w:r>
          </w:p>
        </w:tc>
        <w:tc>
          <w:tcPr>
            <w:tcW w:type="dxa" w:w="32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High-capacity HDD (or hybrid HDD+SSD cache). 480TB usable per unit from 60x 18TB SAS.</w:t>
            </w:r>
          </w:p>
        </w:tc>
      </w:tr>
      <w:tr>
        <w:tc>
          <w:tcPr>
            <w:tcW w:type="dxa" w:w="2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Latency</w:t>
            </w:r>
          </w:p>
        </w:tc>
        <w:tc>
          <w:tcPr>
            <w:tcW w:type="dxa" w:w="32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0.1-0.3ms (NVMe tier). Ideal for 8K RAW real-time playback.</w:t>
            </w:r>
          </w:p>
        </w:tc>
        <w:tc>
          <w:tcPr>
            <w:tcW w:type="dxa" w:w="32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3-7ms (spinning HDD). Suitable for HD/4K proxy workflows. Originals remain on NAS.</w:t>
            </w:r>
          </w:p>
        </w:tc>
      </w:tr>
      <w:tr>
        <w:tc>
          <w:tcPr>
            <w:tcW w:type="dxa" w:w="2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Throughput</w:t>
            </w:r>
          </w:p>
        </w:tc>
        <w:tc>
          <w:tcPr>
            <w:tcW w:type="dxa" w:w="32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Up to 148 GB/s cluster aggregate. Multi-client 4K/8K edit.</w:t>
            </w:r>
          </w:p>
        </w:tc>
        <w:tc>
          <w:tcPr>
            <w:tcW w:type="dxa" w:w="32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Up to 20 GB/s per unit. Sufficient for 25 remote editors on compressed workflows.</w:t>
            </w:r>
          </w:p>
        </w:tc>
      </w:tr>
      <w:tr>
        <w:tc>
          <w:tcPr>
            <w:tcW w:type="dxa" w:w="2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Total capital cost</w:t>
            </w:r>
          </w:p>
        </w:tc>
        <w:tc>
          <w:tcPr>
            <w:tcW w:type="dxa" w:w="32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14.28 Crore (both sites, all-in)</w:t>
            </w:r>
          </w:p>
        </w:tc>
        <w:tc>
          <w:tcPr>
            <w:tcW w:type="dxa" w:w="328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r>
              <w:rPr>
                <w:rFonts w:ascii="Calibri" w:cs="Calibri" w:eastAsia="Calibri" w:hAnsi="Calibri"/>
                <w:b/>
                <w:bCs/>
                <w:color w:val="1A5C2A"/>
                <w:sz w:val="19"/>
                <w:szCs w:val="19"/>
              </w:rPr>
              <w:t xml:space="preserve">Rs. 4.82 Crore (both sites, all-in)</w:t>
            </w:r>
          </w:p>
        </w:tc>
      </w:tr>
      <w:tr>
        <w:tc>
          <w:tcPr>
            <w:tcW w:type="dxa" w:w="2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Operational cost</w:t>
            </w:r>
          </w:p>
        </w:tc>
        <w:tc>
          <w:tcPr>
            <w:tcW w:type="dxa" w:w="32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25 lakh/year recurring</w:t>
            </w:r>
          </w:p>
        </w:tc>
        <w:tc>
          <w:tcPr>
            <w:tcW w:type="dxa" w:w="328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18 lakh/year recurring</w:t>
            </w:r>
          </w:p>
        </w:tc>
      </w:tr>
      <w:tr>
        <w:tc>
          <w:tcPr>
            <w:tcW w:type="dxa" w:w="2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Management</w:t>
            </w:r>
          </w:p>
        </w:tc>
        <w:tc>
          <w:tcPr>
            <w:tcW w:type="dxa" w:w="32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OneFS CLI/web (enterprise-grade, requires training)</w:t>
            </w:r>
          </w:p>
        </w:tc>
        <w:tc>
          <w:tcPr>
            <w:tcW w:type="dxa" w:w="328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DSM web UI (intuitive, minimal training needed)</w:t>
            </w:r>
          </w:p>
        </w:tc>
      </w:tr>
      <w:tr>
        <w:tc>
          <w:tcPr>
            <w:tcW w:type="dxa" w:w="2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Recommended when</w:t>
            </w:r>
          </w:p>
        </w:tc>
        <w:tc>
          <w:tcPr>
            <w:tcW w:type="dxa" w:w="32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Studio does real-time on-set 8K RAW conform, Netflix 4K HDR, simultaneous colourgrade on originals</w:t>
            </w:r>
          </w:p>
        </w:tc>
        <w:tc>
          <w:tcPr>
            <w:tcW w:type="dxa" w:w="32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Studio does proxy-first workflows, HD to 4K delivery, growing fast and needs cost-effective scale</w:t>
            </w:r>
          </w:p>
        </w:tc>
      </w:tr>
    </w:tbl>
    <w:p>
      <w:pPr>
        <w:spacing w:before="80" w:after="0" w:line="280" w:lineRule="auto"/>
      </w:pP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1.2 Why Synology HD6500 for B2H Studios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Requirement</w:t>
            </w:r>
          </w:p>
        </w:tc>
        <w:tc>
          <w:tcPr>
            <w:tcW w:type="dxa" w:w="616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How the Synology solution addresses it</w:t>
            </w:r>
          </w:p>
        </w:tc>
      </w:tr>
      <w:tr>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400TB on-prem storage</w:t>
            </w:r>
          </w:p>
        </w:tc>
        <w:tc>
          <w:tcPr>
            <w:tcW w:type="dxa" w:w="61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1x Synology HD6500 at Site A: 60 bays x 18TB SAS = 1,080TB raw. RAID6 configuration: 56 data + 4 parity = ~936TB usable (parity overhead + metadata). Far exceeds 400TB with room for 5+ years of growth.</w:t>
            </w:r>
          </w:p>
        </w:tc>
      </w:tr>
      <w:tr>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On-prem to on-prem secure access</w:t>
            </w:r>
          </w:p>
        </w:tc>
        <w:tc>
          <w:tcPr>
            <w:tcW w:type="dxa" w:w="616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25 remote employees access Site A via FortiClient ZTNA through FortiGate 120G HA pair. Same ZTNA design as Option A. Identical user experience.</w:t>
            </w:r>
          </w:p>
        </w:tc>
      </w:tr>
      <w:tr>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Cloud integration</w:t>
            </w:r>
          </w:p>
        </w:tc>
        <w:tc>
          <w:tcPr>
            <w:tcW w:type="dxa" w:w="61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Synology Hybrid Share natively integrates with Wasabi. Completed projects automatically sync to Wasabi. Local cache (SSD tier) keeps recently accessed data on-prem. Recall from Wasabi is automatic.</w:t>
            </w:r>
          </w:p>
        </w:tc>
      </w:tr>
      <w:tr>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DR replication</w:t>
            </w:r>
          </w:p>
        </w:tc>
        <w:tc>
          <w:tcPr>
            <w:tcW w:type="dxa" w:w="61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Synology Replication Manager replicates Site A shared folders to Site B HD6500 via SSL/TLS. RPO: configurable from 15 min. Site B unit takes over if Site A fails.</w:t>
            </w:r>
          </w:p>
        </w:tc>
      </w:tr>
      <w:tr>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Media ingest</w:t>
            </w:r>
          </w:p>
        </w:tc>
        <w:tc>
          <w:tcPr>
            <w:tcW w:type="dxa" w:w="61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Signiant Jet v7.0 SDCX on Dell R760 app server. Identical ingest architecture to Option A. FASP protocol, SHA-256 verification, NFS write to HD6500 ingest volume.</w:t>
            </w:r>
          </w:p>
        </w:tc>
      </w:tr>
      <w:tr>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Capital savings vs F710</w:t>
            </w:r>
          </w:p>
        </w:tc>
        <w:tc>
          <w:tcPr>
            <w:tcW w:type="dxa" w:w="616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r>
              <w:rPr>
                <w:rFonts w:ascii="Calibri" w:cs="Calibri" w:eastAsia="Calibri" w:hAnsi="Calibri"/>
                <w:b w:val="false"/>
                <w:bCs w:val="false"/>
                <w:color w:val="1A5C2A"/>
                <w:sz w:val="19"/>
                <w:szCs w:val="19"/>
              </w:rPr>
              <w:t xml:space="preserve">Rs. 9.46 Crore lower upfront investment vs Option A. Same security architecture, same ZTNA design, same Signiant ingest. Savings can fund 2 years of additional staff or equipment.</w:t>
            </w:r>
          </w:p>
        </w:tc>
      </w:tr>
    </w:tbl>
    <w:p>
      <w:r>
        <w:br w:type="page"/>
      </w:r>
    </w:p>
    <w:p>
      <w:pPr>
        <w:pStyle w:val="Heading1"/>
        <w:pBdr>
          <w:bottom w:val="single" w:color="1565C0" w:sz="12"/>
        </w:pBdr>
        <w:shd w:fill="003087" w:val="clear"/>
        <w:spacing w:before="400" w:after="180" w:line="280" w:lineRule="auto"/>
        <w:ind w:left="180" w:right="180"/>
      </w:pPr>
      <w:r>
        <w:rPr>
          <w:rFonts w:ascii="Calibri" w:cs="Calibri" w:eastAsia="Calibri" w:hAnsi="Calibri"/>
          <w:b/>
          <w:bCs/>
          <w:color w:val="FFFFFF"/>
          <w:sz w:val="40"/>
          <w:szCs w:val="40"/>
        </w:rPr>
        <w:t xml:space="preserve">2. Architecture Overview - Two-Site Design</w:t>
      </w:r>
    </w:p>
    <w:p>
      <w:pPr>
        <w:spacing w:before="100" w:after="100" w:line="280" w:lineRule="auto"/>
      </w:pPr>
      <w:r>
        <w:rPr>
          <w:rFonts w:ascii="Calibri" w:cs="Calibri" w:eastAsia="Calibri" w:hAnsi="Calibri"/>
          <w:b w:val="false"/>
          <w:bCs w:val="false"/>
          <w:i w:val="false"/>
          <w:iCs w:val="false"/>
          <w:color w:val="0A1628"/>
          <w:sz w:val="22"/>
          <w:szCs w:val="22"/>
        </w:rPr>
        <w:t xml:space="preserve">The Synology design mirrors the logical architecture of Option A in terms of security zones, VLAN design, and remote access model. The difference is at the storage layer: Synology HD6500 replaces PowerScale F710, DSM replaces OneFS, and Hybrid Share replaces CloudPools. All other components - FortiGate, HPE switches, Signiant, Wasabi, Vault - are sized appropriately for 10GbE networking instead of 25GbE.</w:t>
      </w:r>
    </w:p>
    <w:p>
      <w:pPr>
        <w:spacing w:before="60" w:after="0" w:line="280" w:lineRule="auto"/>
      </w:pP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2.1 Site A - Primary Data Centre</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Synology HD6500: 60-bay 4U unit. 60x 18TB SAS = 1,080TB raw. RAID6 (56+4): ~936TB usable. SSD cache tier with 4x 3.84TB NVMe for hot data acceleration.</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Dell PowerEdge R760 application server: VMs - Signiant SDCX, Aspera fallback, FortiAnalyzer, FortiClient EMS, FortiAuthenticator, HashiCorp Vault, Kaspersky Security Centre.</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FortiGate 120G HA pair: active-passive. SD-WAN dual ISP. ZTNA enforcement. Same as Option A.</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2x HPE Aruba CX 6300M switches (VSX stacked): 48x10GbE + 4x25GbE SFP28 uplinks. HD6500 4x10GbE front-end ports connect via LACP (40 Gbps per unit) across both switches.</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2x 10kVA UPS + ATS: Site A power protection.</w:t>
      </w:r>
    </w:p>
    <w:p>
      <w:pPr>
        <w:spacing w:before="70" w:after="0" w:line="280" w:lineRule="auto"/>
      </w:pP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2.2 Site B - Disaster Recovery</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Synology HD6500: 60-bay DR unit. Replication target for Site A active projects and deliverables. RPO: 15 minutes (active projects), 4 hours (archive).</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FortiGate 120G HA pair: perimeter security. Employees failover ZTNA to Site B FortiGate if Site A is unavailable.</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2x HPE Aruba CX 6300M switches (VSX stacked): identical to Site A.</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Dell PowerEdge R760 (DR, lighter spec): FortiAnalyzer secondary + Vault DR node.</w:t>
      </w:r>
    </w:p>
    <w:p>
      <w:pPr>
        <w:spacing w:before="70" w:after="0" w:line="280" w:lineRule="auto"/>
      </w:pP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2.3 Five-Zone VLAN Security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200"/>
        <w:gridCol w:w="2360"/>
        <w:gridCol w:w="3500"/>
      </w:tblGrid>
      <w:tr>
        <w:tc>
          <w:tcPr>
            <w:tcW w:type="dxa" w:w="12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Zone</w:t>
            </w:r>
          </w:p>
        </w:tc>
        <w:tc>
          <w:tcPr>
            <w:tcW w:type="dxa" w:w="11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VLAN</w:t>
            </w:r>
          </w:p>
        </w:tc>
        <w:tc>
          <w:tcPr>
            <w:tcW w:type="dxa" w:w="12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Subnet</w:t>
            </w:r>
          </w:p>
        </w:tc>
        <w:tc>
          <w:tcPr>
            <w:tcW w:type="dxa" w:w="236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Devices</w:t>
            </w:r>
          </w:p>
        </w:tc>
        <w:tc>
          <w:tcPr>
            <w:tcW w:type="dxa" w:w="35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Access policy</w:t>
            </w:r>
          </w:p>
        </w:tc>
      </w:tr>
      <w:tr>
        <w:tc>
          <w:tcPr>
            <w:tcW w:type="dxa" w:w="1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WAN</w:t>
            </w:r>
          </w:p>
        </w:tc>
        <w:tc>
          <w:tcPr>
            <w:tcW w:type="dxa" w:w="11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N/A</w:t>
            </w:r>
          </w:p>
        </w:tc>
        <w:tc>
          <w:tcPr>
            <w:tcW w:type="dxa" w:w="1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ISP given</w:t>
            </w:r>
          </w:p>
        </w:tc>
        <w:tc>
          <w:tcPr>
            <w:tcW w:type="dxa" w:w="23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FortiGate WAN1 + WAN2</w:t>
            </w:r>
          </w:p>
        </w:tc>
        <w:tc>
          <w:tcPr>
            <w:tcW w:type="dxa" w:w="35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Untrusted. Inbound: ZTNA HTTPS 443 + Signiant FASP UDP 33001 (geo-filtered). All else blocked.</w:t>
            </w:r>
          </w:p>
        </w:tc>
      </w:tr>
      <w:tr>
        <w:tc>
          <w:tcPr>
            <w:tcW w:type="dxa" w:w="1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DMZ</w:t>
            </w:r>
          </w:p>
        </w:tc>
        <w:tc>
          <w:tcPr>
            <w:tcW w:type="dxa" w:w="11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10</w:t>
            </w:r>
          </w:p>
        </w:tc>
        <w:tc>
          <w:tcPr>
            <w:tcW w:type="dxa" w:w="1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10.0.10.0/24</w:t>
            </w:r>
          </w:p>
        </w:tc>
        <w:tc>
          <w:tcPr>
            <w:tcW w:type="dxa" w:w="23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Signiant SDCX VM, Aspera fallback VM</w:t>
            </w:r>
          </w:p>
        </w:tc>
        <w:tc>
          <w:tcPr>
            <w:tcW w:type="dxa" w:w="3500"/>
            <w:tcBorders>
              <w:top w:val="single" w:color="CFD8DC" w:sz="4"/>
              <w:left w:val="single" w:color="CFD8DC" w:sz="4"/>
              <w:bottom w:val="single" w:color="CFD8DC" w:sz="4"/>
              <w:right w:val="single" w:color="CFD8DC" w:sz="4"/>
            </w:tcBorders>
            <w:shd w:fill="DAEAF7"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Semi-trusted. Inbound footage writes to Storage VLAN 30 via Rule 102 only.</w:t>
            </w:r>
          </w:p>
        </w:tc>
      </w:tr>
      <w:tr>
        <w:tc>
          <w:tcPr>
            <w:tcW w:type="dxa" w:w="1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Production</w:t>
            </w:r>
          </w:p>
        </w:tc>
        <w:tc>
          <w:tcPr>
            <w:tcW w:type="dxa" w:w="11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20</w:t>
            </w:r>
          </w:p>
        </w:tc>
        <w:tc>
          <w:tcPr>
            <w:tcW w:type="dxa" w:w="1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10.0.20.0/24</w:t>
            </w:r>
          </w:p>
        </w:tc>
        <w:tc>
          <w:tcPr>
            <w:tcW w:type="dxa" w:w="23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25 remote employees via ZTNA, app server VMs</w:t>
            </w:r>
          </w:p>
        </w:tc>
        <w:tc>
          <w:tcPr>
            <w:tcW w:type="dxa" w:w="35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ZTNA-enforced. Internet access permitted. NFS/SMB to Storage VLAN 30 via Rule 103.</w:t>
            </w:r>
          </w:p>
        </w:tc>
      </w:tr>
      <w:tr>
        <w:tc>
          <w:tcPr>
            <w:tcW w:type="dxa" w:w="1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Storage</w:t>
            </w:r>
          </w:p>
        </w:tc>
        <w:tc>
          <w:tcPr>
            <w:tcW w:type="dxa" w:w="11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30</w:t>
            </w:r>
          </w:p>
        </w:tc>
        <w:tc>
          <w:tcPr>
            <w:tcW w:type="dxa" w:w="1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10.0.30.0/24</w:t>
            </w:r>
          </w:p>
        </w:tc>
        <w:tc>
          <w:tcPr>
            <w:tcW w:type="dxa" w:w="23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Synology HD6500 (10GbE front-end)</w:t>
            </w:r>
          </w:p>
        </w:tc>
        <w:tc>
          <w:tcPr>
            <w:tcW w:type="dxa" w:w="3500"/>
            <w:tcBorders>
              <w:top w:val="single" w:color="CFD8DC" w:sz="4"/>
              <w:left w:val="single" w:color="CFD8DC" w:sz="4"/>
              <w:bottom w:val="single" w:color="CFD8DC" w:sz="4"/>
              <w:right w:val="single" w:color="CFD8DC" w:sz="4"/>
            </w:tcBorders>
            <w:shd w:fill="FFF8E1" w:val="clear"/>
            <w:tcMar>
              <w:top w:type="dxa" w:w="80"/>
              <w:left w:type="dxa" w:w="120"/>
              <w:bottom w:type="dxa" w:w="80"/>
              <w:right w:type="dxa" w:w="120"/>
            </w:tcMar>
            <w:vAlign w:val="center"/>
          </w:tcPr>
          <w:p>
            <w:r>
              <w:rPr>
                <w:rFonts w:ascii="Calibri" w:cs="Calibri" w:eastAsia="Calibri" w:hAnsi="Calibri"/>
                <w:b w:val="false"/>
                <w:bCs w:val="false"/>
                <w:color w:val="5D3A00"/>
                <w:sz w:val="19"/>
                <w:szCs w:val="19"/>
              </w:rPr>
              <w:t xml:space="preserve">ZERO internet access. No default gateway. Isolated 10GbE switched fabric. Reachable only from VLAN 10 and VLAN 20.</w:t>
            </w:r>
          </w:p>
        </w:tc>
      </w:tr>
      <w:tr>
        <w:tc>
          <w:tcPr>
            <w:tcW w:type="dxa" w:w="1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OOB Mgmt</w:t>
            </w:r>
          </w:p>
        </w:tc>
        <w:tc>
          <w:tcPr>
            <w:tcW w:type="dxa" w:w="11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40</w:t>
            </w:r>
          </w:p>
        </w:tc>
        <w:tc>
          <w:tcPr>
            <w:tcW w:type="dxa" w:w="1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10.0.40.0/24</w:t>
            </w:r>
          </w:p>
        </w:tc>
        <w:tc>
          <w:tcPr>
            <w:tcW w:type="dxa" w:w="23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FortiGate mgmt, switch mgmt, HD6500 DSM admin, all VM management</w:t>
            </w:r>
          </w:p>
        </w:tc>
        <w:tc>
          <w:tcPr>
            <w:tcW w:type="dxa" w:w="3500"/>
            <w:tcBorders>
              <w:top w:val="single" w:color="CFD8DC" w:sz="4"/>
              <w:left w:val="single" w:color="CFD8DC" w:sz="4"/>
              <w:bottom w:val="single" w:color="CFD8DC" w:sz="4"/>
              <w:right w:val="single" w:color="CFD8DC" w:sz="4"/>
            </w:tcBorders>
            <w:shd w:fill="FFEBEE"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Highest security. No internet. Jump host only. Vault lives here.</w:t>
            </w:r>
          </w:p>
        </w:tc>
      </w:tr>
    </w:tbl>
    <w:p>
      <w:r>
        <w:br w:type="page"/>
      </w:r>
    </w:p>
    <w:p>
      <w:pPr>
        <w:pStyle w:val="Heading1"/>
        <w:pBdr>
          <w:bottom w:val="single" w:color="1565C0" w:sz="12"/>
        </w:pBdr>
        <w:shd w:fill="003087" w:val="clear"/>
        <w:spacing w:before="400" w:after="180" w:line="280" w:lineRule="auto"/>
        <w:ind w:left="180" w:right="180"/>
      </w:pPr>
      <w:r>
        <w:rPr>
          <w:rFonts w:ascii="Calibri" w:cs="Calibri" w:eastAsia="Calibri" w:hAnsi="Calibri"/>
          <w:b/>
          <w:bCs/>
          <w:color w:val="FFFFFF"/>
          <w:sz w:val="40"/>
          <w:szCs w:val="40"/>
        </w:rPr>
        <w:t xml:space="preserve">3. Synology HD6500 - Storage Architecture</w:t>
      </w:r>
    </w:p>
    <w:p>
      <w:pPr>
        <w:pBdr>
          <w:left w:val="single" w:color="1565C0" w:sz="24" w:space="7"/>
        </w:pBdr>
        <w:shd w:fill="DAEAF7" w:val="clear"/>
        <w:spacing w:before="130" w:after="130" w:line="280" w:lineRule="auto"/>
        <w:ind w:left="180" w:right="180"/>
      </w:pPr>
      <w:r>
        <w:rPr>
          <w:rFonts w:ascii="Calibri" w:cs="Calibri" w:eastAsia="Calibri" w:hAnsi="Calibri"/>
          <w:b/>
          <w:bCs/>
          <w:color w:val="1565C0"/>
          <w:sz w:val="22"/>
          <w:szCs w:val="22"/>
        </w:rPr>
        <w:t xml:space="preserve">Why HD6500 for Media:  </w:t>
      </w:r>
      <w:r>
        <w:rPr>
          <w:rFonts w:ascii="Calibri" w:cs="Calibri" w:eastAsia="Calibri" w:hAnsi="Calibri"/>
          <w:b w:val="false"/>
          <w:bCs w:val="false"/>
          <w:i w:val="false"/>
          <w:iCs w:val="false"/>
          <w:color w:val="0A1628"/>
          <w:sz w:val="21"/>
          <w:szCs w:val="21"/>
        </w:rPr>
        <w:t xml:space="preserve">The Synology HD6500 is a 60-bay enterprise NAS running DSM 7.x. It is designed for dense, cost-effective storage at scale. Synology is the world's largest NAS vendor by unit volume. DSM is the most administrator-friendly NAS OS available - the web UI is intuitive, tasks that take CLI expertise on OneFS are done in a few clicks on DSM. For a studio without a full-time storage admin, this operational simplicity is a significant advantage.</w:t>
      </w:r>
    </w:p>
    <w:p>
      <w:pPr>
        <w:spacing w:before="70" w:after="0" w:line="280" w:lineRule="auto"/>
      </w:pP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3.1 Hardware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160"/>
        <w:gridCol w:w="3400"/>
      </w:tblGrid>
      <w:tr>
        <w:tc>
          <w:tcPr>
            <w:tcW w:type="dxa" w:w="28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Component</w:t>
            </w:r>
          </w:p>
        </w:tc>
        <w:tc>
          <w:tcPr>
            <w:tcW w:type="dxa" w:w="316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Specification</w:t>
            </w:r>
          </w:p>
        </w:tc>
        <w:tc>
          <w:tcPr>
            <w:tcW w:type="dxa" w:w="34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What it means for B2H</w:t>
            </w:r>
          </w:p>
        </w:tc>
      </w:tr>
      <w:tr>
        <w:tc>
          <w:tcPr>
            <w:tcW w:type="dxa" w:w="2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Chassis</w:t>
            </w:r>
          </w:p>
        </w:tc>
        <w:tc>
          <w:tcPr>
            <w:tcW w:type="dxa" w:w="31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4U rack-mount, 60-bay, hot-swap drives</w:t>
            </w:r>
          </w:p>
        </w:tc>
        <w:tc>
          <w:tcPr>
            <w:tcW w:type="dxa" w:w="3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60 drives in 4U. A full 400TB+ build in one unit. Quiet, hot-swap means drive replacement without downtime.</w:t>
            </w:r>
          </w:p>
        </w:tc>
      </w:tr>
      <w:tr>
        <w:tc>
          <w:tcPr>
            <w:tcW w:type="dxa" w:w="2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CPU</w:t>
            </w:r>
          </w:p>
        </w:tc>
        <w:tc>
          <w:tcPr>
            <w:tcW w:type="dxa" w:w="31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Intel Xeon D-1700 series, 16GB ECC DDR4 RAM (default)</w:t>
            </w:r>
          </w:p>
        </w:tc>
        <w:tc>
          <w:tcPr>
            <w:tcW w:type="dxa" w:w="3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Dedicated NAS processor with hardware AES encryption acceleration. ECC RAM prevents silent data corruption.</w:t>
            </w:r>
          </w:p>
        </w:tc>
      </w:tr>
      <w:tr>
        <w:tc>
          <w:tcPr>
            <w:tcW w:type="dxa" w:w="2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Drive capacity</w:t>
            </w:r>
          </w:p>
        </w:tc>
        <w:tc>
          <w:tcPr>
            <w:tcW w:type="dxa" w:w="31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60x 18TB SAS/SATA HDD = 1,080TB raw per unit</w:t>
            </w:r>
          </w:p>
        </w:tc>
        <w:tc>
          <w:tcPr>
            <w:tcW w:type="dxa" w:w="34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Massive capacity. After RAID6: ~936TB usable. 400TB requirement has &gt;536TB headroom for future projects.</w:t>
            </w:r>
          </w:p>
        </w:tc>
      </w:tr>
      <w:tr>
        <w:tc>
          <w:tcPr>
            <w:tcW w:type="dxa" w:w="2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SSD cache tier</w:t>
            </w:r>
          </w:p>
        </w:tc>
        <w:tc>
          <w:tcPr>
            <w:tcW w:type="dxa" w:w="31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4x M.2 NVMe SSD slots (2x read + 2x write cache). Up to 4x 3.84TB NVMe</w:t>
            </w:r>
          </w:p>
        </w:tc>
        <w:tc>
          <w:tcPr>
            <w:tcW w:type="dxa" w:w="3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Up to 15.36TB SSD read/write cache. Hot footage (active project, recent proxies) served from NVMe. Cold data from HDD.</w:t>
            </w:r>
          </w:p>
        </w:tc>
      </w:tr>
      <w:tr>
        <w:tc>
          <w:tcPr>
            <w:tcW w:type="dxa" w:w="2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Front-end NIC</w:t>
            </w:r>
          </w:p>
        </w:tc>
        <w:tc>
          <w:tcPr>
            <w:tcW w:type="dxa" w:w="31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4x 10GbE RJ45 + 2x 25GbE SFP28 (optional expansion)</w:t>
            </w:r>
          </w:p>
        </w:tc>
        <w:tc>
          <w:tcPr>
            <w:tcW w:type="dxa" w:w="3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4x 10GbE LACP bond to HPE CX 6300M: 40 Gbps aggregate. Sufficient for 25 concurrent editors on compressed proxies.</w:t>
            </w:r>
          </w:p>
        </w:tc>
      </w:tr>
      <w:tr>
        <w:tc>
          <w:tcPr>
            <w:tcW w:type="dxa" w:w="2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Expansion</w:t>
            </w:r>
          </w:p>
        </w:tc>
        <w:tc>
          <w:tcPr>
            <w:tcW w:type="dxa" w:w="31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Connect up to 180 drives total with RX1217 expansion units</w:t>
            </w:r>
          </w:p>
        </w:tc>
        <w:tc>
          <w:tcPr>
            <w:tcW w:type="dxa" w:w="3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If B2H grows to 600TB+ on-prem, add expansion units without replacing the head unit. Investment protected.</w:t>
            </w:r>
          </w:p>
        </w:tc>
      </w:tr>
      <w:tr>
        <w:tc>
          <w:tcPr>
            <w:tcW w:type="dxa" w:w="2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RAID options</w:t>
            </w:r>
          </w:p>
        </w:tc>
        <w:tc>
          <w:tcPr>
            <w:tcW w:type="dxa" w:w="31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RAID1/5/6/10, SHR (Synology Hybrid RAID), RAID-F1 (flash)</w:t>
            </w:r>
          </w:p>
        </w:tc>
        <w:tc>
          <w:tcPr>
            <w:tcW w:type="dxa" w:w="3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Recommended: RAID6. Survives 2 simultaneous drive failures. 56 data + 4 parity from 60 bays.</w:t>
            </w:r>
          </w:p>
        </w:tc>
      </w:tr>
      <w:tr>
        <w:tc>
          <w:tcPr>
            <w:tcW w:type="dxa" w:w="2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OS</w:t>
            </w:r>
          </w:p>
        </w:tc>
        <w:tc>
          <w:tcPr>
            <w:tcW w:type="dxa" w:w="31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DSM 7.2+ (DiskStation Manager). Web-based admin interface.</w:t>
            </w:r>
          </w:p>
        </w:tc>
        <w:tc>
          <w:tcPr>
            <w:tcW w:type="dxa" w:w="3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Browser-based admin: no CLI expertise needed for daily operations. App ecosystem: Synology Drive, Replication Manager, Hybrid Share, Active Backup.</w:t>
            </w:r>
          </w:p>
        </w:tc>
      </w:tr>
    </w:tbl>
    <w:p>
      <w:pPr>
        <w:spacing w:before="70" w:after="0" w:line="280" w:lineRule="auto"/>
      </w:pP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3.2 Capacity Planning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Site</w:t>
            </w:r>
          </w:p>
        </w:tc>
        <w:tc>
          <w:tcPr>
            <w:tcW w:type="dxa" w:w="24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Units</w:t>
            </w:r>
          </w:p>
        </w:tc>
        <w:tc>
          <w:tcPr>
            <w:tcW w:type="dxa" w:w="24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Raw capacity</w:t>
            </w:r>
          </w:p>
        </w:tc>
        <w:tc>
          <w:tcPr>
            <w:tcW w:type="dxa" w:w="216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Usable (RAID6)</w:t>
            </w:r>
          </w:p>
        </w:tc>
      </w:tr>
      <w:tr>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Site A (primary)</w:t>
            </w:r>
          </w:p>
        </w:tc>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1x HD6500</w:t>
            </w:r>
          </w:p>
        </w:tc>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1,080TB (60x18TB)</w:t>
            </w:r>
          </w:p>
        </w:tc>
        <w:tc>
          <w:tcPr>
            <w:tcW w:type="dxa" w:w="216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~936TB</w:t>
            </w:r>
          </w:p>
        </w:tc>
      </w:tr>
      <w:tr>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Site B (DR)</w:t>
            </w:r>
          </w:p>
        </w:tc>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1x HD6500</w:t>
            </w:r>
          </w:p>
        </w:tc>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1,080TB</w:t>
            </w:r>
          </w:p>
        </w:tc>
        <w:tc>
          <w:tcPr>
            <w:tcW w:type="dxa" w:w="216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~936TB</w:t>
            </w:r>
          </w:p>
        </w:tc>
      </w:tr>
      <w:tr>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Total on-prem</w:t>
            </w:r>
          </w:p>
        </w:tc>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 units</w:t>
            </w:r>
          </w:p>
        </w:tc>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2,160TB raw</w:t>
            </w:r>
          </w:p>
        </w:tc>
        <w:tc>
          <w:tcPr>
            <w:tcW w:type="dxa" w:w="216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r>
              <w:rPr>
                <w:rFonts w:ascii="Calibri" w:cs="Calibri" w:eastAsia="Calibri" w:hAnsi="Calibri"/>
                <w:b/>
                <w:bCs/>
                <w:color w:val="1A5C2A"/>
                <w:sz w:val="19"/>
                <w:szCs w:val="19"/>
              </w:rPr>
              <w:t xml:space="preserve">~1,872TB usable</w:t>
            </w:r>
          </w:p>
        </w:tc>
      </w:tr>
      <w:tr>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Wasabi cloud tier</w:t>
            </w:r>
          </w:p>
        </w:tc>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Unlimited (pay per use)</w:t>
            </w:r>
          </w:p>
        </w:tc>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Scalable</w:t>
            </w:r>
          </w:p>
        </w:tc>
        <w:tc>
          <w:tcPr>
            <w:tcW w:type="dxa" w:w="2160"/>
            <w:tcBorders>
              <w:top w:val="single" w:color="CFD8DC" w:sz="4"/>
              <w:left w:val="single" w:color="CFD8DC" w:sz="4"/>
              <w:bottom w:val="single" w:color="CFD8DC" w:sz="4"/>
              <w:right w:val="single" w:color="CFD8DC" w:sz="4"/>
            </w:tcBorders>
            <w:shd w:fill="DAEAF7"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Rs.498/TB/month</w:t>
            </w:r>
          </w:p>
        </w:tc>
      </w:tr>
    </w:tbl>
    <w:p>
      <w:pPr>
        <w:spacing w:before="70" w:after="0" w:line="280" w:lineRule="auto"/>
      </w:pP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3.3 Shared Folder and Volume Design (Site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400"/>
        <w:gridCol w:w="4160"/>
      </w:tblGrid>
      <w:tr>
        <w:tc>
          <w:tcPr>
            <w:tcW w:type="dxa" w:w="26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Shared folder</w:t>
            </w:r>
          </w:p>
        </w:tc>
        <w:tc>
          <w:tcPr>
            <w:tcW w:type="dxa" w:w="12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Quota</w:t>
            </w:r>
          </w:p>
        </w:tc>
        <w:tc>
          <w:tcPr>
            <w:tcW w:type="dxa" w:w="14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Protocol</w:t>
            </w:r>
          </w:p>
        </w:tc>
        <w:tc>
          <w:tcPr>
            <w:tcW w:type="dxa" w:w="416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Access and data policy</w:t>
            </w:r>
          </w:p>
        </w:tc>
      </w:tr>
      <w:tr>
        <w:tc>
          <w:tcPr>
            <w:tcW w:type="dxa" w:w="2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\\NAS\projects\active</w:t>
            </w:r>
          </w:p>
        </w:tc>
        <w:tc>
          <w:tcPr>
            <w:tcW w:type="dxa" w:w="1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400 TB</w:t>
            </w:r>
          </w:p>
        </w:tc>
        <w:tc>
          <w:tcPr>
            <w:tcW w:type="dxa" w:w="1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NFS + SMB</w:t>
            </w:r>
          </w:p>
        </w:tc>
        <w:tc>
          <w:tcPr>
            <w:tcW w:type="dxa" w:w="41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All 25 employees via ZTNA. Snapshots: every 2 hours, keep 24 copies (48 hours). Ransomware recovery point.</w:t>
            </w:r>
          </w:p>
        </w:tc>
      </w:tr>
      <w:tr>
        <w:tc>
          <w:tcPr>
            <w:tcW w:type="dxa" w:w="2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\\NAS\ingest</w:t>
            </w:r>
          </w:p>
        </w:tc>
        <w:tc>
          <w:tcPr>
            <w:tcW w:type="dxa" w:w="1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50 TB</w:t>
            </w:r>
          </w:p>
        </w:tc>
        <w:tc>
          <w:tcPr>
            <w:tcW w:type="dxa" w:w="1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NFS</w:t>
            </w:r>
          </w:p>
        </w:tc>
        <w:tc>
          <w:tcPr>
            <w:tcW w:type="dxa" w:w="4160"/>
            <w:tcBorders>
              <w:top w:val="single" w:color="CFD8DC" w:sz="4"/>
              <w:left w:val="single" w:color="CFD8DC" w:sz="4"/>
              <w:bottom w:val="single" w:color="CFD8DC" w:sz="4"/>
              <w:right w:val="single" w:color="CFD8DC" w:sz="4"/>
            </w:tcBorders>
            <w:shd w:fill="DAEAF7"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Signiant SDCX VM only (VLAN 10). Footage lands here. SHA-256 check, then moved to projects/active by automation.</w:t>
            </w:r>
          </w:p>
        </w:tc>
      </w:tr>
      <w:tr>
        <w:tc>
          <w:tcPr>
            <w:tcW w:type="dxa" w:w="2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\\NAS\deliverables</w:t>
            </w:r>
          </w:p>
        </w:tc>
        <w:tc>
          <w:tcPr>
            <w:tcW w:type="dxa" w:w="1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100 TB</w:t>
            </w:r>
          </w:p>
        </w:tc>
        <w:tc>
          <w:tcPr>
            <w:tcW w:type="dxa" w:w="1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SMB (read-only after lock)</w:t>
            </w:r>
          </w:p>
        </w:tc>
        <w:tc>
          <w:tcPr>
            <w:tcW w:type="dxa" w:w="41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WORM write-lock applied in DSM after delivery. Hybrid Share syncs to Wasabi after 30 days.</w:t>
            </w:r>
          </w:p>
        </w:tc>
      </w:tr>
      <w:tr>
        <w:tc>
          <w:tcPr>
            <w:tcW w:type="dxa" w:w="2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\\NAS\archive</w:t>
            </w:r>
          </w:p>
        </w:tc>
        <w:tc>
          <w:tcPr>
            <w:tcW w:type="dxa" w:w="1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No limit</w:t>
            </w:r>
          </w:p>
        </w:tc>
        <w:tc>
          <w:tcPr>
            <w:tcW w:type="dxa" w:w="1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NFS (IT only)</w:t>
            </w:r>
          </w:p>
        </w:tc>
        <w:tc>
          <w:tcPr>
            <w:tcW w:type="dxa" w:w="41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Completed projects. Hybrid Share auto-syncs to Wasabi when local cache eviction threshold met.</w:t>
            </w:r>
          </w:p>
        </w:tc>
      </w:tr>
      <w:tr>
        <w:tc>
          <w:tcPr>
            <w:tcW w:type="dxa" w:w="2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\\NAS\proxies</w:t>
            </w:r>
          </w:p>
        </w:tc>
        <w:tc>
          <w:tcPr>
            <w:tcW w:type="dxa" w:w="1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20 TB</w:t>
            </w:r>
          </w:p>
        </w:tc>
        <w:tc>
          <w:tcPr>
            <w:tcW w:type="dxa" w:w="1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SMB</w:t>
            </w:r>
          </w:p>
        </w:tc>
        <w:tc>
          <w:tcPr>
            <w:tcW w:type="dxa" w:w="4160"/>
            <w:tcBorders>
              <w:top w:val="single" w:color="CFD8DC" w:sz="4"/>
              <w:left w:val="single" w:color="CFD8DC" w:sz="4"/>
              <w:bottom w:val="single" w:color="CFD8DC" w:sz="4"/>
              <w:right w:val="single" w:color="CFD8DC" w:sz="4"/>
            </w:tcBorders>
            <w:shd w:fill="DAEAF7"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NVMe SSD cache tier accelerates proxy reads. Editors work on these. Conform to originals on delivery.</w:t>
            </w:r>
          </w:p>
        </w:tc>
      </w:tr>
    </w:tbl>
    <w:p>
      <w:pPr>
        <w:spacing w:before="70" w:after="0" w:line="280" w:lineRule="auto"/>
      </w:pP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3.4 Synology Replication Manager - DR to Site B</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Create a replication task in Synology Replication Manager: source = Site A HD6500, destination = Site B HD6500. Shared folders: projects/active/, deliverables/.</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Replication schedule: real-time replication (every 5 minutes) for projects/active/. Scheduled daily replication for archive/.</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Bandwidth throttle: set replication to use maximum 80% of WAN link during business hours, 100% overnight. Ensures replication does not impact ZTNA employee performance.</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Failover: if Site A is unavailable, IT promotes the Site B replication target to writable in Replication Manager. Employees update ZTNA profile to connect to Site B FortiGate. Recovery time: under 10 minutes.</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Failback: when Site A recovers, create a reverse replication task from Site B to Site A to sync any changes made during the failover period. Then fail forward back to Site A as primary.</w:t>
      </w:r>
    </w:p>
    <w:p>
      <w:r>
        <w:br w:type="page"/>
      </w:r>
    </w:p>
    <w:p>
      <w:pPr>
        <w:pStyle w:val="Heading1"/>
        <w:pBdr>
          <w:bottom w:val="single" w:color="1565C0" w:sz="12"/>
        </w:pBdr>
        <w:shd w:fill="003087" w:val="clear"/>
        <w:spacing w:before="400" w:after="180" w:line="280" w:lineRule="auto"/>
        <w:ind w:left="180" w:right="180"/>
      </w:pPr>
      <w:r>
        <w:rPr>
          <w:rFonts w:ascii="Calibri" w:cs="Calibri" w:eastAsia="Calibri" w:hAnsi="Calibri"/>
          <w:b/>
          <w:bCs/>
          <w:color w:val="FFFFFF"/>
          <w:sz w:val="40"/>
          <w:szCs w:val="40"/>
        </w:rPr>
        <w:t xml:space="preserve">4. Network Design - HPE Aruba CX 6300M + FortiGate 120G</w:t>
      </w: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4.1 Why HPE Aruba CX 6300M for Synology HD6500</w:t>
      </w:r>
    </w:p>
    <w:p>
      <w:pPr>
        <w:spacing w:before="100" w:after="100" w:line="280" w:lineRule="auto"/>
      </w:pPr>
      <w:r>
        <w:rPr>
          <w:rFonts w:ascii="Calibri" w:cs="Calibri" w:eastAsia="Calibri" w:hAnsi="Calibri"/>
          <w:b w:val="false"/>
          <w:bCs w:val="false"/>
          <w:i w:val="false"/>
          <w:iCs w:val="false"/>
          <w:color w:val="0A1628"/>
          <w:sz w:val="22"/>
          <w:szCs w:val="22"/>
        </w:rPr>
        <w:t xml:space="preserve">The Synology HD6500 has 4x 10GbE RJ45 front-end ports. The HPE Aruba CX 6300M is the correct match: 48x1GbE access ports with 4x25GbE SFP28 or 4x10GbE SFP28 uplinks, and VSX stacking (Virtual Switching Extension) for logical dual-chassis redundancy. The 10GbE connectivity from HD6500 bonds across two CX 6300M switches via LACP for 40 Gbps aggregate throughput and switch redundancy.</w:t>
      </w:r>
    </w:p>
    <w:p>
      <w:pPr>
        <w:spacing w:before="60" w:after="0" w:line="280" w:lineRule="auto"/>
      </w:pP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4.2 10GbE EtherChannel - HD6500 to HPE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1800"/>
        <w:gridCol w:w="1800"/>
        <w:gridCol w:w="2360"/>
      </w:tblGrid>
      <w:tr>
        <w:tc>
          <w:tcPr>
            <w:tcW w:type="dxa" w:w="14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HD6500 port</w:t>
            </w:r>
          </w:p>
        </w:tc>
        <w:tc>
          <w:tcPr>
            <w:tcW w:type="dxa" w:w="20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Connection</w:t>
            </w:r>
          </w:p>
        </w:tc>
        <w:tc>
          <w:tcPr>
            <w:tcW w:type="dxa" w:w="18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Cable type</w:t>
            </w:r>
          </w:p>
        </w:tc>
        <w:tc>
          <w:tcPr>
            <w:tcW w:type="dxa" w:w="18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CX 6300M port</w:t>
            </w:r>
          </w:p>
        </w:tc>
        <w:tc>
          <w:tcPr>
            <w:tcW w:type="dxa" w:w="236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LACP group / bandwidth</w:t>
            </w:r>
          </w:p>
        </w:tc>
      </w:tr>
      <w:tr>
        <w:tc>
          <w:tcPr>
            <w:tcW w:type="dxa" w:w="1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10GbE Port 1</w:t>
            </w:r>
          </w:p>
        </w:tc>
        <w:tc>
          <w:tcPr>
            <w:tcW w:type="dxa" w:w="2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Bond member 1 (primary)</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10GbE DAC 1m</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SW-1 SFP+ uplink 1</w:t>
            </w:r>
          </w:p>
        </w:tc>
        <w:tc>
          <w:tcPr>
            <w:tcW w:type="dxa" w:w="23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LACP Group 1 (10Gbps member)</w:t>
            </w:r>
          </w:p>
        </w:tc>
      </w:tr>
      <w:tr>
        <w:tc>
          <w:tcPr>
            <w:tcW w:type="dxa" w:w="1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10GbE Port 2</w:t>
            </w:r>
          </w:p>
        </w:tc>
        <w:tc>
          <w:tcPr>
            <w:tcW w:type="dxa" w:w="2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Bond member 2</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10GbE DAC 1m</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SW-1 SFP+ uplink 2</w:t>
            </w:r>
          </w:p>
        </w:tc>
        <w:tc>
          <w:tcPr>
            <w:tcW w:type="dxa" w:w="23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LACP Group 1 (10Gbps member)</w:t>
            </w:r>
          </w:p>
        </w:tc>
      </w:tr>
      <w:tr>
        <w:tc>
          <w:tcPr>
            <w:tcW w:type="dxa" w:w="1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10GbE Port 3</w:t>
            </w:r>
          </w:p>
        </w:tc>
        <w:tc>
          <w:tcPr>
            <w:tcW w:type="dxa" w:w="2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Bond member 3 (cross-switch)</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10GbE DAC 1m</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SW-2 SFP+ uplink 1</w:t>
            </w:r>
          </w:p>
        </w:tc>
        <w:tc>
          <w:tcPr>
            <w:tcW w:type="dxa" w:w="23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LACP Group 1 (cross-switch, VSX redundancy)</w:t>
            </w:r>
          </w:p>
        </w:tc>
      </w:tr>
      <w:tr>
        <w:tc>
          <w:tcPr>
            <w:tcW w:type="dxa" w:w="1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10GbE Port 4</w:t>
            </w:r>
          </w:p>
        </w:tc>
        <w:tc>
          <w:tcPr>
            <w:tcW w:type="dxa" w:w="2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Bond member 4 (cross-switch)</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10GbE DAC 1m</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SW-2 SFP+ uplink 2</w:t>
            </w:r>
          </w:p>
        </w:tc>
        <w:tc>
          <w:tcPr>
            <w:tcW w:type="dxa" w:w="23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LACP Group 1 (cross-switch, VSX redundancy)</w:t>
            </w:r>
          </w:p>
        </w:tc>
      </w:tr>
      <w:tr>
        <w:tc>
          <w:tcPr>
            <w:tcW w:type="dxa" w:w="1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Aggregate</w:t>
            </w:r>
          </w:p>
        </w:tc>
        <w:tc>
          <w:tcPr>
            <w:tcW w:type="dxa" w:w="2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4x 10GbE LACP</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
            </w:r>
          </w:p>
        </w:tc>
        <w:tc>
          <w:tcPr>
            <w:tcW w:type="dxa" w:w="236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r>
              <w:rPr>
                <w:rFonts w:ascii="Calibri" w:cs="Calibri" w:eastAsia="Calibri" w:hAnsi="Calibri"/>
                <w:b w:val="false"/>
                <w:bCs w:val="false"/>
                <w:color w:val="1A5C2A"/>
                <w:sz w:val="19"/>
                <w:szCs w:val="19"/>
              </w:rPr>
              <w:t xml:space="preserve">40 Gbps active-active. Switch failure: drops to 20 Gbps, no downtime.</w:t>
            </w:r>
          </w:p>
        </w:tc>
      </w:tr>
    </w:tbl>
    <w:p>
      <w:pPr>
        <w:spacing w:before="70" w:after="0" w:line="280" w:lineRule="auto"/>
      </w:pP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4.3 HPE Aruba CX 6300M - Key Configuration</w:t>
      </w:r>
    </w:p>
    <w:p>
      <w:pPr>
        <w:pBdr>
          <w:left w:val="single" w:color="003087" w:sz="12" w:space="5"/>
        </w:pBdr>
        <w:shd w:fill="F0F4F8" w:val="clear"/>
        <w:spacing w:before="45" w:after="45" w:line="280" w:lineRule="auto"/>
        <w:ind w:left="360" w:right="220"/>
      </w:pPr>
      <w:r>
        <w:rPr>
          <w:rFonts w:ascii="Courier New" w:cs="Courier New" w:eastAsia="Courier New" w:hAnsi="Courier New"/>
          <w:color w:val="1B3B6F"/>
          <w:sz w:val="18"/>
          <w:szCs w:val="18"/>
        </w:rPr>
        <w:t xml:space="preserve">! VSX stack - SW-1 is primary, SW-2 is secondary</w:t>
      </w:r>
    </w:p>
    <w:p>
      <w:pPr>
        <w:pBdr>
          <w:left w:val="single" w:color="003087" w:sz="12" w:space="5"/>
        </w:pBdr>
        <w:shd w:fill="F0F4F8" w:val="clear"/>
        <w:spacing w:before="45" w:after="45" w:line="280" w:lineRule="auto"/>
        <w:ind w:left="360" w:right="220"/>
      </w:pPr>
      <w:r>
        <w:rPr>
          <w:rFonts w:ascii="Courier New" w:cs="Courier New" w:eastAsia="Courier New" w:hAnsi="Courier New"/>
          <w:color w:val="1B3B6F"/>
          <w:sz w:val="18"/>
          <w:szCs w:val="18"/>
        </w:rPr>
        <w:t xml:space="preserve">vsx</w:t>
      </w:r>
    </w:p>
    <w:p>
      <w:pPr>
        <w:pBdr>
          <w:left w:val="single" w:color="003087" w:sz="12" w:space="5"/>
        </w:pBdr>
        <w:shd w:fill="F0F4F8" w:val="clear"/>
        <w:spacing w:before="45" w:after="45" w:line="280" w:lineRule="auto"/>
        <w:ind w:left="360" w:right="220"/>
      </w:pPr>
      <w:r>
        <w:rPr>
          <w:rFonts w:ascii="Courier New" w:cs="Courier New" w:eastAsia="Courier New" w:hAnsi="Courier New"/>
          <w:color w:val="1B3B6F"/>
          <w:sz w:val="18"/>
          <w:szCs w:val="18"/>
        </w:rPr>
        <w:t xml:space="preserve">  system-mac 02:01:00:00:01:00</w:t>
      </w:r>
    </w:p>
    <w:p>
      <w:pPr>
        <w:pBdr>
          <w:left w:val="single" w:color="003087" w:sz="12" w:space="5"/>
        </w:pBdr>
        <w:shd w:fill="F0F4F8" w:val="clear"/>
        <w:spacing w:before="45" w:after="45" w:line="280" w:lineRule="auto"/>
        <w:ind w:left="360" w:right="220"/>
      </w:pPr>
      <w:r>
        <w:rPr>
          <w:rFonts w:ascii="Courier New" w:cs="Courier New" w:eastAsia="Courier New" w:hAnsi="Courier New"/>
          <w:color w:val="1B3B6F"/>
          <w:sz w:val="18"/>
          <w:szCs w:val="18"/>
        </w:rPr>
        <w:t xml:space="preserve">  inter-switch-link lag 256</w:t>
      </w:r>
    </w:p>
    <w:p>
      <w:pPr>
        <w:pBdr>
          <w:left w:val="single" w:color="003087" w:sz="12" w:space="5"/>
        </w:pBdr>
        <w:shd w:fill="F0F4F8" w:val="clear"/>
        <w:spacing w:before="45" w:after="45" w:line="280" w:lineRule="auto"/>
        <w:ind w:left="360" w:right="220"/>
      </w:pPr>
      <w:r>
        <w:rPr>
          <w:rFonts w:ascii="Courier New" w:cs="Courier New" w:eastAsia="Courier New" w:hAnsi="Courier New"/>
          <w:color w:val="1B3B6F"/>
          <w:sz w:val="18"/>
          <w:szCs w:val="18"/>
        </w:rPr>
        <w:t xml:space="preserve">! LACP trunk for HD6500</w:t>
      </w:r>
    </w:p>
    <w:p>
      <w:pPr>
        <w:pBdr>
          <w:left w:val="single" w:color="003087" w:sz="12" w:space="5"/>
        </w:pBdr>
        <w:shd w:fill="F0F4F8" w:val="clear"/>
        <w:spacing w:before="45" w:after="45" w:line="280" w:lineRule="auto"/>
        <w:ind w:left="360" w:right="220"/>
      </w:pPr>
      <w:r>
        <w:rPr>
          <w:rFonts w:ascii="Courier New" w:cs="Courier New" w:eastAsia="Courier New" w:hAnsi="Courier New"/>
          <w:color w:val="1B3B6F"/>
          <w:sz w:val="18"/>
          <w:szCs w:val="18"/>
        </w:rPr>
        <w:t xml:space="preserve">interface lag 1</w:t>
      </w:r>
    </w:p>
    <w:p>
      <w:pPr>
        <w:pBdr>
          <w:left w:val="single" w:color="003087" w:sz="12" w:space="5"/>
        </w:pBdr>
        <w:shd w:fill="F0F4F8" w:val="clear"/>
        <w:spacing w:before="45" w:after="45" w:line="280" w:lineRule="auto"/>
        <w:ind w:left="360" w:right="220"/>
      </w:pPr>
      <w:r>
        <w:rPr>
          <w:rFonts w:ascii="Courier New" w:cs="Courier New" w:eastAsia="Courier New" w:hAnsi="Courier New"/>
          <w:color w:val="1B3B6F"/>
          <w:sz w:val="18"/>
          <w:szCs w:val="18"/>
        </w:rPr>
        <w:t xml:space="preserve">  lacp mode active</w:t>
      </w:r>
    </w:p>
    <w:p>
      <w:pPr>
        <w:pBdr>
          <w:left w:val="single" w:color="003087" w:sz="12" w:space="5"/>
        </w:pBdr>
        <w:shd w:fill="F0F4F8" w:val="clear"/>
        <w:spacing w:before="45" w:after="45" w:line="280" w:lineRule="auto"/>
        <w:ind w:left="360" w:right="220"/>
      </w:pPr>
      <w:r>
        <w:rPr>
          <w:rFonts w:ascii="Courier New" w:cs="Courier New" w:eastAsia="Courier New" w:hAnsi="Courier New"/>
          <w:color w:val="1B3B6F"/>
          <w:sz w:val="18"/>
          <w:szCs w:val="18"/>
        </w:rPr>
        <w:t xml:space="preserve">  vlan trunk native 1</w:t>
      </w:r>
    </w:p>
    <w:p>
      <w:pPr>
        <w:pBdr>
          <w:left w:val="single" w:color="003087" w:sz="12" w:space="5"/>
        </w:pBdr>
        <w:shd w:fill="F0F4F8" w:val="clear"/>
        <w:spacing w:before="45" w:after="45" w:line="280" w:lineRule="auto"/>
        <w:ind w:left="360" w:right="220"/>
      </w:pPr>
      <w:r>
        <w:rPr>
          <w:rFonts w:ascii="Courier New" w:cs="Courier New" w:eastAsia="Courier New" w:hAnsi="Courier New"/>
          <w:color w:val="1B3B6F"/>
          <w:sz w:val="18"/>
          <w:szCs w:val="18"/>
        </w:rPr>
        <w:t xml:space="preserve">  vlan trunk allowed 30</w:t>
      </w:r>
    </w:p>
    <w:p>
      <w:pPr>
        <w:pBdr>
          <w:left w:val="single" w:color="003087" w:sz="12" w:space="5"/>
        </w:pBdr>
        <w:shd w:fill="F0F4F8" w:val="clear"/>
        <w:spacing w:before="45" w:after="45" w:line="280" w:lineRule="auto"/>
        <w:ind w:left="360" w:right="220"/>
      </w:pPr>
      <w:r>
        <w:rPr>
          <w:rFonts w:ascii="Courier New" w:cs="Courier New" w:eastAsia="Courier New" w:hAnsi="Courier New"/>
          <w:color w:val="1B3B6F"/>
          <w:sz w:val="18"/>
          <w:szCs w:val="18"/>
        </w:rPr>
        <w:t xml:space="preserve">  spanning-tree port-type admin-edge</w:t>
      </w:r>
    </w:p>
    <w:p>
      <w:pPr>
        <w:pBdr>
          <w:left w:val="single" w:color="003087" w:sz="12" w:space="5"/>
        </w:pBdr>
        <w:shd w:fill="F0F4F8" w:val="clear"/>
        <w:spacing w:before="45" w:after="45" w:line="280" w:lineRule="auto"/>
        <w:ind w:left="360" w:right="220"/>
      </w:pPr>
      <w:r>
        <w:rPr>
          <w:rFonts w:ascii="Courier New" w:cs="Courier New" w:eastAsia="Courier New" w:hAnsi="Courier New"/>
          <w:color w:val="1B3B6F"/>
          <w:sz w:val="18"/>
          <w:szCs w:val="18"/>
        </w:rPr>
        <w:t xml:space="preserve">interface 1/1/49,1/1/50,2/1/49,2/1/50</w:t>
      </w:r>
    </w:p>
    <w:p>
      <w:pPr>
        <w:pBdr>
          <w:left w:val="single" w:color="003087" w:sz="12" w:space="5"/>
        </w:pBdr>
        <w:shd w:fill="F0F4F8" w:val="clear"/>
        <w:spacing w:before="45" w:after="45" w:line="280" w:lineRule="auto"/>
        <w:ind w:left="360" w:right="220"/>
      </w:pPr>
      <w:r>
        <w:rPr>
          <w:rFonts w:ascii="Courier New" w:cs="Courier New" w:eastAsia="Courier New" w:hAnsi="Courier New"/>
          <w:color w:val="1B3B6F"/>
          <w:sz w:val="18"/>
          <w:szCs w:val="18"/>
        </w:rPr>
        <w:t xml:space="preserve">  lag 1</w:t>
      </w:r>
    </w:p>
    <w:p>
      <w:pPr>
        <w:pBdr>
          <w:left w:val="single" w:color="003087" w:sz="12" w:space="5"/>
        </w:pBdr>
        <w:shd w:fill="F0F4F8" w:val="clear"/>
        <w:spacing w:before="45" w:after="45" w:line="280" w:lineRule="auto"/>
        <w:ind w:left="360" w:right="220"/>
      </w:pPr>
      <w:r>
        <w:rPr>
          <w:rFonts w:ascii="Courier New" w:cs="Courier New" w:eastAsia="Courier New" w:hAnsi="Courier New"/>
          <w:color w:val="1B3B6F"/>
          <w:sz w:val="18"/>
          <w:szCs w:val="18"/>
        </w:rPr>
        <w:t xml:space="preserve">! MTU 9000 jumbo frames for NAS performance</w:t>
      </w:r>
    </w:p>
    <w:p>
      <w:pPr>
        <w:pBdr>
          <w:left w:val="single" w:color="003087" w:sz="12" w:space="5"/>
        </w:pBdr>
        <w:shd w:fill="F0F4F8" w:val="clear"/>
        <w:spacing w:before="45" w:after="45" w:line="280" w:lineRule="auto"/>
        <w:ind w:left="360" w:right="220"/>
      </w:pPr>
      <w:r>
        <w:rPr>
          <w:rFonts w:ascii="Courier New" w:cs="Courier New" w:eastAsia="Courier New" w:hAnsi="Courier New"/>
          <w:color w:val="1B3B6F"/>
          <w:sz w:val="18"/>
          <w:szCs w:val="18"/>
        </w:rPr>
        <w:t xml:space="preserve">interface lag 1</w:t>
      </w:r>
    </w:p>
    <w:p>
      <w:pPr>
        <w:pBdr>
          <w:left w:val="single" w:color="003087" w:sz="12" w:space="5"/>
        </w:pBdr>
        <w:shd w:fill="F0F4F8" w:val="clear"/>
        <w:spacing w:before="45" w:after="45" w:line="280" w:lineRule="auto"/>
        <w:ind w:left="360" w:right="220"/>
      </w:pPr>
      <w:r>
        <w:rPr>
          <w:rFonts w:ascii="Courier New" w:cs="Courier New" w:eastAsia="Courier New" w:hAnsi="Courier New"/>
          <w:color w:val="1B3B6F"/>
          <w:sz w:val="18"/>
          <w:szCs w:val="18"/>
        </w:rPr>
        <w:t xml:space="preserve">  mtu 9000</w:t>
      </w:r>
    </w:p>
    <w:p>
      <w:pPr>
        <w:spacing w:before="70" w:after="0" w:line="280" w:lineRule="auto"/>
      </w:pP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4.4 FortiGate 120G HA - Configuration Summary</w:t>
      </w:r>
    </w:p>
    <w:p>
      <w:pPr>
        <w:spacing w:before="100" w:after="100" w:line="280" w:lineRule="auto"/>
      </w:pPr>
      <w:r>
        <w:rPr>
          <w:rFonts w:ascii="Calibri" w:cs="Calibri" w:eastAsia="Calibri" w:hAnsi="Calibri"/>
          <w:b w:val="false"/>
          <w:bCs w:val="false"/>
          <w:i w:val="false"/>
          <w:iCs w:val="false"/>
          <w:color w:val="0A1628"/>
          <w:sz w:val="22"/>
          <w:szCs w:val="22"/>
        </w:rPr>
        <w:t xml:space="preserve">Identical HA configuration to Option A. FortiGate 120G active-passive pair at Site A and Site B. ZTNA enforcement for 25 remote employees. SD-WAN dual ISP. Day-1 hardening applied on deployment.</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HA heartbeat: dedicated 1GbE RJ45 between both FortiGate units. Private subnet 169.254.0.0/30.</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ZTNA proxy: FortiGate terminates all 25 employee ZTNA sessions. Grants access to NAS shares only. No lateral network movement possible.</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Geo-filtering: Signiant FASP UDP 33001 inbound restricted to countries where DITs and field crews operate. Reduces attack surface.</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Day-1 critical: disable FortiCloud SSO immediately after first boot. CLI: config system global &gt; set admin-cloud-sso disable &gt; end.</w:t>
      </w:r>
    </w:p>
    <w:p>
      <w:r>
        <w:br w:type="page"/>
      </w:r>
    </w:p>
    <w:p>
      <w:pPr>
        <w:pStyle w:val="Heading1"/>
        <w:pBdr>
          <w:bottom w:val="single" w:color="1565C0" w:sz="12"/>
        </w:pBdr>
        <w:shd w:fill="003087" w:val="clear"/>
        <w:spacing w:before="400" w:after="180" w:line="280" w:lineRule="auto"/>
        <w:ind w:left="180" w:right="180"/>
      </w:pPr>
      <w:r>
        <w:rPr>
          <w:rFonts w:ascii="Calibri" w:cs="Calibri" w:eastAsia="Calibri" w:hAnsi="Calibri"/>
          <w:b/>
          <w:bCs/>
          <w:color w:val="FFFFFF"/>
          <w:sz w:val="40"/>
          <w:szCs w:val="40"/>
        </w:rPr>
        <w:t xml:space="preserve">5. Security Architecture - Zero Trust for 25 Remote Employees</w:t>
      </w: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5.1 Remote Access - FortiClient ZTNA</w:t>
      </w:r>
    </w:p>
    <w:p>
      <w:pPr>
        <w:spacing w:before="100" w:after="100" w:line="280" w:lineRule="auto"/>
      </w:pPr>
      <w:r>
        <w:rPr>
          <w:rFonts w:ascii="Calibri" w:cs="Calibri" w:eastAsia="Calibri" w:hAnsi="Calibri"/>
          <w:b w:val="false"/>
          <w:bCs w:val="false"/>
          <w:i w:val="false"/>
          <w:iCs w:val="false"/>
          <w:color w:val="0A1628"/>
          <w:sz w:val="22"/>
          <w:szCs w:val="22"/>
        </w:rPr>
        <w:t xml:space="preserve">Security architecture is identical to Option A. All 25 employees connect via FortiClient ZTNA. TPM-backed certificates, FortiAuthenticator MFA (FortiToken push), FortiClient EMS device posture checks. No VPN. ZTNA grants access only to approved file shares, never to the broader network.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ZTNA component</w:t>
            </w:r>
          </w:p>
        </w:tc>
        <w:tc>
          <w:tcPr>
            <w:tcW w:type="dxa" w:w="348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What it does</w:t>
            </w:r>
          </w:p>
        </w:tc>
        <w:tc>
          <w:tcPr>
            <w:tcW w:type="dxa" w:w="348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Why it matters for B2H</w:t>
            </w:r>
          </w:p>
        </w:tc>
      </w:tr>
      <w:tr>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FortiClient EMS</w:t>
            </w:r>
          </w:p>
        </w:tc>
        <w:tc>
          <w:tcPr>
            <w:tcW w:type="dxa" w:w="34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Manages ZTNA certificates on 25 endpoint devices. Posture check: Kaspersky active, OS patched, disk encrypted.</w:t>
            </w:r>
          </w:p>
        </w:tc>
        <w:tc>
          <w:tcPr>
            <w:tcW w:type="dxa" w:w="34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Compromised or unpatched device blocked from NAS access, regardless of valid credentials.</w:t>
            </w:r>
          </w:p>
        </w:tc>
      </w:tr>
      <w:tr>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FortiAuthenticator MFA</w:t>
            </w:r>
          </w:p>
        </w:tc>
        <w:tc>
          <w:tcPr>
            <w:tcW w:type="dxa" w:w="34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FortiToken push notification. LDAP integration. No SMS dependency.</w:t>
            </w:r>
          </w:p>
        </w:tc>
        <w:tc>
          <w:tcPr>
            <w:tcW w:type="dxa" w:w="348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Stolen password alone cannot grant NAS access. Attacker needs the employee's enrolled phone.</w:t>
            </w:r>
          </w:p>
        </w:tc>
      </w:tr>
      <w:tr>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ZTNA proxy (FortiGate)</w:t>
            </w:r>
          </w:p>
        </w:tc>
        <w:tc>
          <w:tcPr>
            <w:tcW w:type="dxa" w:w="34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Terminates ZTNA sessions. Maps employee to NAS share only. Full session logging.</w:t>
            </w:r>
          </w:p>
        </w:tc>
        <w:tc>
          <w:tcPr>
            <w:tcW w:type="dxa" w:w="34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Employees get a mapped drive. They cannot see or reach any other internal system.</w:t>
            </w:r>
          </w:p>
        </w:tc>
      </w:tr>
      <w:tr>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HashiCorp Vault</w:t>
            </w:r>
          </w:p>
        </w:tc>
        <w:tc>
          <w:tcPr>
            <w:tcW w:type="dxa" w:w="34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Stores all admin passwords. Auto-rotates every 90 days. Shamir 5-of-3 unseal.</w:t>
            </w:r>
          </w:p>
        </w:tc>
        <w:tc>
          <w:tcPr>
            <w:tcW w:type="dxa" w:w="348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HD6500 admin password, FortiGate admin, switch admin - all in Vault. No human holds a permanent password.</w:t>
            </w:r>
          </w:p>
        </w:tc>
      </w:tr>
      <w:tr>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Kaspersky 25 endpoints</w:t>
            </w:r>
          </w:p>
        </w:tc>
        <w:tc>
          <w:tcPr>
            <w:tcW w:type="dxa" w:w="34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Endpoint protection + Behaviour Detection + Ransomware Rollback. USB block.</w:t>
            </w:r>
          </w:p>
        </w:tc>
        <w:tc>
          <w:tcPr>
            <w:tcW w:type="dxa" w:w="34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Ransomware on employee device is detected and rolled back within 2-5 seconds. USB exfiltration impossible.</w:t>
            </w:r>
          </w:p>
        </w:tc>
      </w:tr>
    </w:tbl>
    <w:p>
      <w:pPr>
        <w:spacing w:before="70" w:after="0" w:line="280" w:lineRule="auto"/>
      </w:pP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5.2 DSM Security Hardening</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DSM admin account: disable default 'admin' account. Create named admin accounts only. Enable 2FA on all DSM admin accounts (FortiAuthenticator TOTP or Synology Secure SignIn).</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DSM network access: DSM management interface (VLAN 40 only). The HD6500 NFS/SMB shares are on VLAN 30. Admin panel is never reachable from VLAN 20 (production employees) or internet.</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Snapshot protection: enable DSM Snapshot Replication for all shared folders. If ransomware encrypts files on the NAS, IT can restore to the last clean snapshot. Retention: every 2 hours, 24 copies, plus daily for 30 days.</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Immutable snapshots: enable write protection on snapshots via DSM Snapshot &gt; Lock. Locked snapshots cannot be deleted or modified by ransomware even if it reaches admin-level DSM access.</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Firewall rules in DSM: enable the built-in DSM firewall. Allow NFS (port 2049, 111) from VLAN 20 and VLAN 10 only. Allow SMB (port 445) from VLAN 20 only. Deny all other source IPs.</w:t>
      </w:r>
    </w:p>
    <w:p>
      <w:pPr>
        <w:spacing w:before="70" w:after="0" w:line="280" w:lineRule="auto"/>
      </w:pP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5.3 FortiAnalyzer - Centralised Logging</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FortiAnalyzer VM receives logs from FortiGate 120G (both sites), FortiClient EMS, FortiAuthenticator, DSM syslog (HD6500 sends syslog to FortiAnalyzer), Kaspersky Security Centre.</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Custom alert: trigger on any honeypot directory access (DSM Audit &gt; create honeypot folder, FortiAnalyzer correlation rule fires if accessed). First sign of ransomware or insider threat.</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90-day on-prem log retention. Older logs archived to Wasabi.</w:t>
      </w:r>
    </w:p>
    <w:p>
      <w:r>
        <w:br w:type="page"/>
      </w:r>
    </w:p>
    <w:p>
      <w:pPr>
        <w:pStyle w:val="Heading1"/>
        <w:pBdr>
          <w:bottom w:val="single" w:color="1565C0" w:sz="12"/>
        </w:pBdr>
        <w:shd w:fill="003087" w:val="clear"/>
        <w:spacing w:before="400" w:after="180" w:line="280" w:lineRule="auto"/>
        <w:ind w:left="180" w:right="180"/>
      </w:pPr>
      <w:r>
        <w:rPr>
          <w:rFonts w:ascii="Calibri" w:cs="Calibri" w:eastAsia="Calibri" w:hAnsi="Calibri"/>
          <w:b/>
          <w:bCs/>
          <w:color w:val="FFFFFF"/>
          <w:sz w:val="40"/>
          <w:szCs w:val="40"/>
        </w:rPr>
        <w:t xml:space="preserve">6. Cloud Integration - Wasabi + Synology Hybrid Share</w:t>
      </w: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6.1 Wasabi Hot Cloud Storage - Why It Wins for B2H</w:t>
      </w:r>
    </w:p>
    <w:p>
      <w:pPr>
        <w:spacing w:before="100" w:after="100" w:line="280" w:lineRule="auto"/>
      </w:pPr>
      <w:r>
        <w:rPr>
          <w:rFonts w:ascii="Calibri" w:cs="Calibri" w:eastAsia="Calibri" w:hAnsi="Calibri"/>
          <w:b w:val="false"/>
          <w:bCs w:val="false"/>
          <w:i w:val="false"/>
          <w:iCs w:val="false"/>
          <w:color w:val="0A1628"/>
          <w:sz w:val="22"/>
          <w:szCs w:val="22"/>
        </w:rPr>
        <w:t xml:space="preserve">The cloud provider recommendation is identical for both options. Wasabi at Rs.498/TB/month with zero egress fees is 75% cheaper than AWS S3 and eliminates unpredictable egress bills when archival footage needs to be retrieved. Synology has a native, built-in integration with Wasabi via Hybrid Share - no third-party software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800"/>
        <w:gridCol w:w="1560"/>
      </w:tblGrid>
      <w:tr>
        <w:tc>
          <w:tcPr>
            <w:tcW w:type="dxa" w:w="24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Provider</w:t>
            </w:r>
          </w:p>
        </w:tc>
        <w:tc>
          <w:tcPr>
            <w:tcW w:type="dxa" w:w="18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Storage per TB/month</w:t>
            </w:r>
          </w:p>
        </w:tc>
        <w:tc>
          <w:tcPr>
            <w:tcW w:type="dxa" w:w="18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Egress per GB</w:t>
            </w:r>
          </w:p>
        </w:tc>
        <w:tc>
          <w:tcPr>
            <w:tcW w:type="dxa" w:w="18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100TB annual cost</w:t>
            </w:r>
          </w:p>
        </w:tc>
        <w:tc>
          <w:tcPr>
            <w:tcW w:type="dxa" w:w="156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Verdict</w:t>
            </w:r>
          </w:p>
        </w:tc>
      </w:tr>
      <w:tr>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Wasabi</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498</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FREE</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5,97,600</w:t>
            </w:r>
          </w:p>
        </w:tc>
        <w:tc>
          <w:tcPr>
            <w:tcW w:type="dxa" w:w="156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r>
              <w:rPr>
                <w:rFonts w:ascii="Calibri" w:cs="Calibri" w:eastAsia="Calibri" w:hAnsi="Calibri"/>
                <w:b/>
                <w:bCs/>
                <w:color w:val="1A5C2A"/>
                <w:sz w:val="19"/>
                <w:szCs w:val="19"/>
              </w:rPr>
              <w:t xml:space="preserve">BEST</w:t>
            </w:r>
          </w:p>
        </w:tc>
      </w:tr>
      <w:tr>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Backblaze B2</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498</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Free (3x storage limit)</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5,97,600</w:t>
            </w:r>
          </w:p>
        </w:tc>
        <w:tc>
          <w:tcPr>
            <w:tcW w:type="dxa" w:w="15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Good alt.</w:t>
            </w:r>
          </w:p>
        </w:tc>
      </w:tr>
      <w:tr>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AWS S3 Standard</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1,909</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8.30/GB</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22,90,800 + egress</w:t>
            </w:r>
          </w:p>
        </w:tc>
        <w:tc>
          <w:tcPr>
            <w:tcW w:type="dxa" w:w="1560"/>
            <w:tcBorders>
              <w:top w:val="single" w:color="CFD8DC" w:sz="4"/>
              <w:left w:val="single" w:color="CFD8DC" w:sz="4"/>
              <w:bottom w:val="single" w:color="CFD8DC" w:sz="4"/>
              <w:right w:val="single" w:color="CFD8DC" w:sz="4"/>
            </w:tcBorders>
            <w:shd w:fill="FFEBEE"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Expensive</w:t>
            </w:r>
          </w:p>
        </w:tc>
      </w:tr>
      <w:tr>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Azure Blob Hot</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1,563</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7.47/GB</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18,75,600 + egress</w:t>
            </w:r>
          </w:p>
        </w:tc>
        <w:tc>
          <w:tcPr>
            <w:tcW w:type="dxa" w:w="1560"/>
            <w:tcBorders>
              <w:top w:val="single" w:color="CFD8DC" w:sz="4"/>
              <w:left w:val="single" w:color="CFD8DC" w:sz="4"/>
              <w:bottom w:val="single" w:color="CFD8DC" w:sz="4"/>
              <w:right w:val="single" w:color="CFD8DC" w:sz="4"/>
            </w:tcBorders>
            <w:shd w:fill="FFEBEE"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Expensive</w:t>
            </w:r>
          </w:p>
        </w:tc>
      </w:tr>
    </w:tbl>
    <w:p>
      <w:pPr>
        <w:spacing w:before="70" w:after="0" w:line="280" w:lineRule="auto"/>
      </w:pP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6.2 Synology Hybrid Share Configuration with Wasabi</w:t>
      </w:r>
    </w:p>
    <w:p>
      <w:pPr>
        <w:spacing w:before="100" w:after="100" w:line="280" w:lineRule="auto"/>
      </w:pPr>
      <w:r>
        <w:rPr>
          <w:rFonts w:ascii="Calibri" w:cs="Calibri" w:eastAsia="Calibri" w:hAnsi="Calibri"/>
          <w:b w:val="false"/>
          <w:bCs w:val="false"/>
          <w:i w:val="false"/>
          <w:iCs w:val="false"/>
          <w:color w:val="0A1628"/>
          <w:sz w:val="22"/>
          <w:szCs w:val="22"/>
        </w:rPr>
        <w:t xml:space="preserve">Synology Hybrid Share is built into DSM 7.x. It allows any DSM shared folder to be backed by a Wasabi cloud bucket. Files are pinned locally if recently accessed and evicted to cloud-only if storage pressure rises. The folder appears local to all SMB/NFS clients.</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Setup in DSM: Control Panel &gt; Shared Folder &gt; [folder name] &gt; Enable Hybrid Share. Select cloud service: S3-compatible. Enter Wasabi endpoint: s3.ap-southeast-1.wasabisys.com. Enter bucket name: b2h-studio-archive. Access key and secret retrieved from HashiCorp Vault.</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Pin policy: mark projects/active/ as always-pinned (data stays local for working projects). Set archive/ to evict-on-pressure (data moves to Wasabi when NAS fills above 80% capacity).</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Object Lock: enable Wasabi Object Lock on the b2h-studio-archive bucket. Deliverables folder tiered to Wasabi is protected by WORM object lock for 7 years.</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Cache management: the 15.36TB NVMe SSD cache tier in the HD6500 serves as the hot layer for Hybrid Share. Frequently accessed archived footage is served from SSD cache. Less frequently accessed from HDD. Rarely accessed from Wasabi recall.</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Bandwidth control: DSM Network &gt; Traffic Control &gt; limit Hybrid Share upload to 50 Mbps during 09:00-21:00. Unlimited 22:00-06:00. Ensures cloud sync never impacts employee NAS performance.</w:t>
      </w:r>
    </w:p>
    <w:p>
      <w:pPr>
        <w:spacing w:before="70" w:after="0" w:line="280" w:lineRule="auto"/>
      </w:pP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6.3 Wasabi Cost Projection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Scenario</w:t>
            </w:r>
          </w:p>
        </w:tc>
        <w:tc>
          <w:tcPr>
            <w:tcW w:type="dxa" w:w="228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Data in Wasabi</w:t>
            </w:r>
          </w:p>
        </w:tc>
        <w:tc>
          <w:tcPr>
            <w:tcW w:type="dxa" w:w="228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Monthly cost (INR)</w:t>
            </w:r>
          </w:p>
        </w:tc>
        <w:tc>
          <w:tcPr>
            <w:tcW w:type="dxa" w:w="20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Annual cost (INR)</w:t>
            </w:r>
          </w:p>
        </w:tc>
      </w:tr>
      <w:tr>
        <w:tc>
          <w:tcPr>
            <w:tcW w:type="dxa" w:w="2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Year 1 - initial archiving</w:t>
            </w:r>
          </w:p>
        </w:tc>
        <w:tc>
          <w:tcPr>
            <w:tcW w:type="dxa" w:w="22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50 TB</w:t>
            </w:r>
          </w:p>
        </w:tc>
        <w:tc>
          <w:tcPr>
            <w:tcW w:type="dxa" w:w="22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24,900</w:t>
            </w:r>
          </w:p>
        </w:tc>
        <w:tc>
          <w:tcPr>
            <w:tcW w:type="dxa" w:w="2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2,98,800</w:t>
            </w:r>
          </w:p>
        </w:tc>
      </w:tr>
      <w:tr>
        <w:tc>
          <w:tcPr>
            <w:tcW w:type="dxa" w:w="2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Year 2 - growing archive</w:t>
            </w:r>
          </w:p>
        </w:tc>
        <w:tc>
          <w:tcPr>
            <w:tcW w:type="dxa" w:w="22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150 TB</w:t>
            </w:r>
          </w:p>
        </w:tc>
        <w:tc>
          <w:tcPr>
            <w:tcW w:type="dxa" w:w="22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74,700</w:t>
            </w:r>
          </w:p>
        </w:tc>
        <w:tc>
          <w:tcPr>
            <w:tcW w:type="dxa" w:w="2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8,96,400</w:t>
            </w:r>
          </w:p>
        </w:tc>
      </w:tr>
      <w:tr>
        <w:tc>
          <w:tcPr>
            <w:tcW w:type="dxa" w:w="2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Year 3 - full archive</w:t>
            </w:r>
          </w:p>
        </w:tc>
        <w:tc>
          <w:tcPr>
            <w:tcW w:type="dxa" w:w="22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300 TB</w:t>
            </w:r>
          </w:p>
        </w:tc>
        <w:tc>
          <w:tcPr>
            <w:tcW w:type="dxa" w:w="22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1,49,400</w:t>
            </w:r>
          </w:p>
        </w:tc>
        <w:tc>
          <w:tcPr>
            <w:tcW w:type="dxa" w:w="2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17,92,800</w:t>
            </w:r>
          </w:p>
        </w:tc>
      </w:tr>
    </w:tbl>
    <w:p>
      <w:r>
        <w:br w:type="page"/>
      </w:r>
    </w:p>
    <w:p>
      <w:pPr>
        <w:pStyle w:val="Heading1"/>
        <w:pBdr>
          <w:bottom w:val="single" w:color="1565C0" w:sz="12"/>
        </w:pBdr>
        <w:shd w:fill="003087" w:val="clear"/>
        <w:spacing w:before="400" w:after="180" w:line="280" w:lineRule="auto"/>
        <w:ind w:left="180" w:right="180"/>
      </w:pPr>
      <w:r>
        <w:rPr>
          <w:rFonts w:ascii="Calibri" w:cs="Calibri" w:eastAsia="Calibri" w:hAnsi="Calibri"/>
          <w:b/>
          <w:bCs/>
          <w:color w:val="FFFFFF"/>
          <w:sz w:val="40"/>
          <w:szCs w:val="40"/>
        </w:rPr>
        <w:t xml:space="preserve">7. Signiant Jet v7.0 - Media Ingest Architecture</w:t>
      </w: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7.1 SDCX Server - Dell PowerEdge R760 Application Server</w:t>
      </w:r>
    </w:p>
    <w:p>
      <w:pPr>
        <w:spacing w:before="100" w:after="100" w:line="280" w:lineRule="auto"/>
      </w:pPr>
      <w:r>
        <w:rPr>
          <w:rFonts w:ascii="Calibri" w:cs="Calibri" w:eastAsia="Calibri" w:hAnsi="Calibri"/>
          <w:b w:val="false"/>
          <w:bCs w:val="false"/>
          <w:i w:val="false"/>
          <w:iCs w:val="false"/>
          <w:color w:val="0A1628"/>
          <w:sz w:val="22"/>
          <w:szCs w:val="22"/>
        </w:rPr>
        <w:t xml:space="preserve">The Signiant SDCX server runs as a VM on the Dell R760 application server at Site A. This is the recommended approach: dedicated enterprise server, independent of the NAS, with controlled access between the DMZ (VLAN 10, where ingest arrives) and the Storage network (VLAN 30, where the HD6500 lives).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000"/>
        <w:gridCol w:w="4960"/>
      </w:tblGrid>
      <w:tr>
        <w:tc>
          <w:tcPr>
            <w:tcW w:type="dxa" w:w="24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VM name</w:t>
            </w:r>
          </w:p>
        </w:tc>
        <w:tc>
          <w:tcPr>
            <w:tcW w:type="dxa" w:w="10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vCPU</w:t>
            </w:r>
          </w:p>
        </w:tc>
        <w:tc>
          <w:tcPr>
            <w:tcW w:type="dxa" w:w="10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RAM</w:t>
            </w:r>
          </w:p>
        </w:tc>
        <w:tc>
          <w:tcPr>
            <w:tcW w:type="dxa" w:w="10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Disk</w:t>
            </w:r>
          </w:p>
        </w:tc>
        <w:tc>
          <w:tcPr>
            <w:tcW w:type="dxa" w:w="496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Purpose</w:t>
            </w:r>
          </w:p>
        </w:tc>
      </w:tr>
      <w:tr>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vm-signiant</w:t>
            </w:r>
          </w:p>
        </w:tc>
        <w:tc>
          <w:tcPr>
            <w:tcW w:type="dxa" w:w="1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4</w:t>
            </w:r>
          </w:p>
        </w:tc>
        <w:tc>
          <w:tcPr>
            <w:tcW w:type="dxa" w:w="1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16 GB</w:t>
            </w:r>
          </w:p>
        </w:tc>
        <w:tc>
          <w:tcPr>
            <w:tcW w:type="dxa" w:w="1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200 GB</w:t>
            </w:r>
          </w:p>
        </w:tc>
        <w:tc>
          <w:tcPr>
            <w:tcW w:type="dxa" w:w="49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Signiant SDCX Server v7.0, Ubuntu 22.04 LTS. VLAN 10. NFS mount to HD6500 /ingest/ share.</w:t>
            </w:r>
          </w:p>
        </w:tc>
      </w:tr>
      <w:tr>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vm-aspera</w:t>
            </w:r>
          </w:p>
        </w:tc>
        <w:tc>
          <w:tcPr>
            <w:tcW w:type="dxa" w:w="1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4</w:t>
            </w:r>
          </w:p>
        </w:tc>
        <w:tc>
          <w:tcPr>
            <w:tcW w:type="dxa" w:w="1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8 GB</w:t>
            </w:r>
          </w:p>
        </w:tc>
        <w:tc>
          <w:tcPr>
            <w:tcW w:type="dxa" w:w="1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50 GB</w:t>
            </w:r>
          </w:p>
        </w:tc>
        <w:tc>
          <w:tcPr>
            <w:tcW w:type="dxa" w:w="4960"/>
            <w:tcBorders>
              <w:top w:val="single" w:color="CFD8DC" w:sz="4"/>
              <w:left w:val="single" w:color="CFD8DC" w:sz="4"/>
              <w:bottom w:val="single" w:color="CFD8DC" w:sz="4"/>
              <w:right w:val="single" w:color="CFD8DC" w:sz="4"/>
            </w:tcBorders>
            <w:shd w:fill="DAEAF7"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IBM Aspera HSTS 100 Mbps fallback. VLAN 10. Same NFS mount. Activates if Signiant SaaS unavailable.</w:t>
            </w:r>
          </w:p>
        </w:tc>
      </w:tr>
      <w:tr>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vm-vault</w:t>
            </w:r>
          </w:p>
        </w:tc>
        <w:tc>
          <w:tcPr>
            <w:tcW w:type="dxa" w:w="1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w:t>
            </w:r>
          </w:p>
        </w:tc>
        <w:tc>
          <w:tcPr>
            <w:tcW w:type="dxa" w:w="1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8 GB</w:t>
            </w:r>
          </w:p>
        </w:tc>
        <w:tc>
          <w:tcPr>
            <w:tcW w:type="dxa" w:w="1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50 GB</w:t>
            </w:r>
          </w:p>
        </w:tc>
        <w:tc>
          <w:tcPr>
            <w:tcW w:type="dxa" w:w="49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HashiCorp Vault OSS. VLAN 40 only.</w:t>
            </w:r>
          </w:p>
        </w:tc>
      </w:tr>
      <w:tr>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vm-fortianalyzer</w:t>
            </w:r>
          </w:p>
        </w:tc>
        <w:tc>
          <w:tcPr>
            <w:tcW w:type="dxa" w:w="1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4</w:t>
            </w:r>
          </w:p>
        </w:tc>
        <w:tc>
          <w:tcPr>
            <w:tcW w:type="dxa" w:w="1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16 GB</w:t>
            </w:r>
          </w:p>
        </w:tc>
        <w:tc>
          <w:tcPr>
            <w:tcW w:type="dxa" w:w="1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 TB</w:t>
            </w:r>
          </w:p>
        </w:tc>
        <w:tc>
          <w:tcPr>
            <w:tcW w:type="dxa" w:w="4960"/>
            <w:tcBorders>
              <w:top w:val="single" w:color="CFD8DC" w:sz="4"/>
              <w:left w:val="single" w:color="CFD8DC" w:sz="4"/>
              <w:bottom w:val="single" w:color="CFD8DC" w:sz="4"/>
              <w:right w:val="single" w:color="CFD8DC" w:sz="4"/>
            </w:tcBorders>
            <w:shd w:fill="DAEAF7"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FortiAnalyzer. VLAN 40. Central log repository.</w:t>
            </w:r>
          </w:p>
        </w:tc>
      </w:tr>
      <w:tr>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vm-forticlient-ems</w:t>
            </w:r>
          </w:p>
        </w:tc>
        <w:tc>
          <w:tcPr>
            <w:tcW w:type="dxa" w:w="1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4</w:t>
            </w:r>
          </w:p>
        </w:tc>
        <w:tc>
          <w:tcPr>
            <w:tcW w:type="dxa" w:w="1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8 GB</w:t>
            </w:r>
          </w:p>
        </w:tc>
        <w:tc>
          <w:tcPr>
            <w:tcW w:type="dxa" w:w="1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100 GB</w:t>
            </w:r>
          </w:p>
        </w:tc>
        <w:tc>
          <w:tcPr>
            <w:tcW w:type="dxa" w:w="49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FortiClient EMS. VLAN 40. ZTNA cert management for 25 endpoints.</w:t>
            </w:r>
          </w:p>
        </w:tc>
      </w:tr>
      <w:tr>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vm-fortiauthenticator</w:t>
            </w:r>
          </w:p>
        </w:tc>
        <w:tc>
          <w:tcPr>
            <w:tcW w:type="dxa" w:w="1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w:t>
            </w:r>
          </w:p>
        </w:tc>
        <w:tc>
          <w:tcPr>
            <w:tcW w:type="dxa" w:w="1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8 GB</w:t>
            </w:r>
          </w:p>
        </w:tc>
        <w:tc>
          <w:tcPr>
            <w:tcW w:type="dxa" w:w="1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50 GB</w:t>
            </w:r>
          </w:p>
        </w:tc>
        <w:tc>
          <w:tcPr>
            <w:tcW w:type="dxa" w:w="4960"/>
            <w:tcBorders>
              <w:top w:val="single" w:color="CFD8DC" w:sz="4"/>
              <w:left w:val="single" w:color="CFD8DC" w:sz="4"/>
              <w:bottom w:val="single" w:color="CFD8DC" w:sz="4"/>
              <w:right w:val="single" w:color="CFD8DC" w:sz="4"/>
            </w:tcBorders>
            <w:shd w:fill="DAEAF7"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FortiAuthenticator MFA. VLAN 40.</w:t>
            </w:r>
          </w:p>
        </w:tc>
      </w:tr>
      <w:tr>
        <w:tc>
          <w:tcPr>
            <w:tcW w:type="dxa" w:w="2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vm-kaspersky-sc</w:t>
            </w:r>
          </w:p>
        </w:tc>
        <w:tc>
          <w:tcPr>
            <w:tcW w:type="dxa" w:w="1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4</w:t>
            </w:r>
          </w:p>
        </w:tc>
        <w:tc>
          <w:tcPr>
            <w:tcW w:type="dxa" w:w="1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8 GB</w:t>
            </w:r>
          </w:p>
        </w:tc>
        <w:tc>
          <w:tcPr>
            <w:tcW w:type="dxa" w:w="10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200 GB</w:t>
            </w:r>
          </w:p>
        </w:tc>
        <w:tc>
          <w:tcPr>
            <w:tcW w:type="dxa" w:w="49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Kaspersky Security Centre. VLAN 40. Manages 25 Kaspersky endpoint agents.</w:t>
            </w:r>
          </w:p>
        </w:tc>
      </w:tr>
    </w:tbl>
    <w:p>
      <w:pPr>
        <w:spacing w:before="60" w:after="0" w:line="280" w:lineRule="auto"/>
      </w:pP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7.2 Ingest Workflow End-to-End</w:t>
      </w:r>
    </w:p>
    <w:p>
      <w:pPr>
        <w:pStyle w:val="ListParagraph"/>
        <w:numPr>
          <w:ilvl w:val="0"/>
          <w:numId w:val="3"/>
        </w:numPr>
        <w:spacing w:before="70" w:after="70" w:line="280" w:lineRule="auto"/>
      </w:pPr>
      <w:r>
        <w:rPr>
          <w:rFonts w:ascii="Calibri" w:cs="Calibri" w:eastAsia="Calibri" w:hAnsi="Calibri"/>
          <w:b w:val="false"/>
          <w:bCs w:val="false"/>
          <w:i w:val="false"/>
          <w:iCs w:val="false"/>
          <w:color w:val="0A1628"/>
          <w:sz w:val="22"/>
          <w:szCs w:val="22"/>
        </w:rPr>
        <w:t xml:space="preserve">DIT at remote location opens Signiant Jet client on their field laptop or workstation.</w:t>
      </w:r>
    </w:p>
    <w:p>
      <w:pPr>
        <w:pStyle w:val="ListParagraph"/>
        <w:numPr>
          <w:ilvl w:val="0"/>
          <w:numId w:val="3"/>
        </w:numPr>
        <w:spacing w:before="70" w:after="70" w:line="280" w:lineRule="auto"/>
      </w:pPr>
      <w:r>
        <w:rPr>
          <w:rFonts w:ascii="Calibri" w:cs="Calibri" w:eastAsia="Calibri" w:hAnsi="Calibri"/>
          <w:b w:val="false"/>
          <w:bCs w:val="false"/>
          <w:i w:val="false"/>
          <w:iCs w:val="false"/>
          <w:color w:val="0A1628"/>
          <w:sz w:val="22"/>
          <w:szCs w:val="22"/>
        </w:rPr>
        <w:t xml:space="preserve">FortiClient ZTNA checks device posture. Kaspersky active, OS current, disk encrypted - required. Fail = connection blocked.</w:t>
      </w:r>
    </w:p>
    <w:p>
      <w:pPr>
        <w:pStyle w:val="ListParagraph"/>
        <w:numPr>
          <w:ilvl w:val="0"/>
          <w:numId w:val="3"/>
        </w:numPr>
        <w:spacing w:before="70" w:after="70" w:line="280" w:lineRule="auto"/>
      </w:pPr>
      <w:r>
        <w:rPr>
          <w:rFonts w:ascii="Calibri" w:cs="Calibri" w:eastAsia="Calibri" w:hAnsi="Calibri"/>
          <w:b w:val="false"/>
          <w:bCs w:val="false"/>
          <w:i w:val="false"/>
          <w:iCs w:val="false"/>
          <w:color w:val="0A1628"/>
          <w:sz w:val="22"/>
          <w:szCs w:val="22"/>
        </w:rPr>
        <w:t xml:space="preserve">FortiAuthenticator MFA: username + FortiToken push. Session ZTNA certificate validated by FortiGate.</w:t>
      </w:r>
    </w:p>
    <w:p>
      <w:pPr>
        <w:pStyle w:val="ListParagraph"/>
        <w:numPr>
          <w:ilvl w:val="0"/>
          <w:numId w:val="3"/>
        </w:numPr>
        <w:spacing w:before="70" w:after="70" w:line="280" w:lineRule="auto"/>
      </w:pPr>
      <w:r>
        <w:rPr>
          <w:rFonts w:ascii="Calibri" w:cs="Calibri" w:eastAsia="Calibri" w:hAnsi="Calibri"/>
          <w:b w:val="false"/>
          <w:bCs w:val="false"/>
          <w:i w:val="false"/>
          <w:iCs w:val="false"/>
          <w:color w:val="0A1628"/>
          <w:sz w:val="22"/>
          <w:szCs w:val="22"/>
        </w:rPr>
        <w:t xml:space="preserve">Signiant FASP transfer: UDP 33001, parallel streams, 90% of available bandwidth. On 100 Mbps: 85-95 Mbps effective.</w:t>
      </w:r>
    </w:p>
    <w:p>
      <w:pPr>
        <w:pStyle w:val="ListParagraph"/>
        <w:numPr>
          <w:ilvl w:val="0"/>
          <w:numId w:val="3"/>
        </w:numPr>
        <w:spacing w:before="70" w:after="70" w:line="280" w:lineRule="auto"/>
      </w:pPr>
      <w:r>
        <w:rPr>
          <w:rFonts w:ascii="Calibri" w:cs="Calibri" w:eastAsia="Calibri" w:hAnsi="Calibri"/>
          <w:b w:val="false"/>
          <w:bCs w:val="false"/>
          <w:i w:val="false"/>
          <w:iCs w:val="false"/>
          <w:color w:val="0A1628"/>
          <w:sz w:val="22"/>
          <w:szCs w:val="22"/>
        </w:rPr>
        <w:t xml:space="preserve">Transfer lands on Signiant SDCX VM (VLAN 10). FortiGate Rule 102: permits SDCX IP to write NFS to HD6500 /ingest/ on VLAN 30.</w:t>
      </w:r>
    </w:p>
    <w:p>
      <w:pPr>
        <w:pStyle w:val="ListParagraph"/>
        <w:numPr>
          <w:ilvl w:val="0"/>
          <w:numId w:val="3"/>
        </w:numPr>
        <w:spacing w:before="70" w:after="70" w:line="280" w:lineRule="auto"/>
      </w:pPr>
      <w:r>
        <w:rPr>
          <w:rFonts w:ascii="Calibri" w:cs="Calibri" w:eastAsia="Calibri" w:hAnsi="Calibri"/>
          <w:b w:val="false"/>
          <w:bCs w:val="false"/>
          <w:i w:val="false"/>
          <w:iCs w:val="false"/>
          <w:color w:val="0A1628"/>
          <w:sz w:val="22"/>
          <w:szCs w:val="22"/>
        </w:rPr>
        <w:t xml:space="preserve">Automation runs SHA-256 checksum against Signiant manifest. Mismatch = alert to IT + production coordinator.</w:t>
      </w:r>
    </w:p>
    <w:p>
      <w:pPr>
        <w:pStyle w:val="ListParagraph"/>
        <w:numPr>
          <w:ilvl w:val="0"/>
          <w:numId w:val="3"/>
        </w:numPr>
        <w:spacing w:before="70" w:after="70" w:line="280" w:lineRule="auto"/>
      </w:pPr>
      <w:r>
        <w:rPr>
          <w:rFonts w:ascii="Calibri" w:cs="Calibri" w:eastAsia="Calibri" w:hAnsi="Calibri"/>
          <w:b w:val="false"/>
          <w:bCs w:val="false"/>
          <w:i w:val="false"/>
          <w:iCs w:val="false"/>
          <w:color w:val="0A1628"/>
          <w:sz w:val="22"/>
          <w:szCs w:val="22"/>
        </w:rPr>
        <w:t xml:space="preserve">Verified footage moved to \\NAS\projects\active\[project]\. DSM takes snapshot within 5 minutes.</w:t>
      </w:r>
    </w:p>
    <w:p>
      <w:pPr>
        <w:pStyle w:val="ListParagraph"/>
        <w:numPr>
          <w:ilvl w:val="0"/>
          <w:numId w:val="3"/>
        </w:numPr>
        <w:spacing w:before="70" w:after="70" w:line="280" w:lineRule="auto"/>
      </w:pPr>
      <w:r>
        <w:rPr>
          <w:rFonts w:ascii="Calibri" w:cs="Calibri" w:eastAsia="Calibri" w:hAnsi="Calibri"/>
          <w:b w:val="false"/>
          <w:bCs w:val="false"/>
          <w:i w:val="false"/>
          <w:iCs w:val="false"/>
          <w:color w:val="0A1628"/>
          <w:sz w:val="22"/>
          <w:szCs w:val="22"/>
        </w:rPr>
        <w:t xml:space="preserve">Notification sent to production coordinator: transfer complete, checksum verified.</w:t>
      </w:r>
    </w:p>
    <w:p>
      <w:r>
        <w:br w:type="page"/>
      </w:r>
    </w:p>
    <w:p>
      <w:pPr>
        <w:pStyle w:val="Heading1"/>
        <w:pBdr>
          <w:bottom w:val="single" w:color="1565C0" w:sz="12"/>
        </w:pBdr>
        <w:shd w:fill="003087" w:val="clear"/>
        <w:spacing w:before="400" w:after="180" w:line="280" w:lineRule="auto"/>
        <w:ind w:left="180" w:right="180"/>
      </w:pPr>
      <w:r>
        <w:rPr>
          <w:rFonts w:ascii="Calibri" w:cs="Calibri" w:eastAsia="Calibri" w:hAnsi="Calibri"/>
          <w:b/>
          <w:bCs/>
          <w:color w:val="FFFFFF"/>
          <w:sz w:val="40"/>
          <w:szCs w:val="40"/>
        </w:rPr>
        <w:t xml:space="preserve">8. Complete Bill of Materials - INR Pricing (18% GST inclusive)</w:t>
      </w:r>
    </w:p>
    <w:p>
      <w:pPr>
        <w:pBdr>
          <w:left w:val="single" w:color="5D3A00" w:sz="24" w:space="7"/>
        </w:pBdr>
        <w:shd w:fill="FFF8E1" w:val="clear"/>
        <w:spacing w:before="130" w:after="130" w:line="280" w:lineRule="auto"/>
        <w:ind w:left="180" w:right="180"/>
      </w:pPr>
      <w:r>
        <w:rPr>
          <w:rFonts w:ascii="Calibri" w:cs="Calibri" w:eastAsia="Calibri" w:hAnsi="Calibri"/>
          <w:b/>
          <w:bCs/>
          <w:color w:val="5D3A00"/>
          <w:sz w:val="22"/>
          <w:szCs w:val="22"/>
        </w:rPr>
        <w:t xml:space="preserve">Pricing note:  </w:t>
      </w:r>
      <w:r>
        <w:rPr>
          <w:rFonts w:ascii="Calibri" w:cs="Calibri" w:eastAsia="Calibri" w:hAnsi="Calibri"/>
          <w:b w:val="false"/>
          <w:bCs w:val="false"/>
          <w:i w:val="false"/>
          <w:iCs w:val="false"/>
          <w:color w:val="0A1628"/>
          <w:sz w:val="21"/>
          <w:szCs w:val="21"/>
        </w:rPr>
        <w:t xml:space="preserve">All prices are estimates including 18% GST as applicable in India. No import duties apply as confirmed. Formal quotes must be obtained from Synology India, Fortinet India, HPE India, and authorised distributors before purchasing. Prices are indicative as of March 2026.</w:t>
      </w:r>
    </w:p>
    <w:p>
      <w:pPr>
        <w:spacing w:before="60" w:after="0" w:line="280" w:lineRule="auto"/>
      </w:pP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8.1 Storage - Synology HD6500 (Both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200"/>
        <w:gridCol w:w="800"/>
        <w:gridCol w:w="1610"/>
        <w:gridCol w:w="1600"/>
        <w:gridCol w:w="1700"/>
      </w:tblGrid>
      <w:tr>
        <w:tc>
          <w:tcPr>
            <w:tcW w:type="dxa" w:w="45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w:t>
            </w:r>
          </w:p>
        </w:tc>
        <w:tc>
          <w:tcPr>
            <w:tcW w:type="dxa" w:w="32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Item</w:t>
            </w:r>
          </w:p>
        </w:tc>
        <w:tc>
          <w:tcPr>
            <w:tcW w:type="dxa" w:w="8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Qty</w:t>
            </w:r>
          </w:p>
        </w:tc>
        <w:tc>
          <w:tcPr>
            <w:tcW w:type="dxa" w:w="161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Unit price</w:t>
            </w:r>
          </w:p>
        </w:tc>
        <w:tc>
          <w:tcPr>
            <w:tcW w:type="dxa" w:w="16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Total (INR)</w:t>
            </w:r>
          </w:p>
        </w:tc>
        <w:tc>
          <w:tcPr>
            <w:tcW w:type="dxa" w:w="17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Site</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1.1</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Synology HD6500 60-bay NAS unit (chassis only, no drives, 4x10GbE RJ45, 2x25GbE SFP28, dual redundant PSU)</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18,00,000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18,00,000</w:t>
            </w:r>
          </w:p>
        </w:tc>
        <w:tc>
          <w:tcPr>
            <w:tcW w:type="dxa" w:w="17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Site A</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1.2</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Seagate Exos X18 18TB SAS 7200RPM HDD (enterprise, 2.5M hours MTBF, 12Gbps SAS) - 60 drives per unit</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60</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32,500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19,50,000</w:t>
            </w:r>
          </w:p>
        </w:tc>
        <w:tc>
          <w:tcPr>
            <w:tcW w:type="dxa" w:w="17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Site A</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1.3</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Samsung PM9A3 3.84TB M.2 NVMe SSD (SSD cache tier - 2x read + 2x write = 4 drives)</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4</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65,000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2,60,000</w:t>
            </w:r>
          </w:p>
        </w:tc>
        <w:tc>
          <w:tcPr>
            <w:tcW w:type="dxa" w:w="17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Site A</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1.4</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Synology HD6500 60-bay NAS - DR unit (identical spec to Site A)</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18,00,000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18,00,000</w:t>
            </w:r>
          </w:p>
        </w:tc>
        <w:tc>
          <w:tcPr>
            <w:tcW w:type="dxa" w:w="17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Site B</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1.5</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Seagate Exos X18 18TB SAS - DR unit drives (60 drives)</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60</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32,500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19,50,000</w:t>
            </w:r>
          </w:p>
        </w:tc>
        <w:tc>
          <w:tcPr>
            <w:tcW w:type="dxa" w:w="17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Site B</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1.6</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Samsung PM9A3 3.84TB NVMe SSD cache - DR unit (4 drives)</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4</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65,000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2,60,000</w:t>
            </w:r>
          </w:p>
        </w:tc>
        <w:tc>
          <w:tcPr>
            <w:tcW w:type="dxa" w:w="17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Site B</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1.7</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Synology Care Plus 3-year enterprise support (24/7, 4-hr response, advance unit replacement) - both units</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3,50,000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7,00,000</w:t>
            </w:r>
          </w:p>
        </w:tc>
        <w:tc>
          <w:tcPr>
            <w:tcW w:type="dxa" w:w="1700"/>
            <w:tcBorders>
              <w:top w:val="single" w:color="CFD8DC" w:sz="4"/>
              <w:left w:val="single" w:color="CFD8DC" w:sz="4"/>
              <w:bottom w:val="single" w:color="CFD8DC" w:sz="4"/>
              <w:right w:val="single" w:color="CFD8DC" w:sz="4"/>
            </w:tcBorders>
            <w:shd w:fill="FFF8E1" w:val="clear"/>
            <w:tcMar>
              <w:top w:type="dxa" w:w="80"/>
              <w:left w:type="dxa" w:w="120"/>
              <w:bottom w:type="dxa" w:w="80"/>
              <w:right w:type="dxa" w:w="120"/>
            </w:tcMar>
            <w:vAlign w:val="center"/>
          </w:tcPr>
          <w:p>
            <w:r>
              <w:rPr>
                <w:rFonts w:ascii="Calibri" w:cs="Calibri" w:eastAsia="Calibri" w:hAnsi="Calibri"/>
                <w:b w:val="false"/>
                <w:bCs w:val="false"/>
                <w:color w:val="5D3A00"/>
                <w:sz w:val="19"/>
                <w:szCs w:val="19"/>
              </w:rPr>
              <w:t xml:space="preserve">Both</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Storage Subtotal</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
            </w:r>
          </w:p>
        </w:tc>
        <w:tc>
          <w:tcPr>
            <w:tcW w:type="dxa" w:w="1600"/>
            <w:tcBorders>
              <w:top w:val="single" w:color="CFD8DC" w:sz="4"/>
              <w:left w:val="single" w:color="CFD8DC" w:sz="4"/>
              <w:bottom w:val="single" w:color="CFD8DC" w:sz="4"/>
              <w:right w:val="single" w:color="CFD8DC" w:sz="4"/>
            </w:tcBorders>
            <w:shd w:fill="00308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Rs. 87,20,000</w:t>
            </w:r>
          </w:p>
        </w:tc>
        <w:tc>
          <w:tcPr>
            <w:tcW w:type="dxa" w:w="1700"/>
            <w:tcBorders>
              <w:top w:val="single" w:color="CFD8DC" w:sz="4"/>
              <w:left w:val="single" w:color="CFD8DC" w:sz="4"/>
              <w:bottom w:val="single" w:color="CFD8DC" w:sz="4"/>
              <w:right w:val="single" w:color="CFD8DC" w:sz="4"/>
            </w:tcBorders>
            <w:shd w:fill="003087"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
            </w:r>
          </w:p>
        </w:tc>
      </w:tr>
    </w:tbl>
    <w:p>
      <w:pPr>
        <w:spacing w:before="70" w:after="0" w:line="280" w:lineRule="auto"/>
      </w:pP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8.2 Network and Security (Both 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200"/>
        <w:gridCol w:w="800"/>
        <w:gridCol w:w="1610"/>
        <w:gridCol w:w="1600"/>
        <w:gridCol w:w="1700"/>
      </w:tblGrid>
      <w:tr>
        <w:tc>
          <w:tcPr>
            <w:tcW w:type="dxa" w:w="45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w:t>
            </w:r>
          </w:p>
        </w:tc>
        <w:tc>
          <w:tcPr>
            <w:tcW w:type="dxa" w:w="32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Item</w:t>
            </w:r>
          </w:p>
        </w:tc>
        <w:tc>
          <w:tcPr>
            <w:tcW w:type="dxa" w:w="8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Qty</w:t>
            </w:r>
          </w:p>
        </w:tc>
        <w:tc>
          <w:tcPr>
            <w:tcW w:type="dxa" w:w="161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Unit price</w:t>
            </w:r>
          </w:p>
        </w:tc>
        <w:tc>
          <w:tcPr>
            <w:tcW w:type="dxa" w:w="16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Total (INR)</w:t>
            </w:r>
          </w:p>
        </w:tc>
        <w:tc>
          <w:tcPr>
            <w:tcW w:type="dxa" w:w="17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Site</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2.1</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Fortinet FortiGate 120G NGFW (FG-120G hardware, dual AC PSU, SP5 ASIC) - per site, 2 units per HA pair</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4 total</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3,90,000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15,60,000</w:t>
            </w:r>
          </w:p>
        </w:tc>
        <w:tc>
          <w:tcPr>
            <w:tcW w:type="dxa" w:w="17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Both</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2.2</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FortiGuard ENT bundle licence 3-year - per FortiGate unit</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4 units</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1,80,000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7,20,000</w:t>
            </w:r>
          </w:p>
        </w:tc>
        <w:tc>
          <w:tcPr>
            <w:tcW w:type="dxa" w:w="17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Both</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2.3</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FortiClient EMS 25 endpoint ZTNA licence 3-year (1 licence covers both sites)</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1,80,000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1,80,000</w:t>
            </w:r>
          </w:p>
        </w:tc>
        <w:tc>
          <w:tcPr>
            <w:tcW w:type="dxa" w:w="17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Both</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2.4</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FortiAuthenticator VM 500 - 50 user, 1 year</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1,40,000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1,40,000</w:t>
            </w:r>
          </w:p>
        </w:tc>
        <w:tc>
          <w:tcPr>
            <w:tcW w:type="dxa" w:w="17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Both</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2.5</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FortiAnalyzer VM 1TB log capacity - 3 year subscription</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2,80,000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2,80,000</w:t>
            </w:r>
          </w:p>
        </w:tc>
        <w:tc>
          <w:tcPr>
            <w:tcW w:type="dxa" w:w="17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Both</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2.6</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HPE Aruba CX 6300M Switch (48x1GbE, 4x25GbE SFP28 uplink, VSX stacking) - 2 per site, 4 total</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4 total</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4,80,000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19,20,000</w:t>
            </w:r>
          </w:p>
        </w:tc>
        <w:tc>
          <w:tcPr>
            <w:tcW w:type="dxa" w:w="17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Both</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2.7</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10GbE SFP+ DAC cables 1m (HD6500 to HPE switch) - 10 pack</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 packs</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22,000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44,000</w:t>
            </w:r>
          </w:p>
        </w:tc>
        <w:tc>
          <w:tcPr>
            <w:tcW w:type="dxa" w:w="17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Both</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2.8</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Opengear IM7200 out-of-band console server (8-port) per site</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 total</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1,10,000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2,20,000</w:t>
            </w:r>
          </w:p>
        </w:tc>
        <w:tc>
          <w:tcPr>
            <w:tcW w:type="dxa" w:w="17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Both</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Network and Security Subtotal (both sites)</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
            </w:r>
          </w:p>
        </w:tc>
        <w:tc>
          <w:tcPr>
            <w:tcW w:type="dxa" w:w="1600"/>
            <w:tcBorders>
              <w:top w:val="single" w:color="CFD8DC" w:sz="4"/>
              <w:left w:val="single" w:color="CFD8DC" w:sz="4"/>
              <w:bottom w:val="single" w:color="CFD8DC" w:sz="4"/>
              <w:right w:val="single" w:color="CFD8DC" w:sz="4"/>
            </w:tcBorders>
            <w:shd w:fill="00308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Rs. 50,64,000</w:t>
            </w:r>
          </w:p>
        </w:tc>
        <w:tc>
          <w:tcPr>
            <w:tcW w:type="dxa" w:w="1700"/>
            <w:tcBorders>
              <w:top w:val="single" w:color="CFD8DC" w:sz="4"/>
              <w:left w:val="single" w:color="CFD8DC" w:sz="4"/>
              <w:bottom w:val="single" w:color="CFD8DC" w:sz="4"/>
              <w:right w:val="single" w:color="CFD8DC" w:sz="4"/>
            </w:tcBorders>
            <w:shd w:fill="003087"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
            </w:r>
          </w:p>
        </w:tc>
      </w:tr>
    </w:tbl>
    <w:p>
      <w:pPr>
        <w:spacing w:before="70" w:after="0" w:line="280" w:lineRule="auto"/>
      </w:pP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8.3 Application Servers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200"/>
        <w:gridCol w:w="800"/>
        <w:gridCol w:w="1610"/>
        <w:gridCol w:w="1600"/>
        <w:gridCol w:w="1700"/>
      </w:tblGrid>
      <w:tr>
        <w:tc>
          <w:tcPr>
            <w:tcW w:type="dxa" w:w="45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w:t>
            </w:r>
          </w:p>
        </w:tc>
        <w:tc>
          <w:tcPr>
            <w:tcW w:type="dxa" w:w="32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Item</w:t>
            </w:r>
          </w:p>
        </w:tc>
        <w:tc>
          <w:tcPr>
            <w:tcW w:type="dxa" w:w="8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Qty</w:t>
            </w:r>
          </w:p>
        </w:tc>
        <w:tc>
          <w:tcPr>
            <w:tcW w:type="dxa" w:w="161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Unit price</w:t>
            </w:r>
          </w:p>
        </w:tc>
        <w:tc>
          <w:tcPr>
            <w:tcW w:type="dxa" w:w="16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Total (INR)</w:t>
            </w:r>
          </w:p>
        </w:tc>
        <w:tc>
          <w:tcPr>
            <w:tcW w:type="dxa" w:w="17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Site</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3.1</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Dell PowerEdge R760 - 2x Xeon Gold, 256GB DDR5, 4x 1.92TB NVMe, dual 10GbE, dual PSU (Site A app server)</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18,00,000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18,00,000</w:t>
            </w:r>
          </w:p>
        </w:tc>
        <w:tc>
          <w:tcPr>
            <w:tcW w:type="dxa" w:w="17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Site A</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3.2</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Dell PowerEdge R760 - DR spec (128GB RAM, 2x1.92TB NVMe) - FortiAnalyzer + Vault DR only</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14,00,000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14,00,000</w:t>
            </w:r>
          </w:p>
        </w:tc>
        <w:tc>
          <w:tcPr>
            <w:tcW w:type="dxa" w:w="1700"/>
            <w:tcBorders>
              <w:top w:val="single" w:color="CFD8DC" w:sz="4"/>
              <w:left w:val="single" w:color="CFD8DC" w:sz="4"/>
              <w:bottom w:val="single" w:color="CFD8DC" w:sz="4"/>
              <w:right w:val="single" w:color="CFD8DC" w:sz="4"/>
            </w:tcBorders>
            <w:shd w:fill="DAEAF7"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Site B</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Application Servers Subtotal</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
            </w:r>
          </w:p>
        </w:tc>
        <w:tc>
          <w:tcPr>
            <w:tcW w:type="dxa" w:w="1600"/>
            <w:tcBorders>
              <w:top w:val="single" w:color="CFD8DC" w:sz="4"/>
              <w:left w:val="single" w:color="CFD8DC" w:sz="4"/>
              <w:bottom w:val="single" w:color="CFD8DC" w:sz="4"/>
              <w:right w:val="single" w:color="CFD8DC" w:sz="4"/>
            </w:tcBorders>
            <w:shd w:fill="00308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Rs. 32,00,000</w:t>
            </w:r>
          </w:p>
        </w:tc>
        <w:tc>
          <w:tcPr>
            <w:tcW w:type="dxa" w:w="1700"/>
            <w:tcBorders>
              <w:top w:val="single" w:color="CFD8DC" w:sz="4"/>
              <w:left w:val="single" w:color="CFD8DC" w:sz="4"/>
              <w:bottom w:val="single" w:color="CFD8DC" w:sz="4"/>
              <w:right w:val="single" w:color="CFD8DC" w:sz="4"/>
            </w:tcBorders>
            <w:shd w:fill="003087"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
            </w:r>
          </w:p>
        </w:tc>
      </w:tr>
    </w:tbl>
    <w:p>
      <w:pPr>
        <w:spacing w:before="70" w:after="0" w:line="280" w:lineRule="auto"/>
      </w:pP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8.4 Software and Subscriptions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200"/>
        <w:gridCol w:w="800"/>
        <w:gridCol w:w="1610"/>
        <w:gridCol w:w="1600"/>
        <w:gridCol w:w="1700"/>
      </w:tblGrid>
      <w:tr>
        <w:tc>
          <w:tcPr>
            <w:tcW w:type="dxa" w:w="45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w:t>
            </w:r>
          </w:p>
        </w:tc>
        <w:tc>
          <w:tcPr>
            <w:tcW w:type="dxa" w:w="32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Item</w:t>
            </w:r>
          </w:p>
        </w:tc>
        <w:tc>
          <w:tcPr>
            <w:tcW w:type="dxa" w:w="8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Qty</w:t>
            </w:r>
          </w:p>
        </w:tc>
        <w:tc>
          <w:tcPr>
            <w:tcW w:type="dxa" w:w="161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Unit price</w:t>
            </w:r>
          </w:p>
        </w:tc>
        <w:tc>
          <w:tcPr>
            <w:tcW w:type="dxa" w:w="16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Total (INR)</w:t>
            </w:r>
          </w:p>
        </w:tc>
        <w:tc>
          <w:tcPr>
            <w:tcW w:type="dxa" w:w="17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Annual?</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4.1</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Signiant Jet v7.0 annual subscription (unlimited throughput, unlimited users, dual SDCX HA)</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12,00,000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12,00,000</w:t>
            </w:r>
          </w:p>
        </w:tc>
        <w:tc>
          <w:tcPr>
            <w:tcW w:type="dxa" w:w="17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Yes</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4.2</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IBM Aspera HSTS 100 Mbps standby licence</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9,00,000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9,00,000</w:t>
            </w:r>
          </w:p>
        </w:tc>
        <w:tc>
          <w:tcPr>
            <w:tcW w:type="dxa" w:w="1700"/>
            <w:tcBorders>
              <w:top w:val="single" w:color="CFD8DC" w:sz="4"/>
              <w:left w:val="single" w:color="CFD8DC" w:sz="4"/>
              <w:bottom w:val="single" w:color="CFD8DC" w:sz="4"/>
              <w:right w:val="single" w:color="CFD8DC" w:sz="4"/>
            </w:tcBorders>
            <w:shd w:fill="DAEAF7"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Yes</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4.3</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Kaspersky Endpoint Security Business Advanced - 25 endpoints, 1 year</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25</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5,500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1,37,500</w:t>
            </w:r>
          </w:p>
        </w:tc>
        <w:tc>
          <w:tcPr>
            <w:tcW w:type="dxa" w:w="17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Yes</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4.4</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HashiCorp Vault OSS - open source</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0</w:t>
            </w:r>
          </w:p>
        </w:tc>
        <w:tc>
          <w:tcPr>
            <w:tcW w:type="dxa" w:w="17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Free</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4.5</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Wasabi Hot Cloud Storage - 50TB Year 1 (Rs. 498/TB/month)</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50 TB</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2,490/mo</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29,880/yr</w:t>
            </w:r>
          </w:p>
        </w:tc>
        <w:tc>
          <w:tcPr>
            <w:tcW w:type="dxa" w:w="17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Monthly</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Software Subtotal (Year 1)</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
            </w:r>
          </w:p>
        </w:tc>
        <w:tc>
          <w:tcPr>
            <w:tcW w:type="dxa" w:w="1600"/>
            <w:tcBorders>
              <w:top w:val="single" w:color="CFD8DC" w:sz="4"/>
              <w:left w:val="single" w:color="CFD8DC" w:sz="4"/>
              <w:bottom w:val="single" w:color="CFD8DC" w:sz="4"/>
              <w:right w:val="single" w:color="CFD8DC" w:sz="4"/>
            </w:tcBorders>
            <w:shd w:fill="00308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Rs. 22,67,380</w:t>
            </w:r>
          </w:p>
        </w:tc>
        <w:tc>
          <w:tcPr>
            <w:tcW w:type="dxa" w:w="1700"/>
            <w:tcBorders>
              <w:top w:val="single" w:color="CFD8DC" w:sz="4"/>
              <w:left w:val="single" w:color="CFD8DC" w:sz="4"/>
              <w:bottom w:val="single" w:color="CFD8DC" w:sz="4"/>
              <w:right w:val="single" w:color="CFD8DC" w:sz="4"/>
            </w:tcBorders>
            <w:shd w:fill="003087"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
            </w:r>
          </w:p>
        </w:tc>
      </w:tr>
    </w:tbl>
    <w:p>
      <w:pPr>
        <w:spacing w:before="70" w:after="0" w:line="280" w:lineRule="auto"/>
      </w:pP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8.5 Power - UPS and ATS (Site 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200"/>
        <w:gridCol w:w="800"/>
        <w:gridCol w:w="1610"/>
        <w:gridCol w:w="1600"/>
        <w:gridCol w:w="1700"/>
      </w:tblGrid>
      <w:tr>
        <w:tc>
          <w:tcPr>
            <w:tcW w:type="dxa" w:w="45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w:t>
            </w:r>
          </w:p>
        </w:tc>
        <w:tc>
          <w:tcPr>
            <w:tcW w:type="dxa" w:w="32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Item</w:t>
            </w:r>
          </w:p>
        </w:tc>
        <w:tc>
          <w:tcPr>
            <w:tcW w:type="dxa" w:w="8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Qty</w:t>
            </w:r>
          </w:p>
        </w:tc>
        <w:tc>
          <w:tcPr>
            <w:tcW w:type="dxa" w:w="161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Unit price</w:t>
            </w:r>
          </w:p>
        </w:tc>
        <w:tc>
          <w:tcPr>
            <w:tcW w:type="dxa" w:w="16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Total (INR)</w:t>
            </w:r>
          </w:p>
        </w:tc>
        <w:tc>
          <w:tcPr>
            <w:tcW w:type="dxa" w:w="17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Status</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5.1</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10 kVA Online Double-Conversion UPS (APC or Eaton) dual AC input</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5,50,000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11,00,000</w:t>
            </w:r>
          </w:p>
        </w:tc>
        <w:tc>
          <w:tcPr>
            <w:tcW w:type="dxa" w:w="17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CONFIRMED</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5.2</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Automatic Transfer Switch (ATS) - 20ms transfer between UPS-1 and UPS-2</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1,40,000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1,40,000</w:t>
            </w:r>
          </w:p>
        </w:tc>
        <w:tc>
          <w:tcPr>
            <w:tcW w:type="dxa" w:w="17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CONFIRMED</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5.3</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Rack PDU (APC AP7921B) - dual feed</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35,000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70,000</w:t>
            </w:r>
          </w:p>
        </w:tc>
        <w:tc>
          <w:tcPr>
            <w:tcW w:type="dxa" w:w="1700"/>
            <w:tcBorders>
              <w:top w:val="single" w:color="CFD8DC" w:sz="4"/>
              <w:left w:val="single" w:color="CFD8DC" w:sz="4"/>
              <w:bottom w:val="single" w:color="CFD8DC" w:sz="4"/>
              <w:right w:val="single" w:color="CFD8DC" w:sz="4"/>
            </w:tcBorders>
            <w:shd w:fill="DAEAF7"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ADDED</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Power Subtotal</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
            </w:r>
          </w:p>
        </w:tc>
        <w:tc>
          <w:tcPr>
            <w:tcW w:type="dxa" w:w="1600"/>
            <w:tcBorders>
              <w:top w:val="single" w:color="CFD8DC" w:sz="4"/>
              <w:left w:val="single" w:color="CFD8DC" w:sz="4"/>
              <w:bottom w:val="single" w:color="CFD8DC" w:sz="4"/>
              <w:right w:val="single" w:color="CFD8DC" w:sz="4"/>
            </w:tcBorders>
            <w:shd w:fill="00308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Rs. 13,10,000</w:t>
            </w:r>
          </w:p>
        </w:tc>
        <w:tc>
          <w:tcPr>
            <w:tcW w:type="dxa" w:w="1700"/>
            <w:tcBorders>
              <w:top w:val="single" w:color="CFD8DC" w:sz="4"/>
              <w:left w:val="single" w:color="CFD8DC" w:sz="4"/>
              <w:bottom w:val="single" w:color="CFD8DC" w:sz="4"/>
              <w:right w:val="single" w:color="CFD8DC" w:sz="4"/>
            </w:tcBorders>
            <w:shd w:fill="003087"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
            </w:r>
          </w:p>
        </w:tc>
      </w:tr>
    </w:tbl>
    <w:p>
      <w:pPr>
        <w:spacing w:before="70" w:after="0" w:line="280" w:lineRule="auto"/>
      </w:pP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8.6 Professional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200"/>
        <w:gridCol w:w="800"/>
        <w:gridCol w:w="1610"/>
        <w:gridCol w:w="1600"/>
        <w:gridCol w:w="1700"/>
      </w:tblGrid>
      <w:tr>
        <w:tc>
          <w:tcPr>
            <w:tcW w:type="dxa" w:w="45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w:t>
            </w:r>
          </w:p>
        </w:tc>
        <w:tc>
          <w:tcPr>
            <w:tcW w:type="dxa" w:w="32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Item</w:t>
            </w:r>
          </w:p>
        </w:tc>
        <w:tc>
          <w:tcPr>
            <w:tcW w:type="dxa" w:w="8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Qty</w:t>
            </w:r>
          </w:p>
        </w:tc>
        <w:tc>
          <w:tcPr>
            <w:tcW w:type="dxa" w:w="161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Unit price</w:t>
            </w:r>
          </w:p>
        </w:tc>
        <w:tc>
          <w:tcPr>
            <w:tcW w:type="dxa" w:w="16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Total (INR)</w:t>
            </w:r>
          </w:p>
        </w:tc>
        <w:tc>
          <w:tcPr>
            <w:tcW w:type="dxa" w:w="17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Priority</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6.1</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Synology India authorised partner - HD6500 installation, RAID6 configuration, Hybrid Share setup (both sites)</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3,50,000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3,50,000</w:t>
            </w:r>
          </w:p>
        </w:tc>
        <w:tc>
          <w:tcPr>
            <w:tcW w:type="dxa" w:w="1700"/>
            <w:tcBorders>
              <w:top w:val="single" w:color="CFD8DC" w:sz="4"/>
              <w:left w:val="single" w:color="CFD8DC" w:sz="4"/>
              <w:bottom w:val="single" w:color="CFD8DC" w:sz="4"/>
              <w:right w:val="single" w:color="CFD8DC" w:sz="4"/>
            </w:tcBorders>
            <w:shd w:fill="FFF8E1"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Required</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6.2</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Fortinet India certified partner - FortiGate 120G HA + ZTNA + FortiClient EMS configuration</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3,50,000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3,50,000</w:t>
            </w:r>
          </w:p>
        </w:tc>
        <w:tc>
          <w:tcPr>
            <w:tcW w:type="dxa" w:w="1700"/>
            <w:tcBorders>
              <w:top w:val="single" w:color="CFD8DC" w:sz="4"/>
              <w:left w:val="single" w:color="CFD8DC" w:sz="4"/>
              <w:bottom w:val="single" w:color="CFD8DC" w:sz="4"/>
              <w:right w:val="single" w:color="CFD8DC" w:sz="4"/>
            </w:tcBorders>
            <w:shd w:fill="FFF8E1"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Required</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6.3</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HPE India - CX 6300M VSX configuration + 10GbE LACP for HD6500</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1,50,000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1,50,000</w:t>
            </w:r>
          </w:p>
        </w:tc>
        <w:tc>
          <w:tcPr>
            <w:tcW w:type="dxa" w:w="1700"/>
            <w:tcBorders>
              <w:top w:val="single" w:color="CFD8DC" w:sz="4"/>
              <w:left w:val="single" w:color="CFD8DC" w:sz="4"/>
              <w:bottom w:val="single" w:color="CFD8DC" w:sz="4"/>
              <w:right w:val="single" w:color="CFD8DC" w:sz="4"/>
            </w:tcBorders>
            <w:shd w:fill="FFF8E1"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Required</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6.4</w:t>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IT staff training - DSM admin, FortiGate ZTNA, Signiant workflow (2 days)</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w:t>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1,50,000</w:t>
            </w:r>
          </w:p>
        </w:tc>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1,50,000</w:t>
            </w:r>
          </w:p>
        </w:tc>
        <w:tc>
          <w:tcPr>
            <w:tcW w:type="dxa" w:w="17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Recommended</w:t>
            </w:r>
          </w:p>
        </w:tc>
      </w:tr>
      <w:tr>
        <w:tc>
          <w:tcPr>
            <w:tcW w:type="dxa" w:w="45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
            </w:r>
          </w:p>
        </w:tc>
        <w:tc>
          <w:tcPr>
            <w:tcW w:type="dxa" w:w="32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Professional Services Subtotal</w:t>
            </w:r>
          </w:p>
        </w:tc>
        <w:tc>
          <w:tcPr>
            <w:tcW w:type="dxa" w:w="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
            </w:r>
          </w:p>
        </w:tc>
        <w:tc>
          <w:tcPr>
            <w:tcW w:type="dxa" w:w="161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
            </w:r>
          </w:p>
        </w:tc>
        <w:tc>
          <w:tcPr>
            <w:tcW w:type="dxa" w:w="1600"/>
            <w:tcBorders>
              <w:top w:val="single" w:color="CFD8DC" w:sz="4"/>
              <w:left w:val="single" w:color="CFD8DC" w:sz="4"/>
              <w:bottom w:val="single" w:color="CFD8DC" w:sz="4"/>
              <w:right w:val="single" w:color="CFD8DC" w:sz="4"/>
            </w:tcBorders>
            <w:shd w:fill="00308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Rs. 10,00,000</w:t>
            </w:r>
          </w:p>
        </w:tc>
        <w:tc>
          <w:tcPr>
            <w:tcW w:type="dxa" w:w="1700"/>
            <w:tcBorders>
              <w:top w:val="single" w:color="CFD8DC" w:sz="4"/>
              <w:left w:val="single" w:color="CFD8DC" w:sz="4"/>
              <w:bottom w:val="single" w:color="CFD8DC" w:sz="4"/>
              <w:right w:val="single" w:color="CFD8DC" w:sz="4"/>
            </w:tcBorders>
            <w:shd w:fill="003087"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
            </w:r>
          </w:p>
        </w:tc>
      </w:tr>
    </w:tbl>
    <w:p>
      <w:pPr>
        <w:spacing w:before="80" w:after="0" w:line="280" w:lineRule="auto"/>
      </w:pP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8.7 Grand Total Summary - Option B Synology HD6500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Category</w:t>
            </w:r>
          </w:p>
        </w:tc>
        <w:tc>
          <w:tcPr>
            <w:tcW w:type="dxa" w:w="36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Amount (INR)</w:t>
            </w:r>
          </w:p>
        </w:tc>
      </w:tr>
      <w:tr>
        <w:tc>
          <w:tcPr>
            <w:tcW w:type="dxa" w:w="57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Storage - Synology HD6500 x2 units + drives + NVMe cache + Synology Care Plus 3yr (both sites)</w:t>
            </w:r>
          </w:p>
        </w:tc>
        <w:tc>
          <w:tcPr>
            <w:tcW w:type="dxa" w:w="3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87,20,000</w:t>
            </w:r>
          </w:p>
        </w:tc>
      </w:tr>
      <w:tr>
        <w:tc>
          <w:tcPr>
            <w:tcW w:type="dxa" w:w="57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Network and Security - FortiGate 120G HA x4 + FortiGuard ENT + HPE CX 6300M x4 + EMS + FortiAuth + FortiAnalyzer (both sites)</w:t>
            </w:r>
          </w:p>
        </w:tc>
        <w:tc>
          <w:tcPr>
            <w:tcW w:type="dxa" w:w="3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50,64,000</w:t>
            </w:r>
          </w:p>
        </w:tc>
      </w:tr>
      <w:tr>
        <w:tc>
          <w:tcPr>
            <w:tcW w:type="dxa" w:w="57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Application Servers - Dell PowerEdge R760 x2 (both sites)</w:t>
            </w:r>
          </w:p>
        </w:tc>
        <w:tc>
          <w:tcPr>
            <w:tcW w:type="dxa" w:w="3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32,00,000</w:t>
            </w:r>
          </w:p>
        </w:tc>
      </w:tr>
      <w:tr>
        <w:tc>
          <w:tcPr>
            <w:tcW w:type="dxa" w:w="57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Software - Signiant Jet + Aspera + Kaspersky 25ep + Wasabi Year 1</w:t>
            </w:r>
          </w:p>
        </w:tc>
        <w:tc>
          <w:tcPr>
            <w:tcW w:type="dxa" w:w="3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22,67,380</w:t>
            </w:r>
          </w:p>
        </w:tc>
      </w:tr>
      <w:tr>
        <w:tc>
          <w:tcPr>
            <w:tcW w:type="dxa" w:w="57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Power - 2x 10kVA UPS + ATS + PDU (Site A)</w:t>
            </w:r>
          </w:p>
        </w:tc>
        <w:tc>
          <w:tcPr>
            <w:tcW w:type="dxa" w:w="3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13,10,000</w:t>
            </w:r>
          </w:p>
        </w:tc>
      </w:tr>
      <w:tr>
        <w:tc>
          <w:tcPr>
            <w:tcW w:type="dxa" w:w="57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Professional Services</w:t>
            </w:r>
          </w:p>
        </w:tc>
        <w:tc>
          <w:tcPr>
            <w:tcW w:type="dxa" w:w="3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10,00,000</w:t>
            </w:r>
          </w:p>
        </w:tc>
      </w:tr>
      <w:tr>
        <w:tc>
          <w:tcPr>
            <w:tcW w:type="dxa" w:w="5760"/>
            <w:tcBorders>
              <w:top w:val="single" w:color="CFD8DC" w:sz="4"/>
              <w:left w:val="single" w:color="CFD8DC" w:sz="4"/>
              <w:bottom w:val="single" w:color="CFD8DC" w:sz="4"/>
              <w:right w:val="single" w:color="CFD8DC" w:sz="4"/>
            </w:tcBorders>
            <w:shd w:fill="00308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TOTAL INVESTMENT (incl. 18% GST, both sites)</w:t>
            </w:r>
          </w:p>
        </w:tc>
        <w:tc>
          <w:tcPr>
            <w:tcW w:type="dxa" w:w="3600"/>
            <w:tcBorders>
              <w:top w:val="single" w:color="CFD8DC" w:sz="4"/>
              <w:left w:val="single" w:color="CFD8DC" w:sz="4"/>
              <w:bottom w:val="single" w:color="CFD8DC" w:sz="4"/>
              <w:right w:val="single" w:color="CFD8DC" w:sz="4"/>
            </w:tcBorders>
            <w:shd w:fill="003087" w:val="clear"/>
            <w:tcMar>
              <w:top w:type="dxa" w:w="80"/>
              <w:left w:type="dxa" w:w="120"/>
              <w:bottom w:type="dxa" w:w="80"/>
              <w:right w:type="dxa" w:w="120"/>
            </w:tcMar>
            <w:vAlign w:val="center"/>
          </w:tcPr>
          <w:p>
            <w:r>
              <w:rPr>
                <w:rFonts w:ascii="Calibri" w:cs="Calibri" w:eastAsia="Calibri" w:hAnsi="Calibri"/>
                <w:b/>
                <w:bCs/>
                <w:color w:val="FFFFFF"/>
                <w:sz w:val="19"/>
                <w:szCs w:val="19"/>
              </w:rPr>
              <w:t xml:space="preserve">Rs. 2,15,61,380 (~Rs. 2.16 Crore)</w:t>
            </w:r>
          </w:p>
        </w:tc>
      </w:tr>
      <w:tr>
        <w:tc>
          <w:tcPr>
            <w:tcW w:type="dxa" w:w="57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Site A only (primary site, excluding DR unit)</w:t>
            </w:r>
          </w:p>
        </w:tc>
        <w:tc>
          <w:tcPr>
            <w:tcW w:type="dxa" w:w="360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1.24 Crore</w:t>
            </w:r>
          </w:p>
        </w:tc>
      </w:tr>
      <w:tr>
        <w:tc>
          <w:tcPr>
            <w:tcW w:type="dxa" w:w="57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Annual recurring from Year 2 (licences, Signiant, Aspera, Wasabi, Kaspersky)</w:t>
            </w:r>
          </w:p>
        </w:tc>
        <w:tc>
          <w:tcPr>
            <w:tcW w:type="dxa" w:w="3600"/>
            <w:tcBorders>
              <w:top w:val="single" w:color="CFD8DC" w:sz="4"/>
              <w:left w:val="single" w:color="CFD8DC" w:sz="4"/>
              <w:bottom w:val="single" w:color="CFD8DC" w:sz="4"/>
              <w:right w:val="single" w:color="CFD8DC" w:sz="4"/>
            </w:tcBorders>
            <w:shd w:fill="DAEAF7"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18,00,000/year</w:t>
            </w:r>
          </w:p>
        </w:tc>
      </w:tr>
    </w:tbl>
    <w:p>
      <w:pPr>
        <w:spacing w:before="70" w:after="0" w:line="280" w:lineRule="auto"/>
      </w:pP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8.8 Option A vs Option B - Financial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Item</w:t>
            </w:r>
          </w:p>
        </w:tc>
        <w:tc>
          <w:tcPr>
            <w:tcW w:type="dxa" w:w="288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Option A - Dell F710</w:t>
            </w:r>
          </w:p>
        </w:tc>
        <w:tc>
          <w:tcPr>
            <w:tcW w:type="dxa" w:w="288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Option B - Synology HD6500</w:t>
            </w:r>
          </w:p>
        </w:tc>
      </w:tr>
      <w:tr>
        <w:tc>
          <w:tcPr>
            <w:tcW w:type="dxa" w:w="3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Total capital investment (both sites)</w:t>
            </w:r>
          </w:p>
        </w:tc>
        <w:tc>
          <w:tcPr>
            <w:tcW w:type="dxa" w:w="28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14.28 Crore</w:t>
            </w:r>
          </w:p>
        </w:tc>
        <w:tc>
          <w:tcPr>
            <w:tcW w:type="dxa" w:w="288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r>
              <w:rPr>
                <w:rFonts w:ascii="Calibri" w:cs="Calibri" w:eastAsia="Calibri" w:hAnsi="Calibri"/>
                <w:b/>
                <w:bCs/>
                <w:color w:val="1A5C2A"/>
                <w:sz w:val="19"/>
                <w:szCs w:val="19"/>
              </w:rPr>
              <w:t xml:space="preserve">Rs. 2.16 Crore</w:t>
            </w:r>
          </w:p>
        </w:tc>
      </w:tr>
      <w:tr>
        <w:tc>
          <w:tcPr>
            <w:tcW w:type="dxa" w:w="3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Capital savings vs Option A</w:t>
            </w:r>
          </w:p>
        </w:tc>
        <w:tc>
          <w:tcPr>
            <w:tcW w:type="dxa" w:w="28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w:t>
            </w:r>
          </w:p>
        </w:tc>
        <w:tc>
          <w:tcPr>
            <w:tcW w:type="dxa" w:w="288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r>
              <w:rPr>
                <w:rFonts w:ascii="Calibri" w:cs="Calibri" w:eastAsia="Calibri" w:hAnsi="Calibri"/>
                <w:b/>
                <w:bCs/>
                <w:color w:val="1A5C2A"/>
                <w:sz w:val="19"/>
                <w:szCs w:val="19"/>
              </w:rPr>
              <w:t xml:space="preserve">Rs. 12.12 Crore (85% less)</w:t>
            </w:r>
          </w:p>
        </w:tc>
      </w:tr>
      <w:tr>
        <w:tc>
          <w:tcPr>
            <w:tcW w:type="dxa" w:w="3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Annual recurring (Y2+)</w:t>
            </w:r>
          </w:p>
        </w:tc>
        <w:tc>
          <w:tcPr>
            <w:tcW w:type="dxa" w:w="28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25 lakh/year</w:t>
            </w:r>
          </w:p>
        </w:tc>
        <w:tc>
          <w:tcPr>
            <w:tcW w:type="dxa" w:w="2880"/>
            <w:tcBorders>
              <w:top w:val="single" w:color="CFD8DC" w:sz="4"/>
              <w:left w:val="single" w:color="CFD8DC" w:sz="4"/>
              <w:bottom w:val="single" w:color="CFD8DC" w:sz="4"/>
              <w:right w:val="single" w:color="CFD8DC" w:sz="4"/>
            </w:tcBorders>
            <w:shd w:fill="E8F5E9"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~Rs. 18 lakh/year</w:t>
            </w:r>
          </w:p>
        </w:tc>
      </w:tr>
      <w:tr>
        <w:tc>
          <w:tcPr>
            <w:tcW w:type="dxa" w:w="3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Usable storage (per site)</w:t>
            </w:r>
          </w:p>
        </w:tc>
        <w:tc>
          <w:tcPr>
            <w:tcW w:type="dxa" w:w="28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614TB (all-NVMe)</w:t>
            </w:r>
          </w:p>
        </w:tc>
        <w:tc>
          <w:tcPr>
            <w:tcW w:type="dxa" w:w="28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~936TB (HDD + SSD cache)</w:t>
            </w:r>
          </w:p>
        </w:tc>
      </w:tr>
      <w:tr>
        <w:tc>
          <w:tcPr>
            <w:tcW w:type="dxa" w:w="3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Maximum sequential read throughput</w:t>
            </w:r>
          </w:p>
        </w:tc>
        <w:tc>
          <w:tcPr>
            <w:tcW w:type="dxa" w:w="28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148 GB/s cluster</w:t>
            </w:r>
          </w:p>
        </w:tc>
        <w:tc>
          <w:tcPr>
            <w:tcW w:type="dxa" w:w="28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20 GB/s per unit</w:t>
            </w:r>
          </w:p>
        </w:tc>
      </w:tr>
      <w:tr>
        <w:tc>
          <w:tcPr>
            <w:tcW w:type="dxa" w:w="3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Latency for cold data</w:t>
            </w:r>
          </w:p>
        </w:tc>
        <w:tc>
          <w:tcPr>
            <w:tcW w:type="dxa" w:w="28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0.1-0.3ms (NVMe)</w:t>
            </w:r>
          </w:p>
        </w:tc>
        <w:tc>
          <w:tcPr>
            <w:tcW w:type="dxa" w:w="28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3-7ms (HDD)</w:t>
            </w:r>
          </w:p>
        </w:tc>
      </w:tr>
      <w:tr>
        <w:tc>
          <w:tcPr>
            <w:tcW w:type="dxa" w:w="3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Ideal workflow</w:t>
            </w:r>
          </w:p>
        </w:tc>
        <w:tc>
          <w:tcPr>
            <w:tcW w:type="dxa" w:w="28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8K RAW real-time on NAS originals</w:t>
            </w:r>
          </w:p>
        </w:tc>
        <w:tc>
          <w:tcPr>
            <w:tcW w:type="dxa" w:w="288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Proxy-first, 4K deliveries, growing archive</w:t>
            </w:r>
          </w:p>
        </w:tc>
      </w:tr>
    </w:tbl>
    <w:p>
      <w:pPr>
        <w:spacing w:before="60" w:after="0" w:line="280" w:lineRule="auto"/>
      </w:pPr>
    </w:p>
    <w:p>
      <w:pPr>
        <w:pBdr>
          <w:left w:val="single" w:color="1A5C2A" w:sz="24" w:space="7"/>
        </w:pBdr>
        <w:shd w:fill="E8F5E9" w:val="clear"/>
        <w:spacing w:before="130" w:after="130" w:line="280" w:lineRule="auto"/>
        <w:ind w:left="180" w:right="180"/>
      </w:pPr>
      <w:r>
        <w:rPr>
          <w:rFonts w:ascii="Calibri" w:cs="Calibri" w:eastAsia="Calibri" w:hAnsi="Calibri"/>
          <w:b/>
          <w:bCs/>
          <w:color w:val="1A5C2A"/>
          <w:sz w:val="22"/>
          <w:szCs w:val="22"/>
        </w:rPr>
        <w:t xml:space="preserve">Recommendation for cost-conscious build:  </w:t>
      </w:r>
      <w:r>
        <w:rPr>
          <w:rFonts w:ascii="Calibri" w:cs="Calibri" w:eastAsia="Calibri" w:hAnsi="Calibri"/>
          <w:b w:val="false"/>
          <w:bCs w:val="false"/>
          <w:i w:val="false"/>
          <w:iCs w:val="false"/>
          <w:color w:val="0A1628"/>
          <w:sz w:val="21"/>
          <w:szCs w:val="21"/>
        </w:rPr>
        <w:t xml:space="preserve">If B2H Studios operates a proxy-first workflow (editors work on local proxies, conform to originals on delivery) and does not need real-time 8K RAW streaming from NAS, Option B (Synology HD6500) at Rs. 2.16 Crore delivers all required functionality at 85% lower capital cost than Option A. The Rs. 12.12 Crore saved can fund expanded cloud infrastructure, additional staffing, or equipment upgrades.</w:t>
      </w:r>
    </w:p>
    <w:p>
      <w:r>
        <w:br w:type="page"/>
      </w:r>
    </w:p>
    <w:p>
      <w:pPr>
        <w:pStyle w:val="Heading1"/>
        <w:pBdr>
          <w:bottom w:val="single" w:color="1565C0" w:sz="12"/>
        </w:pBdr>
        <w:shd w:fill="003087" w:val="clear"/>
        <w:spacing w:before="400" w:after="180" w:line="280" w:lineRule="auto"/>
        <w:ind w:left="180" w:right="180"/>
      </w:pPr>
      <w:r>
        <w:rPr>
          <w:rFonts w:ascii="Calibri" w:cs="Calibri" w:eastAsia="Calibri" w:hAnsi="Calibri"/>
          <w:b/>
          <w:bCs/>
          <w:color w:val="FFFFFF"/>
          <w:sz w:val="40"/>
          <w:szCs w:val="40"/>
        </w:rPr>
        <w:t xml:space="preserve">9. Implementation Roadmap - 12 Weeks (Both Sites)</w:t>
      </w:r>
    </w:p>
    <w:p>
      <w:pPr>
        <w:spacing w:before="100" w:after="100" w:line="280" w:lineRule="auto"/>
      </w:pPr>
      <w:r>
        <w:rPr>
          <w:rFonts w:ascii="Calibri" w:cs="Calibri" w:eastAsia="Calibri" w:hAnsi="Calibri"/>
          <w:b w:val="false"/>
          <w:bCs w:val="false"/>
          <w:i w:val="false"/>
          <w:iCs w:val="false"/>
          <w:color w:val="0A1628"/>
          <w:sz w:val="22"/>
          <w:szCs w:val="22"/>
        </w:rPr>
        <w:t xml:space="preserve">Synology HD6500 deploys faster than PowerScale F710 due to simpler single-unit architecture and DSM's guided setup wizard. Site A is operational in 8 weeks. Site B DR is online in week 12.</w:t>
      </w:r>
    </w:p>
    <w:p>
      <w:pPr>
        <w:spacing w:before="60" w:after="0" w:line="280" w:lineRule="auto"/>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4760"/>
        <w:gridCol w:w="1800"/>
      </w:tblGrid>
      <w:tr>
        <w:tc>
          <w:tcPr>
            <w:tcW w:type="dxa" w:w="14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Phase</w:t>
            </w:r>
          </w:p>
        </w:tc>
        <w:tc>
          <w:tcPr>
            <w:tcW w:type="dxa" w:w="14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Weeks</w:t>
            </w:r>
          </w:p>
        </w:tc>
        <w:tc>
          <w:tcPr>
            <w:tcW w:type="dxa" w:w="476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Tasks</w:t>
            </w:r>
          </w:p>
        </w:tc>
        <w:tc>
          <w:tcPr>
            <w:tcW w:type="dxa" w:w="18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Acceptance test</w:t>
            </w:r>
          </w:p>
        </w:tc>
      </w:tr>
      <w:tr>
        <w:tc>
          <w:tcPr>
            <w:tcW w:type="dxa" w:w="1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Phase 0 - Procurement</w:t>
            </w:r>
          </w:p>
        </w:tc>
        <w:tc>
          <w:tcPr>
            <w:tcW w:type="dxa" w:w="1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Weeks -4 to -1</w:t>
            </w:r>
          </w:p>
        </w:tc>
        <w:tc>
          <w:tcPr>
            <w:tcW w:type="dxa" w:w="47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Order all hardware. Synology HD6500 lead time in India: 2-3 weeks from Synology authorised distributor. HPE Aruba CX 6300M: 1-2 weeks. Fortinet: 1-2 weeks from stock. Prepare Site A DC: rack space (4U for HD6500, 2U for app server, 2U for switches), power wiring.</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All hardware at Site A. ISP circuits active.</w:t>
            </w:r>
          </w:p>
        </w:tc>
      </w:tr>
      <w:tr>
        <w:tc>
          <w:tcPr>
            <w:tcW w:type="dxa" w:w="1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Phase 1 - Site A Network</w:t>
            </w:r>
          </w:p>
        </w:tc>
        <w:tc>
          <w:tcPr>
            <w:tcW w:type="dxa" w:w="1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Weeks 1-2</w:t>
            </w:r>
          </w:p>
        </w:tc>
        <w:tc>
          <w:tcPr>
            <w:tcW w:type="dxa" w:w="47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Install HPE Aruba CX 6300M pair (VSX stack). Configure VLANs 10/20/30/40. Install FortiGate 120G HA pair. Day-1 hardening: disable FortiCloud SSO. Configure SD-WAN dual ISP. FortiGate ZTNA proxy policy created but not yet enrolled to endpoints.</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VLANs active. FortiGate HA failover tested. WAN failover in under 30 seconds.</w:t>
            </w:r>
          </w:p>
        </w:tc>
      </w:tr>
      <w:tr>
        <w:tc>
          <w:tcPr>
            <w:tcW w:type="dxa" w:w="1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Phase 2 - Site A HD6500</w:t>
            </w:r>
          </w:p>
        </w:tc>
        <w:tc>
          <w:tcPr>
            <w:tcW w:type="dxa" w:w="1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Weeks 2-5</w:t>
            </w:r>
          </w:p>
        </w:tc>
        <w:tc>
          <w:tcPr>
            <w:tcW w:type="dxa" w:w="47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Synology partner installs HD6500. DSM setup wizard: RAID6 pool (56 data + 4 parity HDD), SSD cache configuration. Create shared folders: projects/active, ingest, deliverables, archive, proxies. Configure Synology Replication Manager. Enable Hybrid Share with Wasabi. Quotas, snapshot policies, DSM firewall rules.</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NFS mount from VLAN 20 workstation: write 50GB, checksum pass. Snapshot taken in under 5 min. Hybrid Share test: upload 1GB to Wasabi, retrieve via DSM.</w:t>
            </w:r>
          </w:p>
        </w:tc>
      </w:tr>
      <w:tr>
        <w:tc>
          <w:tcPr>
            <w:tcW w:type="dxa" w:w="1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Phase 3 - Site A Apps and ZTNA</w:t>
            </w:r>
          </w:p>
        </w:tc>
        <w:tc>
          <w:tcPr>
            <w:tcW w:type="dxa" w:w="1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Weeks 5-8</w:t>
            </w:r>
          </w:p>
        </w:tc>
        <w:tc>
          <w:tcPr>
            <w:tcW w:type="dxa" w:w="47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Deploy R760 with ESXi. Deploy all VMs. Vault initialised (Shamir 5-of-3). Enrol all 25 employee devices in FortiClient EMS. Deploy Kaspersky to all 25 endpoints. Test full ZTNA from remote laptop: login, MFA, mapped drive, open a 4K proxy file from NAS over ZTNA.</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25 employees ZTNA enrolled. FortiAnalyzer logs green across all sources. Kaspersky all green.</w:t>
            </w:r>
          </w:p>
        </w:tc>
      </w:tr>
      <w:tr>
        <w:tc>
          <w:tcPr>
            <w:tcW w:type="dxa" w:w="1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Phase 4 - Site B DR</w:t>
            </w:r>
          </w:p>
        </w:tc>
        <w:tc>
          <w:tcPr>
            <w:tcW w:type="dxa" w:w="1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Weeks 8-10</w:t>
            </w:r>
          </w:p>
        </w:tc>
        <w:tc>
          <w:tcPr>
            <w:tcW w:type="dxa" w:w="47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Install Site B HD6500 and network gear. Create Synology Replication task from Site A to Site B. Run initial baseline replication (large - allow 2-3 days for first full sync). Configure Site B FortiGate HA. Test failover: take Site A offline, employees connect to Site B FortiGate, access Site B HD6500 replicated share.</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Replication running. Delta sync within 15 min of change. Failover time under 10 min.</w:t>
            </w:r>
          </w:p>
        </w:tc>
      </w:tr>
      <w:tr>
        <w:tc>
          <w:tcPr>
            <w:tcW w:type="dxa" w:w="1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Phase 5 - Go-Live</w:t>
            </w:r>
          </w:p>
        </w:tc>
        <w:tc>
          <w:tcPr>
            <w:tcW w:type="dxa" w:w="14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Weeks 10-12</w:t>
            </w:r>
          </w:p>
        </w:tc>
        <w:tc>
          <w:tcPr>
            <w:tcW w:type="dxa" w:w="47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Full security audit. Ransomware honeypot test. Signiant performance verification. Staff training: ZTNA login, NAS access, proxy workflow. Runbooks written and tested. CTO sign-off.</w:t>
            </w:r>
          </w:p>
        </w:tc>
        <w:tc>
          <w:tcPr>
            <w:tcW w:type="dxa" w:w="18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All security checks pass. CTO sign-off received. Go-live complete.</w:t>
            </w:r>
          </w:p>
        </w:tc>
      </w:tr>
    </w:tbl>
    <w:p>
      <w:r>
        <w:br w:type="page"/>
      </w:r>
    </w:p>
    <w:p>
      <w:pPr>
        <w:pStyle w:val="Heading1"/>
        <w:pBdr>
          <w:bottom w:val="single" w:color="1565C0" w:sz="12"/>
        </w:pBdr>
        <w:shd w:fill="003087" w:val="clear"/>
        <w:spacing w:before="400" w:after="180" w:line="280" w:lineRule="auto"/>
        <w:ind w:left="180" w:right="180"/>
      </w:pPr>
      <w:r>
        <w:rPr>
          <w:rFonts w:ascii="Calibri" w:cs="Calibri" w:eastAsia="Calibri" w:hAnsi="Calibri"/>
          <w:b/>
          <w:bCs/>
          <w:color w:val="FFFFFF"/>
          <w:sz w:val="40"/>
          <w:szCs w:val="40"/>
        </w:rPr>
        <w:t xml:space="preserve">10. Operational Maintenance and Security Hygiene</w:t>
      </w: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10.1 Routine Maintenance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Frequency</w:t>
            </w:r>
          </w:p>
        </w:tc>
        <w:tc>
          <w:tcPr>
            <w:tcW w:type="dxa" w:w="7760"/>
            <w:tcBorders>
              <w:top w:val="single" w:color="003087" w:sz="4"/>
              <w:left w:val="single" w:color="003087" w:sz="4"/>
              <w:bottom w:val="single" w:color="003087" w:sz="4"/>
              <w:right w:val="single" w:color="003087" w:sz="4"/>
            </w:tcBorders>
            <w:shd w:fill="003087" w:val="clear"/>
            <w:tcMar>
              <w:top w:type="dxa" w:w="90"/>
              <w:left w:type="dxa" w:w="130"/>
              <w:bottom w:type="dxa" w:w="90"/>
              <w:right w:type="dxa" w:w="130"/>
            </w:tcMar>
            <w:vAlign w:val="center"/>
          </w:tcPr>
          <w:p>
            <w:r>
              <w:rPr>
                <w:rFonts w:ascii="Calibri" w:cs="Calibri" w:eastAsia="Calibri" w:hAnsi="Calibri"/>
                <w:b/>
                <w:bCs/>
                <w:i w:val="false"/>
                <w:iCs w:val="false"/>
                <w:color w:val="FFFFFF"/>
                <w:sz w:val="18"/>
                <w:szCs w:val="18"/>
              </w:rPr>
              <w:t xml:space="preserve">Task</w:t>
            </w:r>
          </w:p>
        </w:tc>
      </w:tr>
      <w:tr>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Daily</w:t>
            </w:r>
          </w:p>
        </w:tc>
        <w:tc>
          <w:tcPr>
            <w:tcW w:type="dxa" w:w="77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Check DSM Storage Manager: all drives healthy, no yellow/red status. Check Synology Replication Manager: last replication task completed within window. Verify all 25 Kaspersky endpoints green in KSC dashboard. Check FortiAnalyzer for overnight alerts.</w:t>
            </w:r>
          </w:p>
        </w:tc>
      </w:tr>
      <w:tr>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Weekly</w:t>
            </w:r>
          </w:p>
        </w:tc>
        <w:tc>
          <w:tcPr>
            <w:tcW w:type="dxa" w:w="7760"/>
            <w:tcBorders>
              <w:top w:val="single" w:color="CFD8DC" w:sz="4"/>
              <w:left w:val="single" w:color="CFD8DC" w:sz="4"/>
              <w:bottom w:val="single" w:color="CFD8DC" w:sz="4"/>
              <w:right w:val="single" w:color="CFD8DC" w:sz="4"/>
            </w:tcBorders>
            <w:shd w:fill="DAEAF7"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Review FortiAnalyzer security summary. Verify Vault credential rotations completed. Check Wasabi usage and cost (DSM &gt; Hybrid Share &gt; Statistics). Review ZTNA access denials for unusual patterns.</w:t>
            </w:r>
          </w:p>
        </w:tc>
      </w:tr>
      <w:tr>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Monthly</w:t>
            </w:r>
          </w:p>
        </w:tc>
        <w:tc>
          <w:tcPr>
            <w:tcW w:type="dxa" w:w="77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DSM Storage &gt; SSD Cache Analytics: check hit rate. If below 70%, consider adding SSD cache. Review Hybrid Share bandwidth usage - adjust throttle if employees report NAS slowness. Drive health check: DSM &gt; Storage Manager &gt; HDD/SSD &gt; SMART test.</w:t>
            </w:r>
          </w:p>
        </w:tc>
      </w:tr>
      <w:tr>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Quarterly</w:t>
            </w:r>
          </w:p>
        </w:tc>
        <w:tc>
          <w:tcPr>
            <w:tcW w:type="dxa" w:w="7760"/>
            <w:tcBorders>
              <w:top w:val="single" w:color="CFD8DC" w:sz="4"/>
              <w:left w:val="single" w:color="CFD8DC" w:sz="4"/>
              <w:bottom w:val="single" w:color="CFD8DC" w:sz="4"/>
              <w:right w:val="single" w:color="CFD8DC" w:sz="4"/>
            </w:tcBorders>
            <w:shd w:fill="DAEAF7"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FortiGate firmware review. Apply critical CVEs within 7 days. DR failover drill: disconnect Site A, verify Site B takeover time. Phishing simulation for 25 employees. Vault unseal key holder availability check.</w:t>
            </w:r>
          </w:p>
        </w:tc>
      </w:tr>
      <w:tr>
        <w:tc>
          <w:tcPr>
            <w:tcW w:type="dxa" w:w="160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Annually</w:t>
            </w:r>
          </w:p>
        </w:tc>
        <w:tc>
          <w:tcPr>
            <w:tcW w:type="dxa" w:w="7760"/>
            <w:tcBorders>
              <w:top w:val="single" w:color="CFD8DC" w:sz="4"/>
              <w:left w:val="single" w:color="CFD8DC" w:sz="4"/>
              <w:bottom w:val="single" w:color="CFD8DC" w:sz="4"/>
              <w:right w:val="single" w:color="CFD8DC" w:sz="4"/>
            </w:tcBorders>
            <w:shd w:fill="FFFFFF" w:val="clear"/>
            <w:tcMar>
              <w:top w:type="dxa" w:w="80"/>
              <w:left w:type="dxa" w:w="120"/>
              <w:bottom w:type="dxa" w:w="80"/>
              <w:right w:type="dxa" w:w="120"/>
            </w:tcMar>
            <w:vAlign w:val="center"/>
          </w:tcPr>
          <w:p>
            <w:r>
              <w:rPr>
                <w:rFonts w:ascii="Calibri" w:cs="Calibri" w:eastAsia="Calibri" w:hAnsi="Calibri"/>
                <w:b w:val="false"/>
                <w:bCs w:val="false"/>
                <w:color w:val="0A1628"/>
                <w:sz w:val="19"/>
                <w:szCs w:val="19"/>
              </w:rPr>
              <w:t xml:space="preserve">Full penetration test. TPN gap assessment if streaming platform work commenced. DSM and all drive firmware updates. UPS load test and battery inspection. Synology Care support case test.</w:t>
            </w:r>
          </w:p>
        </w:tc>
      </w:tr>
    </w:tbl>
    <w:p>
      <w:pPr>
        <w:spacing w:before="80" w:after="0" w:line="280" w:lineRule="auto"/>
      </w:pPr>
    </w:p>
    <w:p>
      <w:pPr>
        <w:pStyle w:val="Heading2"/>
        <w:pBdr>
          <w:bottom w:val="single" w:color="1565C0" w:sz="6"/>
        </w:pBdr>
        <w:spacing w:before="300" w:after="120" w:line="280" w:lineRule="auto"/>
      </w:pPr>
      <w:r>
        <w:rPr>
          <w:rFonts w:ascii="Calibri" w:cs="Calibri" w:eastAsia="Calibri" w:hAnsi="Calibri"/>
          <w:b/>
          <w:bCs/>
          <w:color w:val="003087"/>
          <w:sz w:val="30"/>
          <w:szCs w:val="30"/>
        </w:rPr>
        <w:t xml:space="preserve">10.2 Critical Runbooks</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DSM drive failure response: hot-swap failed drive (no downtime with RAID6 and 2-drive tolerance). Monitor RAID rebuild progress in DSM Storage Manager.</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Synology Replication failover: promote Site B as primary in Replication Manager. Update employee ZTNA profile to Site B FortiGate.</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Ransomware response: Kaspersky auto-detects. Isolate employee device via KSC. Roll back affected shares via DSM Snapshot &gt; Restore.</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ZTNA device compromise: revoke FortiClient EMS certificate in under 2 minutes. Disable AD/LDAP account.</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Vault unseal: 3 of 5 Shamir key holders. All key holders have sealed envelopes in known secure locations.</w:t>
      </w:r>
    </w:p>
    <w:p>
      <w:pPr>
        <w:pStyle w:val="ListParagraph"/>
        <w:numPr>
          <w:ilvl w:val="0"/>
          <w:numId w:val="2"/>
        </w:numPr>
        <w:spacing w:before="60" w:after="60" w:line="280" w:lineRule="auto"/>
      </w:pPr>
      <w:r>
        <w:rPr>
          <w:rFonts w:ascii="Calibri" w:cs="Calibri" w:eastAsia="Calibri" w:hAnsi="Calibri"/>
          <w:b w:val="false"/>
          <w:bCs w:val="false"/>
          <w:i w:val="false"/>
          <w:iCs w:val="false"/>
          <w:color w:val="0A1628"/>
          <w:sz w:val="22"/>
          <w:szCs w:val="22"/>
        </w:rPr>
        <w:t xml:space="preserve">DSM admin lockout: use Opengear console server serial access to FortiGate OOB port. Reset via safe mode boot.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D8DC" w:sz="4"/>
      </w:pBdr>
      <w:jc w:val="center"/>
    </w:pPr>
    <w:r>
      <w:rPr>
        <w:rFonts w:ascii="Calibri" w:cs="Calibri" w:eastAsia="Calibri" w:hAnsi="Calibri"/>
        <w:color w:val="455A64"/>
        <w:sz w:val="16"/>
        <w:szCs w:val="16"/>
      </w:rPr>
      <w:t xml:space="preserve">B2H Studios  |  Synology HD6500  |  March 2026  |  Page </w:t>
    </w:r>
    <w:r>
      <w:rPr>
        <w:rFonts w:ascii="Calibri" w:cs="Calibri" w:eastAsia="Calibri" w:hAnsi="Calibri"/>
        <w:color w:val="455A6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pBdr>
      <w:spacing w:before="0" w:after="60" w:line="280" w:lineRule="auto"/>
      <w:jc w:val="right"/>
    </w:pPr>
    <w:r>
      <w:rPr>
        <w:rFonts w:ascii="Calibri" w:cs="Calibri" w:eastAsia="Calibri" w:hAnsi="Calibri"/>
        <w:color w:val="455A64"/>
        <w:sz w:val="16"/>
        <w:szCs w:val="16"/>
      </w:rPr>
      <w:t xml:space="preserve">B2H Studios - Option B: Synology HD6500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A16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80"/>
      <w:outlineLvl w:val="0"/>
    </w:pPr>
    <w:rPr>
      <w:rFonts w:ascii="Calibri" w:cs="Calibri" w:eastAsia="Calibri" w:hAnsi="Calibri"/>
      <w:b/>
      <w:bCs/>
      <w:color w:val="FFFFFF"/>
      <w:sz w:val="40"/>
      <w:szCs w:val="40"/>
    </w:rPr>
  </w:style>
  <w:style w:type="paragraph" w:styleId="Heading2">
    <w:name w:val="Heading 2"/>
    <w:basedOn w:val="Normal"/>
    <w:next w:val="Normal"/>
    <w:qFormat/>
    <w:pPr>
      <w:spacing w:before="300" w:after="120"/>
      <w:outlineLvl w:val="1"/>
    </w:pPr>
    <w:rPr>
      <w:rFonts w:ascii="Calibri" w:cs="Calibri" w:eastAsia="Calibri" w:hAnsi="Calibri"/>
      <w:b/>
      <w:bCs/>
      <w:color w:val="003087"/>
      <w:sz w:val="30"/>
      <w:szCs w:val="30"/>
    </w:rPr>
  </w:style>
  <w:style w:type="paragraph" w:styleId="Heading3">
    <w:name w:val="Heading 3"/>
    <w:basedOn w:val="Normal"/>
    <w:next w:val="Normal"/>
    <w:qFormat/>
    <w:pPr>
      <w:spacing w:before="220" w:after="90"/>
      <w:outlineLvl w:val="2"/>
    </w:pPr>
    <w:rPr>
      <w:rFonts w:ascii="Calibri" w:cs="Calibri" w:eastAsia="Calibri" w:hAnsi="Calibri"/>
      <w:b/>
      <w:bCs/>
      <w:color w:val="1565C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2026-03-20T15:57:55.888Z</dcterms:created>
  <dcterms:modified xsi:type="dcterms:W3CDTF">2026-03-20T15:57:55.889Z</dcterms:modified>
</cp:coreProperties>
</file>

<file path=docProps/custom.xml><?xml version="1.0" encoding="utf-8"?>
<Properties xmlns="http://schemas.openxmlformats.org/officeDocument/2006/custom-properties" xmlns:vt="http://schemas.openxmlformats.org/officeDocument/2006/docPropsVTypes"/>
</file>