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1BA4C" w14:textId="77777777" w:rsidR="00155974" w:rsidRPr="00782EEE" w:rsidRDefault="00155974" w:rsidP="00155974">
      <w:pPr>
        <w:rPr>
          <w:rFonts w:ascii="Arial" w:eastAsia="Times New Roman" w:hAnsi="Arial" w:cs="Arial"/>
          <w:b/>
          <w:bCs/>
          <w:u w:val="single"/>
          <w:lang w:eastAsia="en-IN"/>
        </w:rPr>
      </w:pPr>
      <w:r w:rsidRPr="00782EEE">
        <w:rPr>
          <w:rFonts w:ascii="Arial" w:eastAsia="Times New Roman" w:hAnsi="Arial" w:cs="Arial"/>
          <w:b/>
          <w:bCs/>
          <w:u w:val="single"/>
          <w:lang w:eastAsia="en-IN"/>
        </w:rPr>
        <w:t>Figures</w:t>
      </w:r>
    </w:p>
    <w:p w14:paraId="3D049B69"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noProof/>
          <w:lang w:eastAsia="en-IN"/>
        </w:rPr>
        <w:drawing>
          <wp:inline distT="0" distB="0" distL="0" distR="0" wp14:anchorId="101E7E6A" wp14:editId="41BB4AE1">
            <wp:extent cx="5731510" cy="3120390"/>
            <wp:effectExtent l="0" t="0" r="2540" b="3810"/>
            <wp:docPr id="990711673" name="Picture 1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11673" name="Picture 13" descr="A close up of a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14:paraId="74CAEA43"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 xml:space="preserve">Figure 1: Alignment of </w:t>
      </w:r>
      <w:r w:rsidRPr="00782EEE">
        <w:rPr>
          <w:rFonts w:ascii="Arial" w:eastAsia="Times New Roman" w:hAnsi="Arial" w:cs="Arial"/>
          <w:b/>
          <w:bCs/>
          <w:i/>
          <w:iCs/>
          <w:lang w:eastAsia="en-IN"/>
        </w:rPr>
        <w:t>MIZ1</w:t>
      </w:r>
      <w:r w:rsidRPr="00782EEE">
        <w:rPr>
          <w:rFonts w:ascii="Arial" w:eastAsia="Times New Roman" w:hAnsi="Arial" w:cs="Arial"/>
          <w:b/>
          <w:bCs/>
          <w:lang w:eastAsia="en-IN"/>
        </w:rPr>
        <w:t xml:space="preserve"> Gene Homologs Post-Trimming</w:t>
      </w:r>
    </w:p>
    <w:p w14:paraId="278A1011" w14:textId="77777777" w:rsidR="00155974" w:rsidRPr="00782EEE" w:rsidRDefault="00155974" w:rsidP="00155974">
      <w:pPr>
        <w:rPr>
          <w:rFonts w:ascii="Arial" w:eastAsia="Times New Roman" w:hAnsi="Arial" w:cs="Arial"/>
          <w:lang w:eastAsia="en-IN"/>
        </w:rPr>
      </w:pPr>
      <w:r w:rsidRPr="00782EEE">
        <w:rPr>
          <w:rFonts w:ascii="Arial" w:eastAsia="Times New Roman" w:hAnsi="Arial" w:cs="Arial"/>
          <w:lang w:eastAsia="en-IN"/>
        </w:rPr>
        <w:t xml:space="preserve">This alignment shows the homologs of the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after trimming poorly aligned sequences. The black box highlights species within the </w:t>
      </w:r>
      <w:r w:rsidRPr="00782EEE">
        <w:rPr>
          <w:rFonts w:ascii="Arial" w:eastAsia="Times New Roman" w:hAnsi="Arial" w:cs="Arial"/>
          <w:i/>
          <w:iCs/>
          <w:lang w:eastAsia="en-IN"/>
        </w:rPr>
        <w:t>Triticum</w:t>
      </w:r>
      <w:r w:rsidRPr="00782EEE">
        <w:rPr>
          <w:rFonts w:ascii="Arial" w:eastAsia="Times New Roman" w:hAnsi="Arial" w:cs="Arial"/>
          <w:lang w:eastAsia="en-IN"/>
        </w:rPr>
        <w:t xml:space="preserve"> genus, displaying a similar alignment pattern. Similarly, the red box highlights species from the </w:t>
      </w:r>
      <w:r w:rsidRPr="00782EEE">
        <w:rPr>
          <w:rFonts w:ascii="Arial" w:eastAsia="Times New Roman" w:hAnsi="Arial" w:cs="Arial"/>
          <w:i/>
          <w:iCs/>
          <w:lang w:eastAsia="en-IN"/>
        </w:rPr>
        <w:t>Arabidopsis</w:t>
      </w:r>
      <w:r w:rsidRPr="00782EEE">
        <w:rPr>
          <w:rFonts w:ascii="Arial" w:eastAsia="Times New Roman" w:hAnsi="Arial" w:cs="Arial"/>
          <w:lang w:eastAsia="en-IN"/>
        </w:rPr>
        <w:t xml:space="preserve"> genus, which also exhibit a consistent alignment pattern. Different </w:t>
      </w:r>
      <w:proofErr w:type="spellStart"/>
      <w:r w:rsidRPr="00782EEE">
        <w:rPr>
          <w:rFonts w:ascii="Arial" w:eastAsia="Times New Roman" w:hAnsi="Arial" w:cs="Arial"/>
          <w:lang w:eastAsia="en-IN"/>
        </w:rPr>
        <w:t>colors</w:t>
      </w:r>
      <w:proofErr w:type="spellEnd"/>
      <w:r w:rsidRPr="00782EEE">
        <w:rPr>
          <w:rFonts w:ascii="Arial" w:eastAsia="Times New Roman" w:hAnsi="Arial" w:cs="Arial"/>
          <w:lang w:eastAsia="en-IN"/>
        </w:rPr>
        <w:t xml:space="preserve"> in the sequence represent conserved and variable regions across the aligned species.</w:t>
      </w:r>
    </w:p>
    <w:p w14:paraId="76971C3D"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noProof/>
          <w:lang w:eastAsia="en-IN"/>
        </w:rPr>
        <w:drawing>
          <wp:inline distT="0" distB="0" distL="0" distR="0" wp14:anchorId="5DDDB8E9" wp14:editId="1E0BA361">
            <wp:extent cx="5731510" cy="3653155"/>
            <wp:effectExtent l="0" t="0" r="2540" b="4445"/>
            <wp:docPr id="1131921041" name="Picture 14"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21041" name="Picture 14" descr="A computer screen with many colorful 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1E23359E"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 xml:space="preserve">Figure 2: Phylogenetic tree of the </w:t>
      </w:r>
      <w:r w:rsidRPr="00782EEE">
        <w:rPr>
          <w:rFonts w:ascii="Arial" w:eastAsia="Times New Roman" w:hAnsi="Arial" w:cs="Arial"/>
          <w:b/>
          <w:bCs/>
          <w:i/>
          <w:iCs/>
          <w:lang w:eastAsia="en-IN"/>
        </w:rPr>
        <w:t>MIZ1</w:t>
      </w:r>
      <w:r w:rsidRPr="00782EEE">
        <w:rPr>
          <w:rFonts w:ascii="Arial" w:eastAsia="Times New Roman" w:hAnsi="Arial" w:cs="Arial"/>
          <w:b/>
          <w:bCs/>
          <w:lang w:eastAsia="en-IN"/>
        </w:rPr>
        <w:t xml:space="preserve"> gene across Embryophytes</w:t>
      </w:r>
    </w:p>
    <w:p w14:paraId="47CC9FC7" w14:textId="77777777" w:rsidR="00155974" w:rsidRPr="00782EEE" w:rsidRDefault="00155974" w:rsidP="00155974">
      <w:pPr>
        <w:rPr>
          <w:rFonts w:ascii="Arial" w:eastAsia="Times New Roman" w:hAnsi="Arial" w:cs="Arial"/>
          <w:lang w:eastAsia="en-IN"/>
        </w:rPr>
      </w:pPr>
      <w:r w:rsidRPr="00782EEE">
        <w:rPr>
          <w:rFonts w:ascii="Arial" w:eastAsia="Times New Roman" w:hAnsi="Arial" w:cs="Arial"/>
          <w:lang w:eastAsia="en-IN"/>
        </w:rPr>
        <w:lastRenderedPageBreak/>
        <w:t xml:space="preserve">This phylogenetic tree represents the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across various species of embryophytes. The tree uses different </w:t>
      </w:r>
      <w:proofErr w:type="spellStart"/>
      <w:r w:rsidRPr="00782EEE">
        <w:rPr>
          <w:rFonts w:ascii="Arial" w:eastAsia="Times New Roman" w:hAnsi="Arial" w:cs="Arial"/>
          <w:lang w:eastAsia="en-IN"/>
        </w:rPr>
        <w:t>colors</w:t>
      </w:r>
      <w:proofErr w:type="spellEnd"/>
      <w:r w:rsidRPr="00782EEE">
        <w:rPr>
          <w:rFonts w:ascii="Arial" w:eastAsia="Times New Roman" w:hAnsi="Arial" w:cs="Arial"/>
          <w:lang w:eastAsia="en-IN"/>
        </w:rPr>
        <w:t xml:space="preserve"> to denote major plant groups: red for Angiosperms, blue for Gymnosperms, light blue for Ferns, yellow for Lycophytes, green for Mosses, and grey for Hornworts. The visual structure of the tree illustrates evolutionary relationships and lineage diversifications within these plant groups.</w:t>
      </w:r>
    </w:p>
    <w:p w14:paraId="101A63AC" w14:textId="77777777" w:rsidR="00155974" w:rsidRPr="00782EEE" w:rsidRDefault="00155974" w:rsidP="00155974">
      <w:pPr>
        <w:rPr>
          <w:rFonts w:ascii="Arial" w:eastAsia="Times New Roman" w:hAnsi="Arial" w:cs="Arial"/>
          <w:lang w:eastAsia="en-IN"/>
        </w:rPr>
      </w:pPr>
    </w:p>
    <w:p w14:paraId="5F6E70CF"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noProof/>
          <w:lang w:eastAsia="en-IN"/>
        </w:rPr>
        <w:drawing>
          <wp:inline distT="0" distB="0" distL="0" distR="0" wp14:anchorId="3F8786D2" wp14:editId="4D4C042C">
            <wp:extent cx="5731510" cy="2974975"/>
            <wp:effectExtent l="0" t="0" r="2540" b="0"/>
            <wp:docPr id="1815909325" name="Picture 15" descr="Several colorful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09325" name="Picture 15" descr="Several colorful text box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2AEA9F4D"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 xml:space="preserve">Figure 3: Phylogenetic tree of the </w:t>
      </w:r>
      <w:r w:rsidRPr="00782EEE">
        <w:rPr>
          <w:rFonts w:ascii="Arial" w:eastAsia="Times New Roman" w:hAnsi="Arial" w:cs="Arial"/>
          <w:b/>
          <w:bCs/>
          <w:i/>
          <w:iCs/>
          <w:lang w:eastAsia="en-IN"/>
        </w:rPr>
        <w:t>MIZ1</w:t>
      </w:r>
      <w:r w:rsidRPr="00782EEE">
        <w:rPr>
          <w:rFonts w:ascii="Arial" w:eastAsia="Times New Roman" w:hAnsi="Arial" w:cs="Arial"/>
          <w:b/>
          <w:bCs/>
          <w:lang w:eastAsia="en-IN"/>
        </w:rPr>
        <w:t xml:space="preserve"> gene, displaying three paralogs and their evolutionary relationships across plant lineages. </w:t>
      </w:r>
      <w:r w:rsidRPr="00782EEE">
        <w:rPr>
          <w:rFonts w:ascii="Arial" w:eastAsia="Times New Roman" w:hAnsi="Arial" w:cs="Arial"/>
          <w:lang w:eastAsia="en-IN"/>
        </w:rPr>
        <w:t xml:space="preserve">The phylogenetic tree illustrates three distinct paralogs of the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with the first paralog showing the evolutionary progression of land plants from Bryophytes to Angiosperms. The second and third paralogs highlight missing phyla within the tree. The different plant groups—Angiosperms, Gymnosperms, Ferns, Lycophytes, Mosses, and Hornworts—are color-coded for visual clarity, emphasizing the evolutionary relationships between these groups.</w:t>
      </w:r>
    </w:p>
    <w:p w14:paraId="05EE083F" w14:textId="77777777" w:rsidR="00155974" w:rsidRPr="00782EEE" w:rsidRDefault="00155974" w:rsidP="00155974">
      <w:pPr>
        <w:rPr>
          <w:rFonts w:ascii="Arial" w:hAnsi="Arial" w:cs="Arial"/>
          <w:b/>
          <w:bCs/>
          <w:color w:val="2A2A2A"/>
        </w:rPr>
      </w:pPr>
    </w:p>
    <w:p w14:paraId="17BF0001"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noProof/>
          <w:lang w:eastAsia="en-IN"/>
        </w:rPr>
        <w:lastRenderedPageBreak/>
        <w:drawing>
          <wp:inline distT="0" distB="0" distL="0" distR="0" wp14:anchorId="7848FCAC" wp14:editId="231259E2">
            <wp:extent cx="5731510" cy="2733040"/>
            <wp:effectExtent l="0" t="0" r="2540" b="0"/>
            <wp:docPr id="44622056" name="Picture 17" descr="A white background with red and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056" name="Picture 17" descr="A white background with red and black lines"/>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156FD2CC"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 xml:space="preserve">Figure 4: Phylogenetic tree of the third paralog of the </w:t>
      </w:r>
      <w:r w:rsidRPr="00782EEE">
        <w:rPr>
          <w:rFonts w:ascii="Arial" w:eastAsia="Times New Roman" w:hAnsi="Arial" w:cs="Arial"/>
          <w:b/>
          <w:bCs/>
          <w:i/>
          <w:iCs/>
          <w:lang w:eastAsia="en-IN"/>
        </w:rPr>
        <w:t>MIZ1</w:t>
      </w:r>
      <w:r w:rsidRPr="00782EEE">
        <w:rPr>
          <w:rFonts w:ascii="Arial" w:eastAsia="Times New Roman" w:hAnsi="Arial" w:cs="Arial"/>
          <w:b/>
          <w:bCs/>
          <w:lang w:eastAsia="en-IN"/>
        </w:rPr>
        <w:t xml:space="preserve"> gene, including functional </w:t>
      </w:r>
      <w:r w:rsidRPr="00782EEE">
        <w:rPr>
          <w:rFonts w:ascii="Arial" w:eastAsia="Times New Roman" w:hAnsi="Arial" w:cs="Arial"/>
          <w:b/>
          <w:bCs/>
          <w:i/>
          <w:iCs/>
          <w:lang w:eastAsia="en-IN"/>
        </w:rPr>
        <w:t>MIZ1</w:t>
      </w:r>
      <w:r w:rsidRPr="00782EEE">
        <w:rPr>
          <w:rFonts w:ascii="Arial" w:eastAsia="Times New Roman" w:hAnsi="Arial" w:cs="Arial"/>
          <w:b/>
          <w:bCs/>
          <w:lang w:eastAsia="en-IN"/>
        </w:rPr>
        <w:t xml:space="preserve"> of </w:t>
      </w:r>
      <w:r w:rsidRPr="00782EEE">
        <w:rPr>
          <w:rFonts w:ascii="Arial" w:eastAsia="Times New Roman" w:hAnsi="Arial" w:cs="Arial"/>
          <w:b/>
          <w:bCs/>
          <w:i/>
          <w:iCs/>
          <w:lang w:eastAsia="en-IN"/>
        </w:rPr>
        <w:t>A. thaliana</w:t>
      </w:r>
      <w:r w:rsidRPr="00782EEE">
        <w:rPr>
          <w:rFonts w:ascii="Arial" w:eastAsia="Times New Roman" w:hAnsi="Arial" w:cs="Arial"/>
          <w:b/>
          <w:bCs/>
          <w:lang w:eastAsia="en-IN"/>
        </w:rPr>
        <w:t xml:space="preserve"> and root-expressing paralogs in other </w:t>
      </w:r>
      <w:proofErr w:type="spellStart"/>
      <w:proofErr w:type="gramStart"/>
      <w:r w:rsidRPr="00782EEE">
        <w:rPr>
          <w:rFonts w:ascii="Arial" w:eastAsia="Times New Roman" w:hAnsi="Arial" w:cs="Arial"/>
          <w:b/>
          <w:bCs/>
          <w:lang w:eastAsia="en-IN"/>
        </w:rPr>
        <w:t>species.</w:t>
      </w:r>
      <w:r w:rsidRPr="00782EEE">
        <w:rPr>
          <w:rFonts w:ascii="Arial" w:eastAsia="Times New Roman" w:hAnsi="Arial" w:cs="Arial"/>
          <w:lang w:eastAsia="en-IN"/>
        </w:rPr>
        <w:t>The</w:t>
      </w:r>
      <w:proofErr w:type="spellEnd"/>
      <w:proofErr w:type="gramEnd"/>
      <w:r w:rsidRPr="00782EEE">
        <w:rPr>
          <w:rFonts w:ascii="Arial" w:eastAsia="Times New Roman" w:hAnsi="Arial" w:cs="Arial"/>
          <w:lang w:eastAsia="en-IN"/>
        </w:rPr>
        <w:t xml:space="preserve"> phylogenetic tree shows the positioning of the functional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of </w:t>
      </w:r>
      <w:r w:rsidRPr="00782EEE">
        <w:rPr>
          <w:rFonts w:ascii="Arial" w:eastAsia="Times New Roman" w:hAnsi="Arial" w:cs="Arial"/>
          <w:i/>
          <w:iCs/>
          <w:lang w:eastAsia="en-IN"/>
        </w:rPr>
        <w:t>Arabidopsis thaliana</w:t>
      </w:r>
      <w:r w:rsidRPr="00782EEE">
        <w:rPr>
          <w:rFonts w:ascii="Arial" w:eastAsia="Times New Roman" w:hAnsi="Arial" w:cs="Arial"/>
          <w:lang w:eastAsia="en-IN"/>
        </w:rPr>
        <w:t xml:space="preserve"> within the third paralog. The green-highlighted boxes indicate paralogs in different species that exhibit gene expression in the roots. This figure includes species from various plant lineages and demonstrates the evolutionary relationships among these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paralogs</w:t>
      </w:r>
    </w:p>
    <w:p w14:paraId="7DF6AAEE"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noProof/>
          <w:lang w:eastAsia="en-IN"/>
        </w:rPr>
        <w:drawing>
          <wp:inline distT="0" distB="0" distL="0" distR="0" wp14:anchorId="120EEF46" wp14:editId="61FDFE6F">
            <wp:extent cx="5731510" cy="2832100"/>
            <wp:effectExtent l="0" t="0" r="2540" b="6350"/>
            <wp:docPr id="1974730810" name="Picture 18" descr="A white and grey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0810" name="Picture 18" descr="A white and grey rectangular object with black 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7B086FF5" w14:textId="77777777" w:rsidR="00155974" w:rsidRPr="00782EEE" w:rsidRDefault="00155974" w:rsidP="00155974">
      <w:pPr>
        <w:rPr>
          <w:rFonts w:ascii="Arial" w:eastAsia="Times New Roman" w:hAnsi="Arial" w:cs="Arial"/>
          <w:lang w:eastAsia="en-IN"/>
        </w:rPr>
      </w:pPr>
      <w:r w:rsidRPr="00782EEE">
        <w:rPr>
          <w:rFonts w:ascii="Arial" w:eastAsia="Times New Roman" w:hAnsi="Arial" w:cs="Arial"/>
          <w:b/>
          <w:bCs/>
          <w:lang w:eastAsia="en-IN"/>
        </w:rPr>
        <w:t xml:space="preserve">Figure 5: Synteny analysis of the </w:t>
      </w:r>
      <w:r w:rsidRPr="00782EEE">
        <w:rPr>
          <w:rFonts w:ascii="Arial" w:eastAsia="Times New Roman" w:hAnsi="Arial" w:cs="Arial"/>
          <w:b/>
          <w:bCs/>
          <w:i/>
          <w:iCs/>
          <w:lang w:eastAsia="en-IN"/>
        </w:rPr>
        <w:t>MIZ1</w:t>
      </w:r>
      <w:r w:rsidRPr="00782EEE">
        <w:rPr>
          <w:rFonts w:ascii="Arial" w:eastAsia="Times New Roman" w:hAnsi="Arial" w:cs="Arial"/>
          <w:b/>
          <w:bCs/>
          <w:lang w:eastAsia="en-IN"/>
        </w:rPr>
        <w:t xml:space="preserve"> gene and associated conserved genes across different plant species. </w:t>
      </w:r>
      <w:r w:rsidRPr="00782EEE">
        <w:rPr>
          <w:rFonts w:ascii="Arial" w:eastAsia="Times New Roman" w:hAnsi="Arial" w:cs="Arial"/>
          <w:lang w:eastAsia="en-IN"/>
        </w:rPr>
        <w:t xml:space="preserve">The heatmap represents the presence or absence of </w:t>
      </w:r>
      <w:r w:rsidRPr="00782EEE">
        <w:rPr>
          <w:rFonts w:ascii="Arial" w:eastAsia="Times New Roman" w:hAnsi="Arial" w:cs="Arial"/>
          <w:i/>
          <w:iCs/>
          <w:lang w:eastAsia="en-IN"/>
        </w:rPr>
        <w:t>MIZ1</w:t>
      </w:r>
      <w:r w:rsidRPr="00782EEE">
        <w:rPr>
          <w:rFonts w:ascii="Arial" w:eastAsia="Times New Roman" w:hAnsi="Arial" w:cs="Arial"/>
          <w:lang w:eastAsia="en-IN"/>
        </w:rPr>
        <w:t xml:space="preserve"> and its associated conserved genes, such as Glycosyltransferase family 61, Heat stress transcription factor B-3, and ATP-binding cassette A1, across various plant species. Each </w:t>
      </w:r>
      <w:proofErr w:type="spellStart"/>
      <w:r w:rsidRPr="00782EEE">
        <w:rPr>
          <w:rFonts w:ascii="Arial" w:eastAsia="Times New Roman" w:hAnsi="Arial" w:cs="Arial"/>
          <w:lang w:eastAsia="en-IN"/>
        </w:rPr>
        <w:t>gray</w:t>
      </w:r>
      <w:proofErr w:type="spellEnd"/>
      <w:r w:rsidRPr="00782EEE">
        <w:rPr>
          <w:rFonts w:ascii="Arial" w:eastAsia="Times New Roman" w:hAnsi="Arial" w:cs="Arial"/>
          <w:lang w:eastAsia="en-IN"/>
        </w:rPr>
        <w:t xml:space="preserve"> box indicates the presence of the gene in the corresponding species, while the white gaps represent the absence of the gene. The species listed include a range from non-vascular plants like </w:t>
      </w:r>
      <w:r w:rsidRPr="00782EEE">
        <w:rPr>
          <w:rFonts w:ascii="Arial" w:eastAsia="Times New Roman" w:hAnsi="Arial" w:cs="Arial"/>
          <w:i/>
          <w:iCs/>
          <w:lang w:eastAsia="en-IN"/>
        </w:rPr>
        <w:t xml:space="preserve">Selaginella </w:t>
      </w:r>
      <w:proofErr w:type="spellStart"/>
      <w:r w:rsidRPr="00782EEE">
        <w:rPr>
          <w:rFonts w:ascii="Arial" w:eastAsia="Times New Roman" w:hAnsi="Arial" w:cs="Arial"/>
          <w:i/>
          <w:iCs/>
          <w:lang w:eastAsia="en-IN"/>
        </w:rPr>
        <w:t>moellendorffii</w:t>
      </w:r>
      <w:proofErr w:type="spellEnd"/>
      <w:r w:rsidRPr="00782EEE">
        <w:rPr>
          <w:rFonts w:ascii="Arial" w:eastAsia="Times New Roman" w:hAnsi="Arial" w:cs="Arial"/>
          <w:lang w:eastAsia="en-IN"/>
        </w:rPr>
        <w:t xml:space="preserve"> to angiosperms</w:t>
      </w:r>
    </w:p>
    <w:p w14:paraId="0DBC01D1"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noProof/>
          <w:lang w:eastAsia="en-IN"/>
        </w:rPr>
        <w:lastRenderedPageBreak/>
        <w:drawing>
          <wp:inline distT="0" distB="0" distL="0" distR="0" wp14:anchorId="6816D664" wp14:editId="4F2BB403">
            <wp:extent cx="5731510" cy="4443095"/>
            <wp:effectExtent l="0" t="0" r="2540" b="0"/>
            <wp:docPr id="1233995326" name="Picture 1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5326" name="Picture 15" descr="A diagram of a tre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43095"/>
                    </a:xfrm>
                    <a:prstGeom prst="rect">
                      <a:avLst/>
                    </a:prstGeom>
                  </pic:spPr>
                </pic:pic>
              </a:graphicData>
            </a:graphic>
          </wp:inline>
        </w:drawing>
      </w:r>
    </w:p>
    <w:p w14:paraId="009E737D"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 xml:space="preserve">Figure 6: Phylogenetic Tree Representing </w:t>
      </w:r>
      <w:r w:rsidRPr="00782EEE">
        <w:rPr>
          <w:rFonts w:ascii="Arial" w:eastAsia="Times New Roman" w:hAnsi="Arial" w:cs="Arial"/>
          <w:b/>
          <w:bCs/>
          <w:i/>
          <w:iCs/>
          <w:lang w:eastAsia="en-IN"/>
        </w:rPr>
        <w:t>MIZ1</w:t>
      </w:r>
      <w:r w:rsidRPr="00782EEE">
        <w:rPr>
          <w:rFonts w:ascii="Arial" w:eastAsia="Times New Roman" w:hAnsi="Arial" w:cs="Arial"/>
          <w:b/>
          <w:bCs/>
          <w:lang w:eastAsia="en-IN"/>
        </w:rPr>
        <w:t xml:space="preserve"> Gene Duplication</w:t>
      </w:r>
    </w:p>
    <w:p w14:paraId="59C13D9A" w14:textId="77777777" w:rsidR="00155974" w:rsidRPr="00782EEE" w:rsidRDefault="00155974" w:rsidP="00155974">
      <w:pPr>
        <w:rPr>
          <w:rFonts w:ascii="Arial" w:eastAsia="Times New Roman" w:hAnsi="Arial" w:cs="Arial"/>
          <w:lang w:eastAsia="en-IN"/>
        </w:rPr>
      </w:pPr>
      <w:r w:rsidRPr="00782EEE">
        <w:rPr>
          <w:rFonts w:ascii="Arial" w:eastAsia="Times New Roman" w:hAnsi="Arial" w:cs="Arial"/>
          <w:lang w:eastAsia="en-IN"/>
        </w:rPr>
        <w:t xml:space="preserve">This phylogenetic tree illustrates the second gene duplication event in liverworts, with the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subsequently evolving across other plant phyla. The spheres represent points of gene duplication, with different </w:t>
      </w:r>
      <w:proofErr w:type="spellStart"/>
      <w:r w:rsidRPr="00782EEE">
        <w:rPr>
          <w:rFonts w:ascii="Arial" w:eastAsia="Times New Roman" w:hAnsi="Arial" w:cs="Arial"/>
          <w:lang w:eastAsia="en-IN"/>
        </w:rPr>
        <w:t>color</w:t>
      </w:r>
      <w:proofErr w:type="spellEnd"/>
      <w:r w:rsidRPr="00782EEE">
        <w:rPr>
          <w:rFonts w:ascii="Arial" w:eastAsia="Times New Roman" w:hAnsi="Arial" w:cs="Arial"/>
          <w:lang w:eastAsia="en-IN"/>
        </w:rPr>
        <w:t xml:space="preserve"> branches indicating the respective clades for the second (red) and third (purple) paralogs, and their evolutionary distribution across various plant groups</w:t>
      </w:r>
    </w:p>
    <w:p w14:paraId="656529D1" w14:textId="77777777" w:rsidR="00155974" w:rsidRPr="00782EEE" w:rsidRDefault="00155974" w:rsidP="00155974">
      <w:pPr>
        <w:rPr>
          <w:rFonts w:ascii="Arial" w:eastAsia="Times New Roman" w:hAnsi="Arial" w:cs="Arial"/>
          <w:b/>
          <w:bCs/>
          <w:lang w:eastAsia="en-IN"/>
        </w:rPr>
      </w:pPr>
    </w:p>
    <w:p w14:paraId="7502194E"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noProof/>
          <w:lang w:eastAsia="en-IN"/>
        </w:rPr>
        <w:lastRenderedPageBreak/>
        <w:drawing>
          <wp:inline distT="0" distB="0" distL="0" distR="0" wp14:anchorId="5AA5B054" wp14:editId="216A6D2B">
            <wp:extent cx="5731510" cy="4441825"/>
            <wp:effectExtent l="0" t="0" r="2540" b="0"/>
            <wp:docPr id="1912673759" name="Picture 1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73759" name="Picture 12" descr="A diagram of a tre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441825"/>
                    </a:xfrm>
                    <a:prstGeom prst="rect">
                      <a:avLst/>
                    </a:prstGeom>
                  </pic:spPr>
                </pic:pic>
              </a:graphicData>
            </a:graphic>
          </wp:inline>
        </w:drawing>
      </w:r>
    </w:p>
    <w:p w14:paraId="6C91B221"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Figure 7: Phylogenetic Tree Representing the Second Duplication Event in Hornwort</w:t>
      </w:r>
    </w:p>
    <w:p w14:paraId="2C6B924D" w14:textId="77777777" w:rsidR="00155974" w:rsidRPr="00782EEE" w:rsidRDefault="00155974" w:rsidP="00155974">
      <w:pPr>
        <w:rPr>
          <w:rFonts w:ascii="Arial" w:eastAsia="Times New Roman" w:hAnsi="Arial" w:cs="Arial"/>
          <w:lang w:eastAsia="en-IN"/>
        </w:rPr>
      </w:pPr>
      <w:r w:rsidRPr="00782EEE">
        <w:rPr>
          <w:rFonts w:ascii="Arial" w:eastAsia="Times New Roman" w:hAnsi="Arial" w:cs="Arial"/>
          <w:lang w:eastAsia="en-IN"/>
        </w:rPr>
        <w:t xml:space="preserve">This phylogenetic tree shows the second duplication of the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in hornwort, with subsequent evolutionary developments across various phyla. It also highlights the loss of a few phyla during the evolutionary process. The spheres mark gene duplication points, with branches </w:t>
      </w:r>
      <w:proofErr w:type="spellStart"/>
      <w:r w:rsidRPr="00782EEE">
        <w:rPr>
          <w:rFonts w:ascii="Arial" w:eastAsia="Times New Roman" w:hAnsi="Arial" w:cs="Arial"/>
          <w:lang w:eastAsia="en-IN"/>
        </w:rPr>
        <w:t>colored</w:t>
      </w:r>
      <w:proofErr w:type="spellEnd"/>
      <w:r w:rsidRPr="00782EEE">
        <w:rPr>
          <w:rFonts w:ascii="Arial" w:eastAsia="Times New Roman" w:hAnsi="Arial" w:cs="Arial"/>
          <w:lang w:eastAsia="en-IN"/>
        </w:rPr>
        <w:t xml:space="preserve"> to indicate the second paralog (red) and the third paralog (purple).</w:t>
      </w:r>
    </w:p>
    <w:p w14:paraId="35D8669F" w14:textId="77777777" w:rsidR="00155974" w:rsidRPr="00782EEE" w:rsidRDefault="00155974" w:rsidP="00155974">
      <w:pPr>
        <w:rPr>
          <w:rFonts w:ascii="Arial" w:eastAsia="Times New Roman" w:hAnsi="Arial" w:cs="Arial"/>
          <w:b/>
          <w:bCs/>
          <w:lang w:eastAsia="en-IN"/>
        </w:rPr>
      </w:pPr>
    </w:p>
    <w:p w14:paraId="49E5A2A6"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noProof/>
          <w:lang w:eastAsia="en-IN"/>
        </w:rPr>
        <w:lastRenderedPageBreak/>
        <w:drawing>
          <wp:inline distT="0" distB="0" distL="0" distR="0" wp14:anchorId="0AEADE9F" wp14:editId="6F6B1EA0">
            <wp:extent cx="5731510" cy="4438015"/>
            <wp:effectExtent l="0" t="0" r="2540" b="635"/>
            <wp:docPr id="1601891616" name="Picture 13"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91616" name="Picture 13" descr="A diagram of a tre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438015"/>
                    </a:xfrm>
                    <a:prstGeom prst="rect">
                      <a:avLst/>
                    </a:prstGeom>
                  </pic:spPr>
                </pic:pic>
              </a:graphicData>
            </a:graphic>
          </wp:inline>
        </w:drawing>
      </w:r>
    </w:p>
    <w:p w14:paraId="099D9FB0"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Figure 8: Phylogenetic Tree Representing the Second Duplication Event in Liverwort or Moss</w:t>
      </w:r>
    </w:p>
    <w:p w14:paraId="7F03CD32" w14:textId="77777777" w:rsidR="00155974" w:rsidRPr="00782EEE" w:rsidRDefault="00155974" w:rsidP="00155974">
      <w:pPr>
        <w:rPr>
          <w:rFonts w:ascii="Arial" w:eastAsia="Times New Roman" w:hAnsi="Arial" w:cs="Arial"/>
          <w:lang w:eastAsia="en-IN"/>
        </w:rPr>
      </w:pPr>
      <w:r w:rsidRPr="00782EEE">
        <w:rPr>
          <w:rFonts w:ascii="Arial" w:eastAsia="Times New Roman" w:hAnsi="Arial" w:cs="Arial"/>
          <w:lang w:eastAsia="en-IN"/>
        </w:rPr>
        <w:t xml:space="preserve">This phylogenetic tree illustrates the second gene duplication of the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which likely occurred in either liverwort or moss, with the gene subsequently evolving across other phyla. The spheres indicate points of gene duplication, and the tree is color-coded, with the second paralog shown in red and the third paralog in purple</w:t>
      </w:r>
    </w:p>
    <w:p w14:paraId="4FE3E216" w14:textId="77777777" w:rsidR="00155974" w:rsidRPr="00782EEE" w:rsidRDefault="00155974" w:rsidP="00155974">
      <w:pPr>
        <w:rPr>
          <w:rFonts w:ascii="Arial" w:eastAsia="Times New Roman" w:hAnsi="Arial" w:cs="Arial"/>
          <w:b/>
          <w:bCs/>
          <w:lang w:eastAsia="en-IN"/>
        </w:rPr>
      </w:pPr>
    </w:p>
    <w:p w14:paraId="7465479F"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noProof/>
          <w:lang w:eastAsia="en-IN"/>
        </w:rPr>
        <w:lastRenderedPageBreak/>
        <w:drawing>
          <wp:inline distT="0" distB="0" distL="0" distR="0" wp14:anchorId="7B82C80C" wp14:editId="6341722A">
            <wp:extent cx="5731510" cy="4440555"/>
            <wp:effectExtent l="0" t="0" r="2540" b="0"/>
            <wp:docPr id="366082013"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82013" name="Picture 19" descr="A diagram of a tre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440555"/>
                    </a:xfrm>
                    <a:prstGeom prst="rect">
                      <a:avLst/>
                    </a:prstGeom>
                  </pic:spPr>
                </pic:pic>
              </a:graphicData>
            </a:graphic>
          </wp:inline>
        </w:drawing>
      </w:r>
    </w:p>
    <w:p w14:paraId="6C799299"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Figure 9: Phylogenetic Tree Representing the Second Duplication in Liverwort or Moss.</w:t>
      </w:r>
    </w:p>
    <w:p w14:paraId="0EF9F0E5" w14:textId="77777777" w:rsidR="00155974" w:rsidRPr="00782EEE" w:rsidRDefault="00155974" w:rsidP="00155974">
      <w:pPr>
        <w:rPr>
          <w:rFonts w:ascii="Arial" w:eastAsia="Times New Roman" w:hAnsi="Arial" w:cs="Arial"/>
          <w:lang w:eastAsia="en-IN"/>
        </w:rPr>
      </w:pPr>
      <w:r w:rsidRPr="00782EEE">
        <w:rPr>
          <w:rFonts w:ascii="Arial" w:eastAsia="Times New Roman" w:hAnsi="Arial" w:cs="Arial"/>
          <w:lang w:eastAsia="en-IN"/>
        </w:rPr>
        <w:t xml:space="preserve">This phylogenetic tree depicts the second duplication of the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occurring in either liverwort or moss, and shows the evolutionary trajectory where the gene is lost in the lycophyte group. The spheres mark points of gene duplication, with the second paralog highlighted in red and the third paralog in purple. </w:t>
      </w:r>
    </w:p>
    <w:p w14:paraId="259B37AB" w14:textId="77777777" w:rsidR="00155974" w:rsidRPr="00782EEE" w:rsidRDefault="00155974" w:rsidP="00155974">
      <w:pPr>
        <w:rPr>
          <w:rFonts w:ascii="Arial" w:eastAsia="Times New Roman" w:hAnsi="Arial" w:cs="Arial"/>
          <w:b/>
          <w:bCs/>
          <w:lang w:eastAsia="en-IN"/>
        </w:rPr>
      </w:pPr>
    </w:p>
    <w:p w14:paraId="4EB3509F" w14:textId="77777777" w:rsidR="00155974" w:rsidRPr="00782EEE" w:rsidRDefault="00155974" w:rsidP="00155974">
      <w:pPr>
        <w:rPr>
          <w:rFonts w:ascii="Arial" w:eastAsia="Times New Roman" w:hAnsi="Arial" w:cs="Arial"/>
          <w:b/>
          <w:bCs/>
          <w:lang w:eastAsia="en-IN"/>
        </w:rPr>
      </w:pPr>
    </w:p>
    <w:p w14:paraId="5028B1C3" w14:textId="77777777" w:rsidR="00155974" w:rsidRPr="00782EEE" w:rsidRDefault="00155974" w:rsidP="00155974">
      <w:pPr>
        <w:rPr>
          <w:rFonts w:ascii="Arial" w:eastAsia="Times New Roman" w:hAnsi="Arial" w:cs="Arial"/>
          <w:b/>
          <w:bCs/>
          <w:lang w:eastAsia="en-IN"/>
        </w:rPr>
      </w:pPr>
    </w:p>
    <w:p w14:paraId="4438630D"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noProof/>
          <w:lang w:eastAsia="en-IN"/>
        </w:rPr>
        <w:lastRenderedPageBreak/>
        <w:drawing>
          <wp:inline distT="0" distB="0" distL="0" distR="0" wp14:anchorId="60C58E32" wp14:editId="387A2A73">
            <wp:extent cx="5731510" cy="2832100"/>
            <wp:effectExtent l="0" t="0" r="2540" b="6350"/>
            <wp:docPr id="124315170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51709" name="Picture 2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423CC210"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 xml:space="preserve">Figure 10: Expression Rank of the First Paralog of </w:t>
      </w:r>
      <w:r w:rsidRPr="00782EEE">
        <w:rPr>
          <w:rFonts w:ascii="Arial" w:eastAsia="Times New Roman" w:hAnsi="Arial" w:cs="Arial"/>
          <w:b/>
          <w:bCs/>
          <w:i/>
          <w:iCs/>
          <w:lang w:eastAsia="en-IN"/>
        </w:rPr>
        <w:t>MIZ1</w:t>
      </w:r>
      <w:r w:rsidRPr="00782EEE">
        <w:rPr>
          <w:rFonts w:ascii="Arial" w:eastAsia="Times New Roman" w:hAnsi="Arial" w:cs="Arial"/>
          <w:b/>
          <w:bCs/>
          <w:lang w:eastAsia="en-IN"/>
        </w:rPr>
        <w:t xml:space="preserve"> Gene Across Various Species.</w:t>
      </w:r>
      <w:r w:rsidRPr="00782EEE">
        <w:rPr>
          <w:rFonts w:ascii="Arial" w:hAnsi="Arial" w:cs="Arial"/>
        </w:rPr>
        <w:t xml:space="preserve"> </w:t>
      </w:r>
      <w:r w:rsidRPr="00782EEE">
        <w:rPr>
          <w:rFonts w:ascii="Arial" w:eastAsia="Times New Roman" w:hAnsi="Arial" w:cs="Arial"/>
          <w:lang w:eastAsia="en-IN"/>
        </w:rPr>
        <w:t xml:space="preserve">This figure displays the expression patterns of the first paralog of the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across multiple species. The heatmap indicates the highest expression in blue, with cells outlined in red marking root expression under abiotic stress conditions. The species </w:t>
      </w:r>
      <w:proofErr w:type="spellStart"/>
      <w:r w:rsidRPr="00782EEE">
        <w:rPr>
          <w:rFonts w:ascii="Arial" w:eastAsia="Times New Roman" w:hAnsi="Arial" w:cs="Arial"/>
          <w:lang w:eastAsia="en-IN"/>
        </w:rPr>
        <w:t>analyzed</w:t>
      </w:r>
      <w:proofErr w:type="spellEnd"/>
      <w:r w:rsidRPr="00782EEE">
        <w:rPr>
          <w:rFonts w:ascii="Arial" w:eastAsia="Times New Roman" w:hAnsi="Arial" w:cs="Arial"/>
          <w:lang w:eastAsia="en-IN"/>
        </w:rPr>
        <w:t xml:space="preserve"> include a range of plant groups, showing different levels of gene expression in various plant parts, including roots, leaves, and reproductive structures.</w:t>
      </w:r>
    </w:p>
    <w:p w14:paraId="2FEDBF92"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noProof/>
          <w:lang w:eastAsia="en-IN"/>
        </w:rPr>
        <w:drawing>
          <wp:inline distT="0" distB="0" distL="0" distR="0" wp14:anchorId="40F165D1" wp14:editId="07DBCCA9">
            <wp:extent cx="5731510" cy="2832100"/>
            <wp:effectExtent l="0" t="0" r="2540" b="6350"/>
            <wp:docPr id="1992426464" name="Picture 21" descr="A graph of growth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26464" name="Picture 21" descr="A graph of growth in different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4EDB231F"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lang w:eastAsia="en-IN"/>
        </w:rPr>
        <w:t xml:space="preserve">Figure 11: Normalized Gene Expression of the First </w:t>
      </w:r>
      <w:r w:rsidRPr="00782EEE">
        <w:rPr>
          <w:rFonts w:ascii="Arial" w:eastAsia="Times New Roman" w:hAnsi="Arial" w:cs="Arial"/>
          <w:b/>
          <w:bCs/>
          <w:i/>
          <w:iCs/>
          <w:lang w:eastAsia="en-IN"/>
        </w:rPr>
        <w:t>MIZ1</w:t>
      </w:r>
      <w:r w:rsidRPr="00782EEE">
        <w:rPr>
          <w:rFonts w:ascii="Arial" w:eastAsia="Times New Roman" w:hAnsi="Arial" w:cs="Arial"/>
          <w:b/>
          <w:bCs/>
          <w:lang w:eastAsia="en-IN"/>
        </w:rPr>
        <w:t xml:space="preserve"> gene Paralog in Various Plant Tissues and Organs</w:t>
      </w:r>
    </w:p>
    <w:p w14:paraId="47DF495B" w14:textId="77777777" w:rsidR="00155974" w:rsidRPr="00782EEE" w:rsidRDefault="00155974" w:rsidP="00155974">
      <w:pPr>
        <w:rPr>
          <w:rFonts w:ascii="Arial" w:eastAsia="Times New Roman" w:hAnsi="Arial" w:cs="Arial"/>
          <w:lang w:eastAsia="en-IN"/>
        </w:rPr>
      </w:pPr>
      <w:r w:rsidRPr="00782EEE">
        <w:rPr>
          <w:rFonts w:ascii="Arial" w:eastAsia="Times New Roman" w:hAnsi="Arial" w:cs="Arial"/>
          <w:lang w:eastAsia="en-IN"/>
        </w:rPr>
        <w:t xml:space="preserve">This bar graph illustrates the normalized gene expression levels of the first paralog of the </w:t>
      </w:r>
      <w:r w:rsidRPr="00782EEE">
        <w:rPr>
          <w:rFonts w:ascii="Arial" w:eastAsia="Times New Roman" w:hAnsi="Arial" w:cs="Arial"/>
          <w:i/>
          <w:iCs/>
          <w:lang w:eastAsia="en-IN"/>
        </w:rPr>
        <w:t>MIZ1</w:t>
      </w:r>
      <w:r w:rsidRPr="00782EEE">
        <w:rPr>
          <w:rFonts w:ascii="Arial" w:eastAsia="Times New Roman" w:hAnsi="Arial" w:cs="Arial"/>
          <w:lang w:eastAsia="en-IN"/>
        </w:rPr>
        <w:t xml:space="preserve"> gene across different plant tissues and organs. The highest expression is observed in the root, followed by the leaf, flower, and stem. Other tissues, such as the fruit, endosperm, </w:t>
      </w:r>
      <w:r w:rsidRPr="00782EEE">
        <w:rPr>
          <w:rFonts w:ascii="Arial" w:eastAsia="Times New Roman" w:hAnsi="Arial" w:cs="Arial"/>
          <w:lang w:eastAsia="en-IN"/>
        </w:rPr>
        <w:lastRenderedPageBreak/>
        <w:t>shoot system, archegonia, female reproductive part, sporophyte, and male reproductive part, show progressively lower levels of expression.</w:t>
      </w:r>
    </w:p>
    <w:p w14:paraId="5C0E13E1" w14:textId="77777777" w:rsidR="00155974" w:rsidRPr="00782EEE" w:rsidRDefault="00155974" w:rsidP="00155974">
      <w:pPr>
        <w:rPr>
          <w:rFonts w:ascii="Arial" w:eastAsia="Times New Roman" w:hAnsi="Arial" w:cs="Arial"/>
          <w:b/>
          <w:bCs/>
          <w:lang w:eastAsia="en-IN"/>
        </w:rPr>
      </w:pPr>
    </w:p>
    <w:p w14:paraId="231D8731" w14:textId="77777777" w:rsidR="00155974" w:rsidRPr="00782EEE" w:rsidRDefault="00155974" w:rsidP="00155974">
      <w:pPr>
        <w:rPr>
          <w:rFonts w:ascii="Arial" w:eastAsia="Times New Roman" w:hAnsi="Arial" w:cs="Arial"/>
          <w:b/>
          <w:bCs/>
          <w:lang w:eastAsia="en-IN"/>
        </w:rPr>
      </w:pPr>
      <w:r w:rsidRPr="00782EEE">
        <w:rPr>
          <w:rFonts w:ascii="Arial" w:eastAsia="Times New Roman" w:hAnsi="Arial" w:cs="Arial"/>
          <w:b/>
          <w:bCs/>
          <w:noProof/>
          <w:lang w:eastAsia="en-IN"/>
        </w:rPr>
        <w:drawing>
          <wp:inline distT="0" distB="0" distL="0" distR="0" wp14:anchorId="164718AF" wp14:editId="7128776B">
            <wp:extent cx="5731510" cy="3275330"/>
            <wp:effectExtent l="0" t="0" r="2540" b="1270"/>
            <wp:docPr id="1007770495" name="Picture 22"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70495" name="Picture 22" descr="A graph of different colored column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3ED81E38" w14:textId="77777777" w:rsidR="00155974" w:rsidRPr="00782EEE" w:rsidRDefault="00155974" w:rsidP="00155974">
      <w:pPr>
        <w:rPr>
          <w:rFonts w:ascii="Arial" w:eastAsia="Times New Roman" w:hAnsi="Arial" w:cs="Arial"/>
          <w:lang w:eastAsia="en-IN"/>
        </w:rPr>
      </w:pPr>
    </w:p>
    <w:p w14:paraId="040C25C3" w14:textId="77777777" w:rsidR="00155974" w:rsidRPr="00782EEE" w:rsidRDefault="00155974" w:rsidP="00155974">
      <w:pPr>
        <w:rPr>
          <w:rFonts w:ascii="Arial" w:hAnsi="Arial" w:cs="Arial"/>
        </w:rPr>
      </w:pPr>
      <w:r w:rsidRPr="00782EEE">
        <w:rPr>
          <w:rFonts w:ascii="Arial" w:hAnsi="Arial" w:cs="Arial"/>
        </w:rPr>
        <w:t xml:space="preserve">Figure 12: </w:t>
      </w:r>
      <w:r w:rsidRPr="00782EEE">
        <w:rPr>
          <w:rFonts w:ascii="Arial" w:hAnsi="Arial" w:cs="Arial"/>
          <w:b/>
          <w:bCs/>
        </w:rPr>
        <w:t xml:space="preserve">Normalized Gene Expression Levels of the First </w:t>
      </w:r>
      <w:r w:rsidRPr="00782EEE">
        <w:rPr>
          <w:rFonts w:ascii="Arial" w:hAnsi="Arial" w:cs="Arial"/>
          <w:b/>
          <w:bCs/>
          <w:i/>
          <w:iCs/>
        </w:rPr>
        <w:t>MIZ1</w:t>
      </w:r>
      <w:r w:rsidRPr="00782EEE">
        <w:rPr>
          <w:rFonts w:ascii="Arial" w:hAnsi="Arial" w:cs="Arial"/>
          <w:b/>
          <w:bCs/>
        </w:rPr>
        <w:t xml:space="preserve"> Paralog Across Various Plant Tissues and Organs in Flowering and Non-Flowering Plants</w:t>
      </w:r>
    </w:p>
    <w:p w14:paraId="61114E07" w14:textId="77777777" w:rsidR="00155974" w:rsidRPr="00782EEE" w:rsidRDefault="00155974" w:rsidP="00155974">
      <w:pPr>
        <w:rPr>
          <w:rFonts w:ascii="Arial" w:hAnsi="Arial" w:cs="Arial"/>
        </w:rPr>
      </w:pPr>
      <w:r w:rsidRPr="00782EEE">
        <w:rPr>
          <w:rFonts w:ascii="Arial" w:hAnsi="Arial" w:cs="Arial"/>
        </w:rPr>
        <w:t xml:space="preserve">This bar graph shows the normalized gene expression levels of the first </w:t>
      </w:r>
      <w:r w:rsidRPr="00782EEE">
        <w:rPr>
          <w:rFonts w:ascii="Arial" w:hAnsi="Arial" w:cs="Arial"/>
          <w:i/>
          <w:iCs/>
        </w:rPr>
        <w:t>MIZ1</w:t>
      </w:r>
      <w:r w:rsidRPr="00782EEE">
        <w:rPr>
          <w:rFonts w:ascii="Arial" w:hAnsi="Arial" w:cs="Arial"/>
        </w:rPr>
        <w:t xml:space="preserve"> paralog across different plant tissues and organs, comparing flowering (green) and non-flowering plants (orange). The highest expression levels are observed in the root tissues of non-flowering plants while flowering plants show higher expression in the flower and root.</w:t>
      </w:r>
    </w:p>
    <w:p w14:paraId="6FEB587A" w14:textId="77777777" w:rsidR="00155974" w:rsidRPr="00782EEE" w:rsidRDefault="00155974" w:rsidP="00155974">
      <w:pPr>
        <w:rPr>
          <w:rFonts w:ascii="Arial" w:hAnsi="Arial" w:cs="Arial"/>
        </w:rPr>
      </w:pPr>
    </w:p>
    <w:p w14:paraId="32AE3CC7" w14:textId="77777777" w:rsidR="00155974" w:rsidRPr="00782EEE" w:rsidRDefault="00155974" w:rsidP="00155974">
      <w:pPr>
        <w:rPr>
          <w:rFonts w:ascii="Arial" w:hAnsi="Arial" w:cs="Arial"/>
        </w:rPr>
      </w:pPr>
      <w:r w:rsidRPr="00782EEE">
        <w:rPr>
          <w:rFonts w:ascii="Arial" w:hAnsi="Arial" w:cs="Arial"/>
          <w:noProof/>
        </w:rPr>
        <w:drawing>
          <wp:inline distT="0" distB="0" distL="0" distR="0" wp14:anchorId="22664FD6" wp14:editId="0D402718">
            <wp:extent cx="5731510" cy="2832100"/>
            <wp:effectExtent l="0" t="0" r="2540" b="6350"/>
            <wp:docPr id="129647445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4450" name="Picture 2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615E6CE4" w14:textId="77777777" w:rsidR="00155974" w:rsidRPr="00782EEE" w:rsidRDefault="00155974" w:rsidP="00155974">
      <w:pPr>
        <w:rPr>
          <w:rFonts w:ascii="Arial" w:hAnsi="Arial" w:cs="Arial"/>
        </w:rPr>
      </w:pPr>
      <w:r w:rsidRPr="00782EEE">
        <w:rPr>
          <w:rFonts w:ascii="Arial" w:hAnsi="Arial" w:cs="Arial"/>
        </w:rPr>
        <w:lastRenderedPageBreak/>
        <w:t xml:space="preserve">Figure 13: </w:t>
      </w:r>
      <w:r w:rsidRPr="00782EEE">
        <w:rPr>
          <w:rFonts w:ascii="Arial" w:hAnsi="Arial" w:cs="Arial"/>
          <w:b/>
          <w:bCs/>
        </w:rPr>
        <w:t xml:space="preserve">Expression Rank of the Second </w:t>
      </w:r>
      <w:r w:rsidRPr="00782EEE">
        <w:rPr>
          <w:rFonts w:ascii="Arial" w:hAnsi="Arial" w:cs="Arial"/>
          <w:b/>
          <w:bCs/>
          <w:i/>
          <w:iCs/>
        </w:rPr>
        <w:t>MIZ1</w:t>
      </w:r>
      <w:r w:rsidRPr="00782EEE">
        <w:rPr>
          <w:rFonts w:ascii="Arial" w:hAnsi="Arial" w:cs="Arial"/>
          <w:b/>
          <w:bCs/>
        </w:rPr>
        <w:t xml:space="preserve"> Paralog Across Various Plant Species and Tissues</w:t>
      </w:r>
    </w:p>
    <w:p w14:paraId="7E84556B" w14:textId="77777777" w:rsidR="00155974" w:rsidRPr="00782EEE" w:rsidRDefault="00155974" w:rsidP="00155974">
      <w:pPr>
        <w:rPr>
          <w:rFonts w:ascii="Arial" w:hAnsi="Arial" w:cs="Arial"/>
        </w:rPr>
      </w:pPr>
      <w:r w:rsidRPr="00782EEE">
        <w:rPr>
          <w:rFonts w:ascii="Arial" w:hAnsi="Arial" w:cs="Arial"/>
        </w:rPr>
        <w:t xml:space="preserve">This heatmap shows the expression levels of the second </w:t>
      </w:r>
      <w:r w:rsidRPr="00782EEE">
        <w:rPr>
          <w:rFonts w:ascii="Arial" w:hAnsi="Arial" w:cs="Arial"/>
          <w:i/>
          <w:iCs/>
        </w:rPr>
        <w:t>MIZ1</w:t>
      </w:r>
      <w:r w:rsidRPr="00782EEE">
        <w:rPr>
          <w:rFonts w:ascii="Arial" w:hAnsi="Arial" w:cs="Arial"/>
        </w:rPr>
        <w:t xml:space="preserve"> paralog across different species and plant tissues. The highest expression is observed in tissues such as roots, leaves, and reproductive parts, with red-bordered cells indicating root expression under abiotic stress conditions. The expression is ranked from highest to least, with varying levels across different tissues like stems, seeds, and flowers.</w:t>
      </w:r>
    </w:p>
    <w:p w14:paraId="35CDEDF8" w14:textId="77777777" w:rsidR="00155974" w:rsidRPr="00782EEE" w:rsidRDefault="00155974" w:rsidP="00155974">
      <w:pPr>
        <w:rPr>
          <w:rFonts w:ascii="Arial" w:hAnsi="Arial" w:cs="Arial"/>
        </w:rPr>
      </w:pPr>
    </w:p>
    <w:p w14:paraId="382F25ED" w14:textId="77777777" w:rsidR="00155974" w:rsidRPr="00782EEE" w:rsidRDefault="00155974" w:rsidP="00155974">
      <w:pPr>
        <w:rPr>
          <w:rFonts w:ascii="Arial" w:hAnsi="Arial" w:cs="Arial"/>
        </w:rPr>
      </w:pPr>
      <w:r w:rsidRPr="00782EEE">
        <w:rPr>
          <w:rFonts w:ascii="Arial" w:hAnsi="Arial" w:cs="Arial"/>
          <w:noProof/>
        </w:rPr>
        <w:drawing>
          <wp:inline distT="0" distB="0" distL="0" distR="0" wp14:anchorId="1D5D1593" wp14:editId="1711762E">
            <wp:extent cx="5731510" cy="2832100"/>
            <wp:effectExtent l="0" t="0" r="2540" b="6350"/>
            <wp:docPr id="223046325" name="Picture 24" descr="A diagram of a plant tissue and org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46325" name="Picture 24" descr="A diagram of a plant tissue and organ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03CEBEFB" w14:textId="77777777" w:rsidR="00155974" w:rsidRPr="00782EEE" w:rsidRDefault="00155974" w:rsidP="00155974">
      <w:pPr>
        <w:rPr>
          <w:rFonts w:ascii="Arial" w:hAnsi="Arial" w:cs="Arial"/>
        </w:rPr>
      </w:pPr>
      <w:r w:rsidRPr="00782EEE">
        <w:rPr>
          <w:rFonts w:ascii="Arial" w:hAnsi="Arial" w:cs="Arial"/>
        </w:rPr>
        <w:t xml:space="preserve">Figure 14: </w:t>
      </w:r>
      <w:r w:rsidRPr="00782EEE">
        <w:rPr>
          <w:rFonts w:ascii="Arial" w:hAnsi="Arial" w:cs="Arial"/>
          <w:b/>
          <w:bCs/>
        </w:rPr>
        <w:t>Normalized Gene Expression in Second Paralog Across Different Plant Tissues and Organs</w:t>
      </w:r>
    </w:p>
    <w:p w14:paraId="2D815A68" w14:textId="77777777" w:rsidR="00155974" w:rsidRPr="00782EEE" w:rsidRDefault="00155974" w:rsidP="00155974">
      <w:pPr>
        <w:rPr>
          <w:rFonts w:ascii="Arial" w:hAnsi="Arial" w:cs="Arial"/>
        </w:rPr>
      </w:pPr>
      <w:r w:rsidRPr="00782EEE">
        <w:rPr>
          <w:rFonts w:ascii="Arial" w:hAnsi="Arial" w:cs="Arial"/>
        </w:rPr>
        <w:t xml:space="preserve">This bar chart displays the normalized gene expression levels of the second </w:t>
      </w:r>
      <w:r w:rsidRPr="00782EEE">
        <w:rPr>
          <w:rFonts w:ascii="Arial" w:hAnsi="Arial" w:cs="Arial"/>
          <w:i/>
          <w:iCs/>
        </w:rPr>
        <w:t>MIZ1</w:t>
      </w:r>
      <w:r w:rsidRPr="00782EEE">
        <w:rPr>
          <w:rFonts w:ascii="Arial" w:hAnsi="Arial" w:cs="Arial"/>
        </w:rPr>
        <w:t xml:space="preserve"> paralog across various plant tissues and organs. The highest expression is observed in the flower, followed by the root and leaf, while lower expression is noted in tissues such as seeds, fruit, and sporophytes at 24 hours.</w:t>
      </w:r>
    </w:p>
    <w:p w14:paraId="56761C99" w14:textId="77777777" w:rsidR="00155974" w:rsidRPr="00782EEE" w:rsidRDefault="00155974" w:rsidP="00155974">
      <w:pPr>
        <w:rPr>
          <w:rFonts w:ascii="Arial" w:hAnsi="Arial" w:cs="Arial"/>
        </w:rPr>
      </w:pPr>
    </w:p>
    <w:p w14:paraId="0C340B1A" w14:textId="77777777" w:rsidR="00155974" w:rsidRPr="00782EEE" w:rsidRDefault="00155974" w:rsidP="00155974">
      <w:pPr>
        <w:rPr>
          <w:rFonts w:ascii="Arial" w:hAnsi="Arial" w:cs="Arial"/>
        </w:rPr>
      </w:pPr>
    </w:p>
    <w:p w14:paraId="439A9F0A" w14:textId="77777777" w:rsidR="00155974" w:rsidRPr="00782EEE" w:rsidRDefault="00155974" w:rsidP="00155974">
      <w:pPr>
        <w:rPr>
          <w:rFonts w:ascii="Arial" w:hAnsi="Arial" w:cs="Arial"/>
        </w:rPr>
      </w:pPr>
    </w:p>
    <w:p w14:paraId="1DD41E1F" w14:textId="77777777" w:rsidR="00155974" w:rsidRPr="00782EEE" w:rsidRDefault="00155974" w:rsidP="00155974">
      <w:pPr>
        <w:rPr>
          <w:rFonts w:ascii="Arial" w:hAnsi="Arial" w:cs="Arial"/>
        </w:rPr>
      </w:pPr>
      <w:r w:rsidRPr="00782EEE">
        <w:rPr>
          <w:rFonts w:ascii="Arial" w:hAnsi="Arial" w:cs="Arial"/>
          <w:noProof/>
        </w:rPr>
        <w:lastRenderedPageBreak/>
        <w:drawing>
          <wp:inline distT="0" distB="0" distL="0" distR="0" wp14:anchorId="13EF8B05" wp14:editId="1C6296CE">
            <wp:extent cx="5731510" cy="3275330"/>
            <wp:effectExtent l="0" t="0" r="2540" b="1270"/>
            <wp:docPr id="168146329" name="Picture 23" descr="A graph of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6329" name="Picture 23" descr="A graph of different colored column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6D945CC8" w14:textId="77777777" w:rsidR="00155974" w:rsidRPr="00782EEE" w:rsidRDefault="00155974" w:rsidP="00155974">
      <w:pPr>
        <w:rPr>
          <w:rFonts w:ascii="Arial" w:hAnsi="Arial" w:cs="Arial"/>
        </w:rPr>
      </w:pPr>
      <w:r w:rsidRPr="00782EEE">
        <w:rPr>
          <w:rFonts w:ascii="Arial" w:hAnsi="Arial" w:cs="Arial"/>
        </w:rPr>
        <w:t xml:space="preserve">Figure 15: </w:t>
      </w:r>
      <w:r w:rsidRPr="00782EEE">
        <w:rPr>
          <w:rFonts w:ascii="Arial" w:hAnsi="Arial" w:cs="Arial"/>
          <w:b/>
          <w:bCs/>
        </w:rPr>
        <w:t>Normalized Gene Expression Levels Across Second Paralog in Flowering and Non-flowering Plants</w:t>
      </w:r>
    </w:p>
    <w:p w14:paraId="6FB85678" w14:textId="77777777" w:rsidR="00155974" w:rsidRPr="00782EEE" w:rsidRDefault="00155974" w:rsidP="00155974">
      <w:pPr>
        <w:rPr>
          <w:rFonts w:ascii="Arial" w:hAnsi="Arial" w:cs="Arial"/>
        </w:rPr>
      </w:pPr>
      <w:r w:rsidRPr="00782EEE">
        <w:rPr>
          <w:rFonts w:ascii="Arial" w:hAnsi="Arial" w:cs="Arial"/>
        </w:rPr>
        <w:t xml:space="preserve">This bar chart illustrates the normalized gene expression levels of the second </w:t>
      </w:r>
      <w:r w:rsidRPr="00782EEE">
        <w:rPr>
          <w:rFonts w:ascii="Arial" w:hAnsi="Arial" w:cs="Arial"/>
          <w:i/>
          <w:iCs/>
        </w:rPr>
        <w:t>MIZ1</w:t>
      </w:r>
      <w:r w:rsidRPr="00782EEE">
        <w:rPr>
          <w:rFonts w:ascii="Arial" w:hAnsi="Arial" w:cs="Arial"/>
        </w:rPr>
        <w:t xml:space="preserve"> paralog across different plant tissues and organs, distinguishing between flowering and non-flowering plants. The chart shows significant expression in the roots and flower for flowering plants, while non-flowering plants exhibit higher expression in the root, leaf, and sporophyte at different time intervals.</w:t>
      </w:r>
    </w:p>
    <w:p w14:paraId="0DDA3681" w14:textId="77777777" w:rsidR="00155974" w:rsidRPr="00782EEE" w:rsidRDefault="00155974" w:rsidP="00155974">
      <w:pPr>
        <w:rPr>
          <w:rFonts w:ascii="Arial" w:hAnsi="Arial" w:cs="Arial"/>
        </w:rPr>
      </w:pPr>
    </w:p>
    <w:p w14:paraId="07699E8D" w14:textId="77777777" w:rsidR="00155974" w:rsidRPr="00782EEE" w:rsidRDefault="00155974" w:rsidP="00155974">
      <w:pPr>
        <w:rPr>
          <w:rFonts w:ascii="Arial" w:hAnsi="Arial" w:cs="Arial"/>
        </w:rPr>
      </w:pPr>
      <w:r w:rsidRPr="00782EEE">
        <w:rPr>
          <w:rFonts w:ascii="Arial" w:hAnsi="Arial" w:cs="Arial"/>
          <w:noProof/>
        </w:rPr>
        <w:drawing>
          <wp:inline distT="0" distB="0" distL="0" distR="0" wp14:anchorId="2560C62B" wp14:editId="5C0DE6F8">
            <wp:extent cx="5731510" cy="2832100"/>
            <wp:effectExtent l="0" t="0" r="2540" b="6350"/>
            <wp:docPr id="20408386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3862" name="Picture 2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79F436B9" w14:textId="77777777" w:rsidR="00155974" w:rsidRPr="00782EEE" w:rsidRDefault="00155974" w:rsidP="00155974">
      <w:pPr>
        <w:rPr>
          <w:rFonts w:ascii="Arial" w:hAnsi="Arial" w:cs="Arial"/>
        </w:rPr>
      </w:pPr>
      <w:r w:rsidRPr="00782EEE">
        <w:rPr>
          <w:rFonts w:ascii="Arial" w:hAnsi="Arial" w:cs="Arial"/>
        </w:rPr>
        <w:t>Figure 16</w:t>
      </w:r>
      <w:proofErr w:type="gramStart"/>
      <w:r w:rsidRPr="00782EEE">
        <w:rPr>
          <w:rFonts w:ascii="Arial" w:hAnsi="Arial" w:cs="Arial"/>
        </w:rPr>
        <w:t>: :</w:t>
      </w:r>
      <w:proofErr w:type="gramEnd"/>
      <w:r w:rsidRPr="00782EEE">
        <w:rPr>
          <w:rFonts w:ascii="Arial" w:hAnsi="Arial" w:cs="Arial"/>
        </w:rPr>
        <w:t xml:space="preserve"> </w:t>
      </w:r>
      <w:r w:rsidRPr="00782EEE">
        <w:rPr>
          <w:rFonts w:ascii="Arial" w:hAnsi="Arial" w:cs="Arial"/>
          <w:b/>
          <w:bCs/>
        </w:rPr>
        <w:t xml:space="preserve">Expression Rank of the Second </w:t>
      </w:r>
      <w:r w:rsidRPr="00782EEE">
        <w:rPr>
          <w:rFonts w:ascii="Arial" w:hAnsi="Arial" w:cs="Arial"/>
          <w:b/>
          <w:bCs/>
          <w:i/>
          <w:iCs/>
        </w:rPr>
        <w:t>MIZ1</w:t>
      </w:r>
      <w:r w:rsidRPr="00782EEE">
        <w:rPr>
          <w:rFonts w:ascii="Arial" w:hAnsi="Arial" w:cs="Arial"/>
          <w:b/>
          <w:bCs/>
        </w:rPr>
        <w:t xml:space="preserve"> Paralog Across Various Plant Species and Tissues</w:t>
      </w:r>
    </w:p>
    <w:p w14:paraId="28E45D8E" w14:textId="77777777" w:rsidR="00155974" w:rsidRPr="00782EEE" w:rsidRDefault="00155974" w:rsidP="00155974">
      <w:pPr>
        <w:rPr>
          <w:rFonts w:ascii="Arial" w:hAnsi="Arial" w:cs="Arial"/>
        </w:rPr>
      </w:pPr>
      <w:r w:rsidRPr="00782EEE">
        <w:rPr>
          <w:rFonts w:ascii="Arial" w:hAnsi="Arial" w:cs="Arial"/>
        </w:rPr>
        <w:lastRenderedPageBreak/>
        <w:t xml:space="preserve">This heatmap shows the expression levels of the third paralog of the </w:t>
      </w:r>
      <w:r w:rsidRPr="00782EEE">
        <w:rPr>
          <w:rFonts w:ascii="Arial" w:hAnsi="Arial" w:cs="Arial"/>
          <w:i/>
          <w:iCs/>
        </w:rPr>
        <w:t>MIZ1</w:t>
      </w:r>
      <w:r w:rsidRPr="00782EEE">
        <w:rPr>
          <w:rFonts w:ascii="Arial" w:hAnsi="Arial" w:cs="Arial"/>
        </w:rPr>
        <w:t xml:space="preserve"> gene across various plant species, with root expression highlighted in red when observed under abiotic stress conditions. The chart categorizes expression levels from the highest to the least, illustrating how the </w:t>
      </w:r>
      <w:r w:rsidRPr="00782EEE">
        <w:rPr>
          <w:rFonts w:ascii="Arial" w:hAnsi="Arial" w:cs="Arial"/>
          <w:i/>
          <w:iCs/>
        </w:rPr>
        <w:t>MIZ1</w:t>
      </w:r>
      <w:r w:rsidRPr="00782EEE">
        <w:rPr>
          <w:rFonts w:ascii="Arial" w:hAnsi="Arial" w:cs="Arial"/>
        </w:rPr>
        <w:t xml:space="preserve"> gene is expressed in different plant tissues such as roots, stems, leaves, and reproductive parts.</w:t>
      </w:r>
    </w:p>
    <w:p w14:paraId="5BE5DE49" w14:textId="77777777" w:rsidR="00155974" w:rsidRPr="00782EEE" w:rsidRDefault="00155974" w:rsidP="00155974">
      <w:pPr>
        <w:rPr>
          <w:rFonts w:ascii="Arial" w:hAnsi="Arial" w:cs="Arial"/>
          <w:noProof/>
        </w:rPr>
      </w:pPr>
    </w:p>
    <w:p w14:paraId="1C8D7E39" w14:textId="77777777" w:rsidR="00155974" w:rsidRPr="00782EEE" w:rsidRDefault="00155974" w:rsidP="00155974">
      <w:pPr>
        <w:rPr>
          <w:rFonts w:ascii="Arial" w:hAnsi="Arial" w:cs="Arial"/>
        </w:rPr>
      </w:pPr>
      <w:r w:rsidRPr="00782EEE">
        <w:rPr>
          <w:rFonts w:ascii="Arial" w:hAnsi="Arial" w:cs="Arial"/>
          <w:noProof/>
        </w:rPr>
        <w:drawing>
          <wp:inline distT="0" distB="0" distL="0" distR="0" wp14:anchorId="500AFC77" wp14:editId="5084476F">
            <wp:extent cx="5731510" cy="2832100"/>
            <wp:effectExtent l="0" t="0" r="2540" b="6350"/>
            <wp:docPr id="1165917426" name="Picture 2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17426" name="Picture 27" descr="A graph of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7B30132A" w14:textId="77777777" w:rsidR="00155974" w:rsidRPr="00782EEE" w:rsidRDefault="00155974" w:rsidP="00155974">
      <w:pPr>
        <w:rPr>
          <w:rFonts w:ascii="Arial" w:hAnsi="Arial" w:cs="Arial"/>
        </w:rPr>
      </w:pPr>
      <w:r w:rsidRPr="00782EEE">
        <w:rPr>
          <w:rFonts w:ascii="Arial" w:hAnsi="Arial" w:cs="Arial"/>
        </w:rPr>
        <w:t xml:space="preserve">Figure 17: </w:t>
      </w:r>
      <w:r w:rsidRPr="00782EEE">
        <w:rPr>
          <w:rFonts w:ascii="Arial" w:hAnsi="Arial" w:cs="Arial"/>
          <w:b/>
          <w:bCs/>
        </w:rPr>
        <w:t>Normalized Gene Expression in the Third Paralog Across Plant Tissues and Organs</w:t>
      </w:r>
    </w:p>
    <w:p w14:paraId="7E5C36E1" w14:textId="77777777" w:rsidR="00155974" w:rsidRPr="00782EEE" w:rsidRDefault="00155974" w:rsidP="00155974">
      <w:pPr>
        <w:rPr>
          <w:rFonts w:ascii="Arial" w:hAnsi="Arial" w:cs="Arial"/>
        </w:rPr>
      </w:pPr>
      <w:r w:rsidRPr="00782EEE">
        <w:rPr>
          <w:rFonts w:ascii="Arial" w:hAnsi="Arial" w:cs="Arial"/>
        </w:rPr>
        <w:t xml:space="preserve">This bar graph illustrates the normalized expression levels of the third paralog of the </w:t>
      </w:r>
      <w:r w:rsidRPr="00782EEE">
        <w:rPr>
          <w:rFonts w:ascii="Arial" w:hAnsi="Arial" w:cs="Arial"/>
          <w:i/>
          <w:iCs/>
        </w:rPr>
        <w:t>MIZ1</w:t>
      </w:r>
      <w:r w:rsidRPr="00782EEE">
        <w:rPr>
          <w:rFonts w:ascii="Arial" w:hAnsi="Arial" w:cs="Arial"/>
        </w:rPr>
        <w:t xml:space="preserve"> gene across various plant tissues and organs. The highest expression is observed in the root, followed by the leaf, flower, and stem, with lower expression in reproductive parts, seeds, and endosperm.</w:t>
      </w:r>
    </w:p>
    <w:p w14:paraId="32B2430F" w14:textId="77777777" w:rsidR="00155974" w:rsidRPr="00782EEE" w:rsidRDefault="00155974" w:rsidP="00155974">
      <w:pPr>
        <w:rPr>
          <w:rFonts w:ascii="Arial" w:hAnsi="Arial" w:cs="Arial"/>
        </w:rPr>
      </w:pPr>
    </w:p>
    <w:p w14:paraId="7BC370E2" w14:textId="77777777" w:rsidR="00155974" w:rsidRPr="00782EEE" w:rsidRDefault="00155974" w:rsidP="00155974">
      <w:pPr>
        <w:rPr>
          <w:rFonts w:ascii="Arial" w:hAnsi="Arial" w:cs="Arial"/>
        </w:rPr>
      </w:pPr>
      <w:r w:rsidRPr="00782EEE">
        <w:rPr>
          <w:rFonts w:ascii="Arial" w:hAnsi="Arial" w:cs="Arial"/>
          <w:noProof/>
        </w:rPr>
        <w:lastRenderedPageBreak/>
        <w:drawing>
          <wp:inline distT="0" distB="0" distL="0" distR="0" wp14:anchorId="7DB53DDE" wp14:editId="41D9D003">
            <wp:extent cx="5731510" cy="3275330"/>
            <wp:effectExtent l="0" t="0" r="2540" b="1270"/>
            <wp:docPr id="518045073" name="Picture 26"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45073" name="Picture 26" descr="A graph of different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13CE9786" w14:textId="77777777" w:rsidR="00155974" w:rsidRPr="00782EEE" w:rsidRDefault="00155974" w:rsidP="00155974">
      <w:pPr>
        <w:rPr>
          <w:rFonts w:ascii="Arial" w:hAnsi="Arial" w:cs="Arial"/>
        </w:rPr>
      </w:pPr>
      <w:r w:rsidRPr="00782EEE">
        <w:rPr>
          <w:rFonts w:ascii="Arial" w:hAnsi="Arial" w:cs="Arial"/>
        </w:rPr>
        <w:t xml:space="preserve">Figure 18: </w:t>
      </w:r>
      <w:r w:rsidRPr="00782EEE">
        <w:rPr>
          <w:rFonts w:ascii="Arial" w:hAnsi="Arial" w:cs="Arial"/>
          <w:b/>
          <w:bCs/>
        </w:rPr>
        <w:t>Normalized Gene Expression Levels Across Third Paralog in Flowering and Non-Flowering Plants</w:t>
      </w:r>
    </w:p>
    <w:p w14:paraId="7797A83F" w14:textId="77777777" w:rsidR="00155974" w:rsidRPr="00782EEE" w:rsidRDefault="00155974" w:rsidP="00155974">
      <w:pPr>
        <w:rPr>
          <w:rFonts w:ascii="Arial" w:hAnsi="Arial" w:cs="Arial"/>
        </w:rPr>
      </w:pPr>
      <w:r w:rsidRPr="00782EEE">
        <w:rPr>
          <w:rFonts w:ascii="Arial" w:hAnsi="Arial" w:cs="Arial"/>
        </w:rPr>
        <w:t xml:space="preserve">This bar graph depicts the normalized expression levels of the third paralog of the </w:t>
      </w:r>
      <w:r w:rsidRPr="00782EEE">
        <w:rPr>
          <w:rFonts w:ascii="Arial" w:hAnsi="Arial" w:cs="Arial"/>
          <w:i/>
          <w:iCs/>
        </w:rPr>
        <w:t>MIZ1</w:t>
      </w:r>
      <w:r w:rsidRPr="00782EEE">
        <w:rPr>
          <w:rFonts w:ascii="Arial" w:hAnsi="Arial" w:cs="Arial"/>
        </w:rPr>
        <w:t xml:space="preserve"> gene across various tissues and organs in both flowering and non-flowering plants. The data show higher expression in roots and leaves in non-flowering and while flowering plants exhibit higher expression in the root, </w:t>
      </w:r>
      <w:proofErr w:type="gramStart"/>
      <w:r w:rsidRPr="00782EEE">
        <w:rPr>
          <w:rFonts w:ascii="Arial" w:hAnsi="Arial" w:cs="Arial"/>
        </w:rPr>
        <w:t>flower..</w:t>
      </w:r>
      <w:proofErr w:type="gramEnd"/>
    </w:p>
    <w:p w14:paraId="57235814" w14:textId="77777777" w:rsidR="000B2AD6" w:rsidRPr="00155974" w:rsidRDefault="000B2AD6" w:rsidP="00155974"/>
    <w:sectPr w:rsidR="000B2AD6" w:rsidRPr="001559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974"/>
    <w:rsid w:val="000B2AD6"/>
    <w:rsid w:val="00155974"/>
    <w:rsid w:val="005D4EA4"/>
    <w:rsid w:val="009463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835A6"/>
  <w15:chartTrackingRefBased/>
  <w15:docId w15:val="{2B44AD10-75D5-4E27-AD35-5AB9FAFEF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974"/>
    <w:pPr>
      <w:spacing w:after="0" w:line="360" w:lineRule="auto"/>
    </w:pPr>
    <w:rPr>
      <w:lang w:val="en-GB"/>
    </w:rPr>
  </w:style>
  <w:style w:type="paragraph" w:styleId="Heading1">
    <w:name w:val="heading 1"/>
    <w:basedOn w:val="Normal"/>
    <w:next w:val="Normal"/>
    <w:link w:val="Heading1Char"/>
    <w:uiPriority w:val="9"/>
    <w:qFormat/>
    <w:rsid w:val="00155974"/>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val="en-IN"/>
    </w:rPr>
  </w:style>
  <w:style w:type="paragraph" w:styleId="Heading2">
    <w:name w:val="heading 2"/>
    <w:basedOn w:val="Normal"/>
    <w:next w:val="Normal"/>
    <w:link w:val="Heading2Char"/>
    <w:uiPriority w:val="9"/>
    <w:semiHidden/>
    <w:unhideWhenUsed/>
    <w:qFormat/>
    <w:rsid w:val="00155974"/>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val="en-IN"/>
    </w:rPr>
  </w:style>
  <w:style w:type="paragraph" w:styleId="Heading3">
    <w:name w:val="heading 3"/>
    <w:basedOn w:val="Normal"/>
    <w:next w:val="Normal"/>
    <w:link w:val="Heading3Char"/>
    <w:uiPriority w:val="9"/>
    <w:semiHidden/>
    <w:unhideWhenUsed/>
    <w:qFormat/>
    <w:rsid w:val="00155974"/>
    <w:pPr>
      <w:keepNext/>
      <w:keepLines/>
      <w:spacing w:before="160" w:after="80" w:line="259" w:lineRule="auto"/>
      <w:outlineLvl w:val="2"/>
    </w:pPr>
    <w:rPr>
      <w:rFonts w:eastAsiaTheme="majorEastAsia" w:cstheme="majorBidi"/>
      <w:color w:val="0F4761" w:themeColor="accent1" w:themeShade="BF"/>
      <w:sz w:val="28"/>
      <w:szCs w:val="28"/>
      <w:lang w:val="en-IN"/>
    </w:rPr>
  </w:style>
  <w:style w:type="paragraph" w:styleId="Heading4">
    <w:name w:val="heading 4"/>
    <w:basedOn w:val="Normal"/>
    <w:next w:val="Normal"/>
    <w:link w:val="Heading4Char"/>
    <w:uiPriority w:val="9"/>
    <w:semiHidden/>
    <w:unhideWhenUsed/>
    <w:qFormat/>
    <w:rsid w:val="00155974"/>
    <w:pPr>
      <w:keepNext/>
      <w:keepLines/>
      <w:spacing w:before="80" w:after="40" w:line="259" w:lineRule="auto"/>
      <w:outlineLvl w:val="3"/>
    </w:pPr>
    <w:rPr>
      <w:rFonts w:eastAsiaTheme="majorEastAsia" w:cstheme="majorBidi"/>
      <w:i/>
      <w:iCs/>
      <w:color w:val="0F4761" w:themeColor="accent1" w:themeShade="BF"/>
      <w:lang w:val="en-IN"/>
    </w:rPr>
  </w:style>
  <w:style w:type="paragraph" w:styleId="Heading5">
    <w:name w:val="heading 5"/>
    <w:basedOn w:val="Normal"/>
    <w:next w:val="Normal"/>
    <w:link w:val="Heading5Char"/>
    <w:uiPriority w:val="9"/>
    <w:semiHidden/>
    <w:unhideWhenUsed/>
    <w:qFormat/>
    <w:rsid w:val="00155974"/>
    <w:pPr>
      <w:keepNext/>
      <w:keepLines/>
      <w:spacing w:before="80" w:after="40" w:line="259" w:lineRule="auto"/>
      <w:outlineLvl w:val="4"/>
    </w:pPr>
    <w:rPr>
      <w:rFonts w:eastAsiaTheme="majorEastAsia" w:cstheme="majorBidi"/>
      <w:color w:val="0F4761" w:themeColor="accent1" w:themeShade="BF"/>
      <w:lang w:val="en-IN"/>
    </w:rPr>
  </w:style>
  <w:style w:type="paragraph" w:styleId="Heading6">
    <w:name w:val="heading 6"/>
    <w:basedOn w:val="Normal"/>
    <w:next w:val="Normal"/>
    <w:link w:val="Heading6Char"/>
    <w:uiPriority w:val="9"/>
    <w:semiHidden/>
    <w:unhideWhenUsed/>
    <w:qFormat/>
    <w:rsid w:val="00155974"/>
    <w:pPr>
      <w:keepNext/>
      <w:keepLines/>
      <w:spacing w:before="40" w:line="259" w:lineRule="auto"/>
      <w:outlineLvl w:val="5"/>
    </w:pPr>
    <w:rPr>
      <w:rFonts w:eastAsiaTheme="majorEastAsia" w:cstheme="majorBidi"/>
      <w:i/>
      <w:iCs/>
      <w:color w:val="595959" w:themeColor="text1" w:themeTint="A6"/>
      <w:lang w:val="en-IN"/>
    </w:rPr>
  </w:style>
  <w:style w:type="paragraph" w:styleId="Heading7">
    <w:name w:val="heading 7"/>
    <w:basedOn w:val="Normal"/>
    <w:next w:val="Normal"/>
    <w:link w:val="Heading7Char"/>
    <w:uiPriority w:val="9"/>
    <w:semiHidden/>
    <w:unhideWhenUsed/>
    <w:qFormat/>
    <w:rsid w:val="00155974"/>
    <w:pPr>
      <w:keepNext/>
      <w:keepLines/>
      <w:spacing w:before="40" w:line="259" w:lineRule="auto"/>
      <w:outlineLvl w:val="6"/>
    </w:pPr>
    <w:rPr>
      <w:rFonts w:eastAsiaTheme="majorEastAsia" w:cstheme="majorBidi"/>
      <w:color w:val="595959" w:themeColor="text1" w:themeTint="A6"/>
      <w:lang w:val="en-IN"/>
    </w:rPr>
  </w:style>
  <w:style w:type="paragraph" w:styleId="Heading8">
    <w:name w:val="heading 8"/>
    <w:basedOn w:val="Normal"/>
    <w:next w:val="Normal"/>
    <w:link w:val="Heading8Char"/>
    <w:uiPriority w:val="9"/>
    <w:semiHidden/>
    <w:unhideWhenUsed/>
    <w:qFormat/>
    <w:rsid w:val="00155974"/>
    <w:pPr>
      <w:keepNext/>
      <w:keepLines/>
      <w:spacing w:line="259" w:lineRule="auto"/>
      <w:outlineLvl w:val="7"/>
    </w:pPr>
    <w:rPr>
      <w:rFonts w:eastAsiaTheme="majorEastAsia" w:cstheme="majorBidi"/>
      <w:i/>
      <w:iCs/>
      <w:color w:val="272727" w:themeColor="text1" w:themeTint="D8"/>
      <w:lang w:val="en-IN"/>
    </w:rPr>
  </w:style>
  <w:style w:type="paragraph" w:styleId="Heading9">
    <w:name w:val="heading 9"/>
    <w:basedOn w:val="Normal"/>
    <w:next w:val="Normal"/>
    <w:link w:val="Heading9Char"/>
    <w:uiPriority w:val="9"/>
    <w:semiHidden/>
    <w:unhideWhenUsed/>
    <w:qFormat/>
    <w:rsid w:val="00155974"/>
    <w:pPr>
      <w:keepNext/>
      <w:keepLines/>
      <w:spacing w:line="259" w:lineRule="auto"/>
      <w:outlineLvl w:val="8"/>
    </w:pPr>
    <w:rPr>
      <w:rFonts w:eastAsiaTheme="majorEastAsia" w:cstheme="majorBidi"/>
      <w:color w:val="272727" w:themeColor="text1" w:themeTint="D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9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59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59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59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59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59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59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59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5974"/>
    <w:rPr>
      <w:rFonts w:eastAsiaTheme="majorEastAsia" w:cstheme="majorBidi"/>
      <w:color w:val="272727" w:themeColor="text1" w:themeTint="D8"/>
    </w:rPr>
  </w:style>
  <w:style w:type="paragraph" w:styleId="Title">
    <w:name w:val="Title"/>
    <w:basedOn w:val="Normal"/>
    <w:next w:val="Normal"/>
    <w:link w:val="TitleChar"/>
    <w:uiPriority w:val="10"/>
    <w:qFormat/>
    <w:rsid w:val="00155974"/>
    <w:pPr>
      <w:spacing w:after="8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1559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5974"/>
    <w:pPr>
      <w:numPr>
        <w:ilvl w:val="1"/>
      </w:numPr>
      <w:spacing w:after="160" w:line="259" w:lineRule="auto"/>
    </w:pPr>
    <w:rPr>
      <w:rFonts w:eastAsiaTheme="majorEastAsia" w:cstheme="majorBidi"/>
      <w:color w:val="595959" w:themeColor="text1" w:themeTint="A6"/>
      <w:spacing w:val="15"/>
      <w:sz w:val="28"/>
      <w:szCs w:val="28"/>
      <w:lang w:val="en-IN"/>
    </w:rPr>
  </w:style>
  <w:style w:type="character" w:customStyle="1" w:styleId="SubtitleChar">
    <w:name w:val="Subtitle Char"/>
    <w:basedOn w:val="DefaultParagraphFont"/>
    <w:link w:val="Subtitle"/>
    <w:uiPriority w:val="11"/>
    <w:rsid w:val="001559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5974"/>
    <w:pPr>
      <w:spacing w:before="160" w:after="160" w:line="259" w:lineRule="auto"/>
      <w:jc w:val="center"/>
    </w:pPr>
    <w:rPr>
      <w:i/>
      <w:iCs/>
      <w:color w:val="404040" w:themeColor="text1" w:themeTint="BF"/>
      <w:lang w:val="en-IN"/>
    </w:rPr>
  </w:style>
  <w:style w:type="character" w:customStyle="1" w:styleId="QuoteChar">
    <w:name w:val="Quote Char"/>
    <w:basedOn w:val="DefaultParagraphFont"/>
    <w:link w:val="Quote"/>
    <w:uiPriority w:val="29"/>
    <w:rsid w:val="00155974"/>
    <w:rPr>
      <w:i/>
      <w:iCs/>
      <w:color w:val="404040" w:themeColor="text1" w:themeTint="BF"/>
    </w:rPr>
  </w:style>
  <w:style w:type="paragraph" w:styleId="ListParagraph">
    <w:name w:val="List Paragraph"/>
    <w:basedOn w:val="Normal"/>
    <w:uiPriority w:val="34"/>
    <w:qFormat/>
    <w:rsid w:val="00155974"/>
    <w:pPr>
      <w:spacing w:after="160" w:line="259" w:lineRule="auto"/>
      <w:ind w:left="720"/>
      <w:contextualSpacing/>
    </w:pPr>
    <w:rPr>
      <w:lang w:val="en-IN"/>
    </w:rPr>
  </w:style>
  <w:style w:type="character" w:styleId="IntenseEmphasis">
    <w:name w:val="Intense Emphasis"/>
    <w:basedOn w:val="DefaultParagraphFont"/>
    <w:uiPriority w:val="21"/>
    <w:qFormat/>
    <w:rsid w:val="00155974"/>
    <w:rPr>
      <w:i/>
      <w:iCs/>
      <w:color w:val="0F4761" w:themeColor="accent1" w:themeShade="BF"/>
    </w:rPr>
  </w:style>
  <w:style w:type="paragraph" w:styleId="IntenseQuote">
    <w:name w:val="Intense Quote"/>
    <w:basedOn w:val="Normal"/>
    <w:next w:val="Normal"/>
    <w:link w:val="IntenseQuoteChar"/>
    <w:uiPriority w:val="30"/>
    <w:qFormat/>
    <w:rsid w:val="00155974"/>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lang w:val="en-IN"/>
    </w:rPr>
  </w:style>
  <w:style w:type="character" w:customStyle="1" w:styleId="IntenseQuoteChar">
    <w:name w:val="Intense Quote Char"/>
    <w:basedOn w:val="DefaultParagraphFont"/>
    <w:link w:val="IntenseQuote"/>
    <w:uiPriority w:val="30"/>
    <w:rsid w:val="00155974"/>
    <w:rPr>
      <w:i/>
      <w:iCs/>
      <w:color w:val="0F4761" w:themeColor="accent1" w:themeShade="BF"/>
    </w:rPr>
  </w:style>
  <w:style w:type="character" w:styleId="IntenseReference">
    <w:name w:val="Intense Reference"/>
    <w:basedOn w:val="DefaultParagraphFont"/>
    <w:uiPriority w:val="32"/>
    <w:qFormat/>
    <w:rsid w:val="0015597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1314</Words>
  <Characters>7307</Characters>
  <Application>Microsoft Office Word</Application>
  <DocSecurity>0</DocSecurity>
  <Lines>192</Lines>
  <Paragraphs>113</Paragraphs>
  <ScaleCrop>false</ScaleCrop>
  <Company/>
  <LinksUpToDate>false</LinksUpToDate>
  <CharactersWithSpaces>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jayashree r</dc:creator>
  <cp:keywords/>
  <dc:description/>
  <cp:lastModifiedBy>jayashree r</cp:lastModifiedBy>
  <cp:revision>1</cp:revision>
  <dcterms:created xsi:type="dcterms:W3CDTF">2024-11-24T00:06:00Z</dcterms:created>
  <dcterms:modified xsi:type="dcterms:W3CDTF">2024-11-24T00:07:00Z</dcterms:modified>
</cp:coreProperties>
</file>