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spacing w:after="100"/>
        <w:jc w:val="left"/>
      </w:pPr>
      <w:r>
        <w:rPr>
          <w:b/>
          <w:bCs/>
          <w:color w:val="1F3864"/>
          <w:sz w:val="44"/>
          <w:szCs w:val="44"/>
        </w:rPr>
        <w:t xml:space="preserve">HOME ENERGY AUDIT [2]</w:t>
      </w:r>
    </w:p>
    <w:p>
      <w:pPr>
        <w:spacing w:after="100"/>
      </w:pPr>
      <w:r>
        <w:rPr>
          <w:b w:val="false"/>
          <w:bCs w:val="false"/>
          <w:color w:val="1F4E5F"/>
          <w:sz w:val="30"/>
          <w:szCs w:val="30"/>
        </w:rPr>
        <w:t xml:space="preserve">Energy Audit Report and Carbon Audit of a Shared Student-Hostel Room in Hong Kong</w:t>
      </w:r>
    </w:p>
    <w:p>
      <w:pPr>
        <w:spacing w:after="100"/>
      </w:pPr>
      <w:r>
        <w:rPr>
          <w:b w:val="false"/>
          <w:bCs w:val="false"/>
          <w:color w:val="52514E"/>
          <w:sz w:val="21"/>
          <w:szCs w:val="21"/>
        </w:rPr>
        <w:t xml:space="preserve">SEE8115 Assignment #1: home energy assessment, EMSD-format energy audit report and Sha Tin District scale-up</w:t>
      </w:r>
    </w:p>
    <w:p>
      <w:pPr>
        <w:spacing w:after="300"/>
      </w:pPr>
      <w:r>
        <w:rPr>
          <w:b w:val="false"/>
          <w:bCs w:val="false"/>
          <w:color w:val="52514E"/>
          <w:sz w:val="21"/>
          <w:szCs w:val="21"/>
        </w:rPr>
        <w:t xml:space="preserve">Room 1003B, 10/F, Hall 13, CityU Lee Shau Kee Student Residence Village, Ma On Shan, New Territories, Hong Kong</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rPr>
          <w:cantSplit/>
        </w:trPr>
        <w:tc>
          <w:tcPr>
            <w:tcW w:type="dxa" w:w="9412"/>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2000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00250" cy="266700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Room 1003B - the audited home (twin room, 15 m², window facing NW)</w:t>
            </w:r>
          </w:p>
        </w:tc>
      </w:tr>
    </w:tbl>
    <w:p>
      <w:pPr>
        <w:spacing w:after="160"/>
      </w:pP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812"/>
      </w:tblGrid>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Course</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SEE8115</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Prepared by</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Jayash Sahu</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Student ID</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________________</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Instructor</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________________</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Audit period</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1 January 2026 - 11 October 2026 (data collection and site survey)</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Report date</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11 October 2026</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Report reference</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SEE8115-HEA-2026-01</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Methods</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EMSD Code of Practice for Building Energy Audit (EAC 2018); EMSD Technical Form EE-EAes (V.2); EPD/EMSD Guidelines to Account for and Report on GHG Emissions and Removals for Buildings in Hong Kong (2010)</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8"/>
                <w:szCs w:val="18"/>
              </w:rPr>
              <w:t xml:space="preserve">Submitted with</w:t>
            </w:r>
          </w:p>
        </w:tc>
        <w:tc>
          <w:tcPr>
            <w:tcW w:type="dxa" w:w="6812"/>
            <w:tcMar>
              <w:top w:type="dxa" w:w="50"/>
              <w:left w:type="dxa" w:w="90"/>
              <w:bottom w:type="dxa" w:w="50"/>
              <w:right w:type="dxa" w:w="90"/>
            </w:tcMar>
            <w:vAlign w:val="center"/>
          </w:tcPr>
          <w:p>
            <w:pPr>
              <w:spacing w:after="0" w:line="240"/>
              <w:jc w:val="left"/>
            </w:pPr>
            <w:r>
              <w:rPr>
                <w:b w:val="false"/>
                <w:bCs w:val="false"/>
                <w:sz w:val="18"/>
                <w:szCs w:val="18"/>
              </w:rPr>
              <w:t xml:space="preserve">Completed NELC Home Energy Audit Tool (.xlsx); completed EE-EAes form (.xls); calculation workbook (.xlsx)</w:t>
            </w:r>
          </w:p>
        </w:tc>
      </w:tr>
    </w:tbl>
    <w:p>
      <w:pPr>
        <w:sectPr>
          <w:pgSz w:w="11906" w:h="16838" w:orient="portrait"/>
          <w:pgMar w:top="1134" w:right="1247" w:bottom="1134" w:left="1247" w:header="567" w:footer="567" w:gutter="0"/>
          <w:pgNumType/>
          <w:docGrid w:linePitch="360"/>
        </w:sectPr>
      </w:pPr>
    </w:p>
    <w:p>
      <w:pPr>
        <w:spacing w:after="160"/>
      </w:pPr>
      <w:r>
        <w:rPr>
          <w:b/>
          <w:bCs/>
          <w:color w:val="1F3864"/>
          <w:sz w:val="30"/>
          <w:szCs w:val="30"/>
        </w:rPr>
        <w:t xml:space="preserve">Contents</w:t>
      </w:r>
    </w:p>
    <w:sdt>
      <w:sdtPr>
        <w:alias w:val="Contents"/>
      </w:sdtPr>
      <w:sdtContent>
        <w:p>
          <w:pPr>
            <w:pStyle w:val="TOC1"/>
            <w:tabs>
              <w:tab w:val="right" w:leader="dot" w:pos="9402"/>
            </w:tabs>
          </w:pPr>
          <w:r>
            <w:fldChar w:fldCharType="begin" w:dirty="true"/>
          </w:r>
          <w:r>
            <w:instrText xml:space="preserve">TOC \h \o "1-2"</w:instrText>
          </w:r>
          <w:r>
            <w:fldChar w:fldCharType="separate"/>
          </w:r>
          <w:r>
            <w:t xml:space="preserve">Executive summary</w:t>
          </w:r>
          <w:r>
            <w:tab/>
          </w:r>
          <w:r>
            <w:t>6</w:t>
          </w:r>
        </w:p>
        <w:p>
          <w:pPr>
            <w:pStyle w:val="TOC2"/>
            <w:tabs>
              <w:tab w:val="right" w:leader="dot" w:pos="9402"/>
            </w:tabs>
          </w:pPr>
          <w:r>
            <w:t xml:space="preserve">Executive summary in the EE-EAes (V.2) structure</w:t>
          </w:r>
          <w:r>
            <w:tab/>
          </w:r>
          <w:r>
            <w:t>6</w:t>
          </w:r>
        </w:p>
        <w:p>
          <w:pPr>
            <w:pStyle w:val="TOC1"/>
            <w:tabs>
              <w:tab w:val="right" w:leader="dot" w:pos="9402"/>
            </w:tabs>
          </w:pPr>
          <w:r>
            <w:t xml:space="preserve">1  Introduction, objective and scope</w:t>
          </w:r>
          <w:r>
            <w:tab/>
          </w:r>
          <w:r>
            <w:t>10</w:t>
          </w:r>
        </w:p>
        <w:p>
          <w:pPr>
            <w:pStyle w:val="TOC2"/>
            <w:tabs>
              <w:tab w:val="right" w:leader="dot" w:pos="9402"/>
            </w:tabs>
          </w:pPr>
          <w:r>
            <w:t xml:space="preserve">1.1  Background</w:t>
          </w:r>
          <w:r>
            <w:tab/>
          </w:r>
          <w:r>
            <w:t>10</w:t>
          </w:r>
        </w:p>
        <w:p>
          <w:pPr>
            <w:pStyle w:val="TOC2"/>
            <w:tabs>
              <w:tab w:val="right" w:leader="dot" w:pos="9402"/>
            </w:tabs>
          </w:pPr>
          <w:r>
            <w:t xml:space="preserve">1.2  Objective</w:t>
          </w:r>
          <w:r>
            <w:tab/>
          </w:r>
          <w:r>
            <w:t>10</w:t>
          </w:r>
        </w:p>
        <w:p>
          <w:pPr>
            <w:pStyle w:val="TOC2"/>
            <w:tabs>
              <w:tab w:val="right" w:leader="dot" w:pos="9402"/>
            </w:tabs>
          </w:pPr>
          <w:r>
            <w:t xml:space="preserve">1.3  Scope of the audit (EAC §8.1(a))</w:t>
          </w:r>
          <w:r>
            <w:tab/>
          </w:r>
          <w:r>
            <w:t>10</w:t>
          </w:r>
        </w:p>
        <w:p>
          <w:pPr>
            <w:pStyle w:val="TOC2"/>
            <w:tabs>
              <w:tab w:val="right" w:leader="dot" w:pos="9402"/>
            </w:tabs>
          </w:pPr>
          <w:r>
            <w:t xml:space="preserve">1.4  Administrative information</w:t>
          </w:r>
          <w:r>
            <w:tab/>
          </w:r>
          <w:r>
            <w:t>10</w:t>
          </w:r>
        </w:p>
        <w:p>
          <w:pPr>
            <w:pStyle w:val="TOC2"/>
            <w:tabs>
              <w:tab w:val="right" w:leader="dot" w:pos="9402"/>
            </w:tabs>
          </w:pPr>
          <w:r>
            <w:t xml:space="preserve">1.5  Regulatory and methodological basis</w:t>
          </w:r>
          <w:r>
            <w:tab/>
          </w:r>
          <w:r>
            <w:t>11</w:t>
          </w:r>
        </w:p>
        <w:p>
          <w:pPr>
            <w:pStyle w:val="TOC1"/>
            <w:tabs>
              <w:tab w:val="right" w:leader="dot" w:pos="9402"/>
            </w:tabs>
          </w:pPr>
          <w:r>
            <w:t xml:space="preserve">2  Audit methodology</w:t>
          </w:r>
          <w:r>
            <w:tab/>
          </w:r>
          <w:r>
            <w:t>12</w:t>
          </w:r>
        </w:p>
        <w:p>
          <w:pPr>
            <w:pStyle w:val="TOC2"/>
            <w:tabs>
              <w:tab w:val="right" w:leader="dot" w:pos="9402"/>
            </w:tabs>
          </w:pPr>
          <w:r>
            <w:t xml:space="preserve">2.1  The six EAC steps applied to a home</w:t>
          </w:r>
          <w:r>
            <w:tab/>
          </w:r>
          <w:r>
            <w:t>12</w:t>
          </w:r>
        </w:p>
        <w:p>
          <w:pPr>
            <w:pStyle w:val="TOC2"/>
            <w:tabs>
              <w:tab w:val="right" w:leader="dot" w:pos="9402"/>
            </w:tabs>
          </w:pPr>
          <w:r>
            <w:t xml:space="preserve">2.2  Calculation methods</w:t>
          </w:r>
          <w:r>
            <w:tab/>
          </w:r>
          <w:r>
            <w:t>12</w:t>
          </w:r>
        </w:p>
        <w:p>
          <w:pPr>
            <w:pStyle w:val="TOC2"/>
            <w:tabs>
              <w:tab w:val="right" w:leader="dot" w:pos="9402"/>
            </w:tabs>
          </w:pPr>
          <w:r>
            <w:t xml:space="preserve">2.3  Data sources and data quality</w:t>
          </w:r>
          <w:r>
            <w:tab/>
          </w:r>
          <w:r>
            <w:t>12</w:t>
          </w:r>
        </w:p>
        <w:p>
          <w:pPr>
            <w:pStyle w:val="TOC2"/>
            <w:tabs>
              <w:tab w:val="right" w:leader="dot" w:pos="9402"/>
            </w:tabs>
          </w:pPr>
          <w:r>
            <w:t xml:space="preserve">2.4  Tools and deliverables</w:t>
          </w:r>
          <w:r>
            <w:tab/>
          </w:r>
          <w:r>
            <w:t>13</w:t>
          </w:r>
        </w:p>
        <w:p>
          <w:pPr>
            <w:pStyle w:val="TOC1"/>
            <w:tabs>
              <w:tab w:val="right" w:leader="dot" w:pos="9402"/>
            </w:tabs>
          </w:pPr>
          <w:r>
            <w:t xml:space="preserve">3  Audit boundary and reporting period</w:t>
          </w:r>
          <w:r>
            <w:tab/>
          </w:r>
          <w:r>
            <w:t>14</w:t>
          </w:r>
        </w:p>
        <w:p>
          <w:pPr>
            <w:pStyle w:val="TOC2"/>
            <w:tabs>
              <w:tab w:val="right" w:leader="dot" w:pos="9402"/>
            </w:tabs>
          </w:pPr>
          <w:r>
            <w:t xml:space="preserve">3.1  Reporting entity and physical boundary</w:t>
          </w:r>
          <w:r>
            <w:tab/>
          </w:r>
          <w:r>
            <w:t>14</w:t>
          </w:r>
        </w:p>
        <w:p>
          <w:pPr>
            <w:pStyle w:val="TOC2"/>
            <w:tabs>
              <w:tab w:val="right" w:leader="dot" w:pos="9402"/>
            </w:tabs>
          </w:pPr>
          <w:r>
            <w:t xml:space="preserve">3.2  Operational boundary</w:t>
          </w:r>
          <w:r>
            <w:tab/>
          </w:r>
          <w:r>
            <w:t>14</w:t>
          </w:r>
        </w:p>
        <w:p>
          <w:pPr>
            <w:pStyle w:val="TOC2"/>
            <w:tabs>
              <w:tab w:val="right" w:leader="dot" w:pos="9402"/>
            </w:tabs>
          </w:pPr>
          <w:r>
            <w:t xml:space="preserve">3.3  Reporting period</w:t>
          </w:r>
          <w:r>
            <w:tab/>
          </w:r>
          <w:r>
            <w:t>15</w:t>
          </w:r>
        </w:p>
        <w:p>
          <w:pPr>
            <w:pStyle w:val="TOC1"/>
            <w:tabs>
              <w:tab w:val="right" w:leader="dot" w:pos="9402"/>
            </w:tabs>
          </w:pPr>
          <w:r>
            <w:t xml:space="preserve">4  Site and building characteristics (EAC §8.1(b))</w:t>
          </w:r>
          <w:r>
            <w:tab/>
          </w:r>
          <w:r>
            <w:t>16</w:t>
          </w:r>
        </w:p>
        <w:p>
          <w:pPr>
            <w:pStyle w:val="TOC2"/>
            <w:tabs>
              <w:tab w:val="right" w:leader="dot" w:pos="9402"/>
            </w:tabs>
          </w:pPr>
          <w:r>
            <w:t xml:space="preserve">4.1  Location and climate</w:t>
          </w:r>
          <w:r>
            <w:tab/>
          </w:r>
          <w:r>
            <w:t>16</w:t>
          </w:r>
        </w:p>
        <w:p>
          <w:pPr>
            <w:pStyle w:val="TOC2"/>
            <w:tabs>
              <w:tab w:val="right" w:leader="dot" w:pos="9402"/>
            </w:tabs>
          </w:pPr>
          <w:r>
            <w:t xml:space="preserve">4.2  The building</w:t>
          </w:r>
          <w:r>
            <w:tab/>
          </w:r>
          <w:r>
            <w:t>16</w:t>
          </w:r>
        </w:p>
        <w:p>
          <w:pPr>
            <w:pStyle w:val="TOC2"/>
            <w:tabs>
              <w:tab w:val="right" w:leader="dot" w:pos="9402"/>
            </w:tabs>
          </w:pPr>
          <w:r>
            <w:t xml:space="preserve">4.3  The audited room</w:t>
          </w:r>
          <w:r>
            <w:tab/>
          </w:r>
          <w:r>
            <w:t>16</w:t>
          </w:r>
        </w:p>
        <w:p>
          <w:pPr>
            <w:pStyle w:val="TOC2"/>
            <w:tabs>
              <w:tab w:val="right" w:leader="dot" w:pos="9402"/>
            </w:tabs>
          </w:pPr>
          <w:r>
            <w:t xml:space="preserve">4.4  Occupancy profile</w:t>
          </w:r>
          <w:r>
            <w:tab/>
          </w:r>
          <w:r>
            <w:t>17</w:t>
          </w:r>
        </w:p>
        <w:p>
          <w:pPr>
            <w:pStyle w:val="TOC2"/>
            <w:tabs>
              <w:tab w:val="right" w:leader="dot" w:pos="9402"/>
            </w:tabs>
          </w:pPr>
          <w:r>
            <w:t xml:space="preserve">4.5  Shared facilities</w:t>
          </w:r>
          <w:r>
            <w:tab/>
          </w:r>
          <w:r>
            <w:t>17</w:t>
          </w:r>
        </w:p>
        <w:p>
          <w:pPr>
            <w:pStyle w:val="TOC1"/>
            <w:tabs>
              <w:tab w:val="right" w:leader="dot" w:pos="9402"/>
            </w:tabs>
          </w:pPr>
          <w:r>
            <w:t xml:space="preserve">5  Equipment and systems: operating characteristics (EAC §8.1(c))</w:t>
          </w:r>
          <w:r>
            <w:tab/>
          </w:r>
          <w:r>
            <w:t>18</w:t>
          </w:r>
        </w:p>
        <w:p>
          <w:pPr>
            <w:pStyle w:val="TOC2"/>
            <w:tabs>
              <w:tab w:val="right" w:leader="dot" w:pos="9402"/>
            </w:tabs>
          </w:pPr>
          <w:r>
            <w:t xml:space="preserve">5.1  Air-conditioning (EAC §8.1(e))</w:t>
          </w:r>
          <w:r>
            <w:tab/>
          </w:r>
          <w:r>
            <w:t>19</w:t>
          </w:r>
        </w:p>
        <w:p>
          <w:pPr>
            <w:pStyle w:val="TOC2"/>
            <w:tabs>
              <w:tab w:val="right" w:leader="dot" w:pos="9402"/>
            </w:tabs>
          </w:pPr>
          <w:r>
            <w:t xml:space="preserve">5.2  Lighting (EAC §8.1(f))</w:t>
          </w:r>
          <w:r>
            <w:tab/>
          </w:r>
          <w:r>
            <w:t>20</w:t>
          </w:r>
        </w:p>
        <w:p>
          <w:pPr>
            <w:pStyle w:val="TOC2"/>
            <w:tabs>
              <w:tab w:val="right" w:leader="dot" w:pos="9402"/>
            </w:tabs>
          </w:pPr>
          <w:r>
            <w:t xml:space="preserve">5.3  Plug loads and the desk fan</w:t>
          </w:r>
          <w:r>
            <w:tab/>
          </w:r>
          <w:r>
            <w:t>20</w:t>
          </w:r>
        </w:p>
        <w:p>
          <w:pPr>
            <w:pStyle w:val="TOC2"/>
            <w:tabs>
              <w:tab w:val="right" w:leader="dot" w:pos="9402"/>
            </w:tabs>
          </w:pPr>
          <w:r>
            <w:t xml:space="preserve">5.4  Water heating and washroom ventilation</w:t>
          </w:r>
          <w:r>
            <w:tab/>
          </w:r>
          <w:r>
            <w:t>21</w:t>
          </w:r>
        </w:p>
        <w:p>
          <w:pPr>
            <w:pStyle w:val="TOC2"/>
            <w:tabs>
              <w:tab w:val="right" w:leader="dot" w:pos="9402"/>
            </w:tabs>
          </w:pPr>
          <w:r>
            <w:t xml:space="preserve">5.5  Kitchen and laundry appliances</w:t>
          </w:r>
          <w:r>
            <w:tab/>
          </w:r>
          <w:r>
            <w:t>21</w:t>
          </w:r>
        </w:p>
        <w:p>
          <w:pPr>
            <w:pStyle w:val="TOC1"/>
            <w:tabs>
              <w:tab w:val="right" w:leader="dot" w:pos="9402"/>
            </w:tabs>
          </w:pPr>
          <w:r>
            <w:t xml:space="preserve">6  Energy consumption analysis (EAC §8.1(d), (g))</w:t>
          </w:r>
          <w:r>
            <w:tab/>
          </w:r>
          <w:r>
            <w:t>23</w:t>
          </w:r>
        </w:p>
        <w:p>
          <w:pPr>
            <w:pStyle w:val="TOC2"/>
            <w:tabs>
              <w:tab w:val="right" w:leader="dot" w:pos="9402"/>
            </w:tabs>
          </w:pPr>
          <w:r>
            <w:t xml:space="preserve">6.1  Room air-conditioning baseline: two independent methods</w:t>
          </w:r>
          <w:r>
            <w:tab/>
          </w:r>
          <w:r>
            <w:t>23</w:t>
          </w:r>
        </w:p>
        <w:p>
          <w:pPr>
            <w:pStyle w:val="TOC2"/>
            <w:tabs>
              <w:tab w:val="right" w:leader="dot" w:pos="9402"/>
            </w:tabs>
          </w:pPr>
          <w:r>
            <w:t xml:space="preserve">6.2  Historical consumption since move-in (January-September 2026)</w:t>
          </w:r>
          <w:r>
            <w:tab/>
          </w:r>
          <w:r>
            <w:t>24</w:t>
          </w:r>
        </w:p>
        <w:p>
          <w:pPr>
            <w:pStyle w:val="TOC2"/>
            <w:tabs>
              <w:tab w:val="right" w:leader="dot" w:pos="9402"/>
            </w:tabs>
          </w:pPr>
          <w:r>
            <w:t xml:space="preserve">6.3  Shower hot water</w:t>
          </w:r>
          <w:r>
            <w:tab/>
          </w:r>
          <w:r>
            <w:t>24</w:t>
          </w:r>
        </w:p>
        <w:p>
          <w:pPr>
            <w:pStyle w:val="TOC2"/>
            <w:tabs>
              <w:tab w:val="right" w:leader="dot" w:pos="9402"/>
            </w:tabs>
          </w:pPr>
          <w:r>
            <w:t xml:space="preserve">6.4  Annual consumption and end-use breakdown</w:t>
          </w:r>
          <w:r>
            <w:tab/>
          </w:r>
          <w:r>
            <w:t>25</w:t>
          </w:r>
        </w:p>
        <w:p>
          <w:pPr>
            <w:pStyle w:val="TOC2"/>
            <w:tabs>
              <w:tab w:val="right" w:leader="dot" w:pos="9402"/>
            </w:tabs>
          </w:pPr>
          <w:r>
            <w:t xml:space="preserve">6.5  Breakdown by EAC installation category (EAC §8.1(g)(iv))</w:t>
          </w:r>
          <w:r>
            <w:tab/>
          </w:r>
          <w:r>
            <w:t>26</w:t>
          </w:r>
        </w:p>
        <w:p>
          <w:pPr>
            <w:pStyle w:val="TOC2"/>
            <w:tabs>
              <w:tab w:val="right" w:leader="dot" w:pos="9402"/>
            </w:tabs>
          </w:pPr>
          <w:r>
            <w:t xml:space="preserve">6.6  Monthly profile and monthly EUI (EAC §8.1(g)(iii))</w:t>
          </w:r>
          <w:r>
            <w:tab/>
          </w:r>
          <w:r>
            <w:t>26</w:t>
          </w:r>
        </w:p>
        <w:p>
          <w:pPr>
            <w:pStyle w:val="TOC2"/>
            <w:tabs>
              <w:tab w:val="right" w:leader="dot" w:pos="9402"/>
            </w:tabs>
          </w:pPr>
          <w:r>
            <w:t xml:space="preserve">6.7  Energy Utilisation Index and benchmarks</w:t>
          </w:r>
          <w:r>
            <w:tab/>
          </w:r>
          <w:r>
            <w:t>28</w:t>
          </w:r>
        </w:p>
        <w:p>
          <w:pPr>
            <w:pStyle w:val="TOC2"/>
            <w:tabs>
              <w:tab w:val="right" w:leader="dot" w:pos="9402"/>
            </w:tabs>
          </w:pPr>
          <w:r>
            <w:t xml:space="preserve">6.8  Energy used outside the room (EAC §8.1(h))</w:t>
          </w:r>
          <w:r>
            <w:tab/>
          </w:r>
          <w:r>
            <w:t>29</w:t>
          </w:r>
        </w:p>
        <w:p>
          <w:pPr>
            <w:pStyle w:val="TOC1"/>
            <w:tabs>
              <w:tab w:val="right" w:leader="dot" w:pos="9402"/>
            </w:tabs>
          </w:pPr>
          <w:r>
            <w:t xml:space="preserve">7  Greenhouse-gas inventory</w:t>
          </w:r>
          <w:r>
            <w:tab/>
          </w:r>
          <w:r>
            <w:t>30</w:t>
          </w:r>
        </w:p>
        <w:p>
          <w:pPr>
            <w:pStyle w:val="TOC2"/>
            <w:tabs>
              <w:tab w:val="right" w:leader="dot" w:pos="9402"/>
            </w:tabs>
          </w:pPr>
          <w:r>
            <w:t xml:space="preserve">7.1  Emission factors</w:t>
          </w:r>
          <w:r>
            <w:tab/>
          </w:r>
          <w:r>
            <w:t>30</w:t>
          </w:r>
        </w:p>
        <w:p>
          <w:pPr>
            <w:pStyle w:val="TOC2"/>
            <w:tabs>
              <w:tab w:val="right" w:leader="dot" w:pos="9402"/>
            </w:tabs>
          </w:pPr>
          <w:r>
            <w:t xml:space="preserve">7.2  Scope 1 - direct emissions</w:t>
          </w:r>
          <w:r>
            <w:tab/>
          </w:r>
          <w:r>
            <w:t>30</w:t>
          </w:r>
        </w:p>
        <w:p>
          <w:pPr>
            <w:pStyle w:val="TOC2"/>
            <w:tabs>
              <w:tab w:val="right" w:leader="dot" w:pos="9402"/>
            </w:tabs>
          </w:pPr>
          <w:r>
            <w:t xml:space="preserve">7.3  Scope 2 - purchased electricity</w:t>
          </w:r>
          <w:r>
            <w:tab/>
          </w:r>
          <w:r>
            <w:t>30</w:t>
          </w:r>
        </w:p>
        <w:p>
          <w:pPr>
            <w:pStyle w:val="TOC2"/>
            <w:tabs>
              <w:tab w:val="right" w:leader="dot" w:pos="9402"/>
            </w:tabs>
          </w:pPr>
          <w:r>
            <w:t xml:space="preserve">7.4  Scope 3 - water, sewage and paper</w:t>
          </w:r>
          <w:r>
            <w:tab/>
          </w:r>
          <w:r>
            <w:t>31</w:t>
          </w:r>
        </w:p>
        <w:p>
          <w:pPr>
            <w:pStyle w:val="TOC2"/>
            <w:tabs>
              <w:tab w:val="right" w:leader="dot" w:pos="9402"/>
            </w:tabs>
          </w:pPr>
          <w:r>
            <w:t xml:space="preserve">7.5  Inventory summary</w:t>
          </w:r>
          <w:r>
            <w:tab/>
          </w:r>
          <w:r>
            <w:t>31</w:t>
          </w:r>
        </w:p>
        <w:p>
          <w:pPr>
            <w:pStyle w:val="TOC2"/>
            <w:tabs>
              <w:tab w:val="right" w:leader="dot" w:pos="9402"/>
            </w:tabs>
          </w:pPr>
          <w:r>
            <w:t xml:space="preserve">7.6  Daily-activity extension (reported separately)</w:t>
          </w:r>
          <w:r>
            <w:tab/>
          </w:r>
          <w:r>
            <w:t>32</w:t>
          </w:r>
        </w:p>
        <w:p>
          <w:pPr>
            <w:pStyle w:val="TOC1"/>
            <w:tabs>
              <w:tab w:val="right" w:leader="dot" w:pos="9402"/>
            </w:tabs>
          </w:pPr>
          <w:r>
            <w:t xml:space="preserve">8  Walk-through findings (EAC §7.4.5, §8.1(i))</w:t>
          </w:r>
          <w:r>
            <w:tab/>
          </w:r>
          <w:r>
            <w:t>33</w:t>
          </w:r>
        </w:p>
        <w:p>
          <w:pPr>
            <w:pStyle w:val="TOC1"/>
            <w:tabs>
              <w:tab w:val="right" w:leader="dot" w:pos="9402"/>
            </w:tabs>
          </w:pPr>
          <w:r>
            <w:t xml:space="preserve">9  Energy Management Opportunities (EAC §6.2, §7.4-7.5)</w:t>
          </w:r>
          <w:r>
            <w:tab/>
          </w:r>
          <w:r>
            <w:t>35</w:t>
          </w:r>
        </w:p>
        <w:p>
          <w:pPr>
            <w:pStyle w:val="TOC2"/>
            <w:tabs>
              <w:tab w:val="right" w:leader="dot" w:pos="9402"/>
            </w:tabs>
          </w:pPr>
          <w:r>
            <w:t xml:space="preserve">9.1  Category I - housekeeping (no cost)</w:t>
          </w:r>
          <w:r>
            <w:tab/>
          </w:r>
          <w:r>
            <w:t>38</w:t>
          </w:r>
        </w:p>
        <w:p>
          <w:pPr>
            <w:pStyle w:val="TOC2"/>
            <w:tabs>
              <w:tab w:val="right" w:leader="dot" w:pos="9402"/>
            </w:tabs>
          </w:pPr>
          <w:r>
            <w:t xml:space="preserve">9.2  Category II - low-cost operational changes</w:t>
          </w:r>
          <w:r>
            <w:tab/>
          </w:r>
          <w:r>
            <w:t>39</w:t>
          </w:r>
        </w:p>
        <w:p>
          <w:pPr>
            <w:pStyle w:val="TOC2"/>
            <w:tabs>
              <w:tab w:val="right" w:leader="dot" w:pos="9402"/>
            </w:tabs>
          </w:pPr>
          <w:r>
            <w:t xml:space="preserve">9.3  Category III - capital measures and cost-benefit with service life (EAC §7.5.4)</w:t>
          </w:r>
          <w:r>
            <w:tab/>
          </w:r>
          <w:r>
            <w:t>39</w:t>
          </w:r>
        </w:p>
        <w:p>
          <w:pPr>
            <w:pStyle w:val="TOC2"/>
            <w:tabs>
              <w:tab w:val="right" w:leader="dot" w:pos="9402"/>
            </w:tabs>
          </w:pPr>
          <w:r>
            <w:t xml:space="preserve">9.4  Energy recovery and renewable energy (EAC §7.4.4(c)-(d), §8.1(l)(iii))</w:t>
          </w:r>
          <w:r>
            <w:tab/>
          </w:r>
          <w:r>
            <w:t>40</w:t>
          </w:r>
        </w:p>
        <w:p>
          <w:pPr>
            <w:pStyle w:val="TOC1"/>
            <w:tabs>
              <w:tab w:val="right" w:leader="dot" w:pos="9402"/>
            </w:tabs>
          </w:pPr>
          <w:r>
            <w:t xml:space="preserve">10  Scaling up to Sha Tin District</w:t>
          </w:r>
          <w:r>
            <w:tab/>
          </w:r>
          <w:r>
            <w:t>41</w:t>
          </w:r>
        </w:p>
        <w:p>
          <w:pPr>
            <w:pStyle w:val="TOC2"/>
            <w:tabs>
              <w:tab w:val="right" w:leader="dot" w:pos="9402"/>
            </w:tabs>
          </w:pPr>
          <w:r>
            <w:t xml:space="preserve">10.1  Factors from the audit</w:t>
          </w:r>
          <w:r>
            <w:tab/>
          </w:r>
          <w:r>
            <w:t>41</w:t>
          </w:r>
        </w:p>
        <w:p>
          <w:pPr>
            <w:pStyle w:val="TOC2"/>
            <w:tabs>
              <w:tab w:val="right" w:leader="dot" w:pos="9402"/>
            </w:tabs>
          </w:pPr>
          <w:r>
            <w:t xml:space="preserve">10.2  Sha Tin District data</w:t>
          </w:r>
          <w:r>
            <w:tab/>
          </w:r>
          <w:r>
            <w:t>41</w:t>
          </w:r>
        </w:p>
        <w:p>
          <w:pPr>
            <w:pStyle w:val="TOC2"/>
            <w:tabs>
              <w:tab w:val="right" w:leader="dot" w:pos="9402"/>
            </w:tabs>
          </w:pPr>
          <w:r>
            <w:t xml:space="preserve">10.3  District results and comparison (i)</w:t>
          </w:r>
          <w:r>
            <w:tab/>
          </w:r>
          <w:r>
            <w:t>42</w:t>
          </w:r>
        </w:p>
        <w:p>
          <w:pPr>
            <w:pStyle w:val="TOC2"/>
            <w:tabs>
              <w:tab w:val="right" w:leader="dot" w:pos="9402"/>
            </w:tabs>
          </w:pPr>
          <w:r>
            <w:t xml:space="preserve">10.4  A composite factor for energy, floor area and residents (ii)</w:t>
          </w:r>
          <w:r>
            <w:tab/>
          </w:r>
          <w:r>
            <w:t>43</w:t>
          </w:r>
        </w:p>
        <w:p>
          <w:pPr>
            <w:pStyle w:val="TOC1"/>
            <w:tabs>
              <w:tab w:val="right" w:leader="dot" w:pos="9402"/>
            </w:tabs>
          </w:pPr>
          <w:r>
            <w:t xml:space="preserve">11  Recommendations, implementation and M&amp;V (EAC §7.6)</w:t>
          </w:r>
          <w:r>
            <w:tab/>
          </w:r>
          <w:r>
            <w:t>45</w:t>
          </w:r>
        </w:p>
        <w:p>
          <w:pPr>
            <w:pStyle w:val="TOC2"/>
            <w:tabs>
              <w:tab w:val="right" w:leader="dot" w:pos="9402"/>
            </w:tabs>
          </w:pPr>
          <w:r>
            <w:t xml:space="preserve">11.1  Implementation plan</w:t>
          </w:r>
          <w:r>
            <w:tab/>
          </w:r>
          <w:r>
            <w:t>45</w:t>
          </w:r>
        </w:p>
        <w:p>
          <w:pPr>
            <w:pStyle w:val="TOC2"/>
            <w:tabs>
              <w:tab w:val="right" w:leader="dot" w:pos="9402"/>
            </w:tabs>
          </w:pPr>
          <w:r>
            <w:t xml:space="preserve">11.2  Measurement and verification plan (EAC §7.5.3, §7.6.3)</w:t>
          </w:r>
          <w:r>
            <w:tab/>
          </w:r>
          <w:r>
            <w:t>45</w:t>
          </w:r>
        </w:p>
        <w:p>
          <w:pPr>
            <w:pStyle w:val="TOC2"/>
            <w:tabs>
              <w:tab w:val="right" w:leader="dot" w:pos="9402"/>
            </w:tabs>
          </w:pPr>
          <w:r>
            <w:t xml:space="preserve">11.3  Communication with hall management (EAC §7.4.3)</w:t>
          </w:r>
          <w:r>
            <w:tab/>
          </w:r>
          <w:r>
            <w:t>45</w:t>
          </w:r>
        </w:p>
        <w:p>
          <w:pPr>
            <w:pStyle w:val="TOC2"/>
            <w:tabs>
              <w:tab w:val="right" w:leader="dot" w:pos="9402"/>
            </w:tabs>
          </w:pPr>
          <w:r>
            <w:t xml:space="preserve">11.4  Further studies (EAC §7.6.5)</w:t>
          </w:r>
          <w:r>
            <w:tab/>
          </w:r>
          <w:r>
            <w:t>45</w:t>
          </w:r>
        </w:p>
        <w:p>
          <w:pPr>
            <w:pStyle w:val="TOC1"/>
            <w:tabs>
              <w:tab w:val="right" w:leader="dot" w:pos="9402"/>
            </w:tabs>
          </w:pPr>
          <w:r>
            <w:t xml:space="preserve">12  Uncertainty, limitations and sensitivity</w:t>
          </w:r>
          <w:r>
            <w:tab/>
          </w:r>
          <w:r>
            <w:t>47</w:t>
          </w:r>
        </w:p>
        <w:p>
          <w:pPr>
            <w:pStyle w:val="TOC2"/>
            <w:tabs>
              <w:tab w:val="right" w:leader="dot" w:pos="9402"/>
            </w:tabs>
          </w:pPr>
          <w:r>
            <w:t xml:space="preserve">12.1  Limitations</w:t>
          </w:r>
          <w:r>
            <w:tab/>
          </w:r>
          <w:r>
            <w:t>48</w:t>
          </w:r>
        </w:p>
        <w:p>
          <w:pPr>
            <w:pStyle w:val="TOC1"/>
            <w:tabs>
              <w:tab w:val="right" w:leader="dot" w:pos="9402"/>
            </w:tabs>
          </w:pPr>
          <w:r>
            <w:t xml:space="preserve">13  Conclusions and lessons for the corporate carbon audit</w:t>
          </w:r>
          <w:r>
            <w:tab/>
          </w:r>
          <w:r>
            <w:t>49</w:t>
          </w:r>
        </w:p>
        <w:p>
          <w:pPr>
            <w:pStyle w:val="TOC2"/>
            <w:tabs>
              <w:tab w:val="right" w:leader="dot" w:pos="9402"/>
            </w:tabs>
          </w:pPr>
          <w:r>
            <w:t xml:space="preserve">13.1  Conclusions</w:t>
          </w:r>
          <w:r>
            <w:tab/>
          </w:r>
          <w:r>
            <w:t>49</w:t>
          </w:r>
        </w:p>
        <w:p>
          <w:pPr>
            <w:pStyle w:val="TOC2"/>
            <w:tabs>
              <w:tab w:val="right" w:leader="dot" w:pos="9402"/>
            </w:tabs>
          </w:pPr>
          <w:r>
            <w:t xml:space="preserve">13.2  Lessons for the corporate carbon audit</w:t>
          </w:r>
          <w:r>
            <w:tab/>
          </w:r>
          <w:r>
            <w:t>49</w:t>
          </w:r>
        </w:p>
        <w:p>
          <w:pPr>
            <w:pStyle w:val="TOC1"/>
            <w:tabs>
              <w:tab w:val="right" w:leader="dot" w:pos="9402"/>
            </w:tabs>
          </w:pPr>
          <w:r>
            <w:t xml:space="preserve">References</w:t>
          </w:r>
          <w:r>
            <w:tab/>
          </w:r>
          <w:r>
            <w:t>50</w:t>
          </w:r>
        </w:p>
        <w:p>
          <w:pPr>
            <w:pStyle w:val="TOC1"/>
            <w:tabs>
              <w:tab w:val="right" w:leader="dot" w:pos="9402"/>
            </w:tabs>
          </w:pPr>
          <w:r>
            <w:t xml:space="preserve">Appendix A - Questionnaire responses (summary)</w:t>
          </w:r>
          <w:r>
            <w:tab/>
          </w:r>
          <w:r>
            <w:t>52</w:t>
          </w:r>
        </w:p>
        <w:p>
          <w:pPr>
            <w:pStyle w:val="TOC1"/>
            <w:tabs>
              <w:tab w:val="right" w:leader="dot" w:pos="9402"/>
            </w:tabs>
          </w:pPr>
          <w:r>
            <w:t xml:space="preserve">Appendix B - Photo log</w:t>
          </w:r>
          <w:r>
            <w:tab/>
          </w:r>
          <w:r>
            <w:t>53</w:t>
          </w:r>
        </w:p>
        <w:p>
          <w:pPr>
            <w:pStyle w:val="TOC1"/>
            <w:tabs>
              <w:tab w:val="right" w:leader="dot" w:pos="9402"/>
            </w:tabs>
          </w:pPr>
          <w:r>
            <w:t xml:space="preserve">Appendix C - Input data register</w:t>
          </w:r>
          <w:r>
            <w:tab/>
          </w:r>
          <w:r>
            <w:t>55</w:t>
          </w:r>
        </w:p>
        <w:p>
          <w:pPr>
            <w:pStyle w:val="TOC1"/>
            <w:tabs>
              <w:tab w:val="right" w:leader="dot" w:pos="9402"/>
            </w:tabs>
          </w:pPr>
          <w:r>
            <w:t xml:space="preserve">Appendix D - EE-EAes (V.2) form entries</w:t>
          </w:r>
          <w:r>
            <w:tab/>
          </w:r>
          <w:r>
            <w:t>59</w:t>
          </w:r>
        </w:p>
        <w:p>
          <w:pPr>
            <w:pStyle w:val="TOC1"/>
            <w:tabs>
              <w:tab w:val="right" w:leader="dot" w:pos="9402"/>
            </w:tabs>
          </w:pPr>
          <w:r>
            <w:t xml:space="preserve">Appendix E - Completed NELC Home Energy Audit Tool</w:t>
          </w:r>
          <w:r>
            <w:tab/>
          </w:r>
          <w:r>
            <w:t>63</w:t>
          </w:r>
        </w:p>
        <w:p>
          <w:pPr>
            <w:pStyle w:val="TOC1"/>
            <w:tabs>
              <w:tab w:val="right" w:leader="dot" w:pos="9402"/>
            </w:tabs>
          </w:pPr>
          <w:r>
            <w:t xml:space="preserve">Appendix F - Deliverables and reproducibility</w:t>
          </w:r>
          <w:r>
            <w:tab/>
          </w:r>
          <w:r>
            <w:t>64</w:t>
          </w:r>
          <w:r>
            <w:fldChar w:fldCharType="end"/>
          </w:r>
        </w:p>
      </w:sdtContent>
    </w:sdt>
    <w:p>
      <w:pPr>
        <w:spacing w:before="120"/>
      </w:pPr>
      <w:r>
        <w:rPr>
          <w:b w:val="false"/>
          <w:bCs w:val="false"/>
          <w:i/>
          <w:iCs/>
          <w:color w:val="52514E"/>
          <w:sz w:val="16"/>
          <w:szCs w:val="16"/>
        </w:rPr>
        <w:t xml:space="preserve">After editing the report in Word, right-click the contents list and choose Update Field to refresh the page numbers.</w:t>
      </w:r>
    </w:p>
    <w:p>
      <w:r>
        <w:br w:type="page"/>
      </w:r>
    </w:p>
    <w:p>
      <w:pPr>
        <w:spacing w:after="120"/>
      </w:pPr>
      <w:r>
        <w:rPr>
          <w:b/>
          <w:bCs/>
          <w:color w:val="1F3864"/>
          <w:sz w:val="26"/>
          <w:szCs w:val="26"/>
        </w:rPr>
        <w:t xml:space="preserve">How this report answers the assignment</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300"/>
        <w:gridCol w:w="6112"/>
      </w:tblGrid>
      <w:tr>
        <w:trPr>
          <w:tblHeader/>
        </w:trPr>
        <w:tc>
          <w:tcPr>
            <w:tcW w:type="dxa" w:w="33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Assignment requirement</w:t>
            </w:r>
          </w:p>
        </w:tc>
        <w:tc>
          <w:tcPr>
            <w:tcW w:type="dxa" w:w="61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Where it is answered</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(1) Audit the household with the NELC Home Energy Audit Tool; complete and submit the Excel sheet</w:t>
            </w:r>
          </w:p>
        </w:tc>
        <w:tc>
          <w:tcPr>
            <w:tcW w:type="dxa" w:w="6112"/>
            <w:tcMar>
              <w:top w:type="dxa" w:w="50"/>
              <w:left w:type="dxa" w:w="90"/>
              <w:bottom w:type="dxa" w:w="50"/>
              <w:right w:type="dxa" w:w="90"/>
            </w:tcMar>
            <w:vAlign w:val="center"/>
          </w:tcPr>
          <w:p>
            <w:pPr>
              <w:spacing w:after="0" w:line="240"/>
              <w:jc w:val="left"/>
            </w:pPr>
            <w:r>
              <w:rPr>
                <w:b w:val="false"/>
                <w:bCs w:val="false"/>
                <w:sz w:val="16"/>
                <w:szCs w:val="16"/>
              </w:rPr>
              <w:t xml:space="preserve">1_SEE6115-8115_Home Energy Audit Tool_COMPLETED.xlsx: room, washroom, kitchen and appliance sheets, plus the NELC Survey and NELC Questionnaire tick-boxes. Summary in Appendix E</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(2a) Executive Summary using the EE-EAes2018 sheet as reference; only relevant sections; submit the Excel sheet</w:t>
            </w:r>
          </w:p>
        </w:tc>
        <w:tc>
          <w:tcPr>
            <w:tcW w:type="dxa" w:w="6112"/>
            <w:tcMar>
              <w:top w:type="dxa" w:w="50"/>
              <w:left w:type="dxa" w:w="90"/>
              <w:bottom w:type="dxa" w:w="50"/>
              <w:right w:type="dxa" w:w="90"/>
            </w:tcMar>
            <w:vAlign w:val="center"/>
          </w:tcPr>
          <w:p>
            <w:pPr>
              <w:spacing w:after="0" w:line="240"/>
              <w:jc w:val="left"/>
            </w:pPr>
            <w:r>
              <w:rPr>
                <w:b w:val="false"/>
                <w:bCs w:val="false"/>
                <w:sz w:val="16"/>
                <w:szCs w:val="16"/>
              </w:rPr>
              <w:t xml:space="preserve">Executive summary, EE-EAes tables (Parts 1(A), 1(B)(I), 2 and 3, with the non-applicable CBSI and lift &amp; escalator sections identified); 2_EE-EAes2018 (V.0)_SEE6115-8115_COMPLETED.xls; cell-by-cell entries in Appendix D</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(2b) Objective and scope</w:t>
            </w:r>
          </w:p>
        </w:tc>
        <w:tc>
          <w:tcPr>
            <w:tcW w:type="dxa" w:w="6112"/>
            <w:tcMar>
              <w:top w:type="dxa" w:w="50"/>
              <w:left w:type="dxa" w:w="90"/>
              <w:bottom w:type="dxa" w:w="50"/>
              <w:right w:type="dxa" w:w="90"/>
            </w:tcMar>
            <w:vAlign w:val="center"/>
          </w:tcPr>
          <w:p>
            <w:pPr>
              <w:spacing w:after="0" w:line="240"/>
              <w:jc w:val="left"/>
            </w:pPr>
            <w:r>
              <w:rPr>
                <w:b w:val="false"/>
                <w:bCs w:val="false"/>
                <w:sz w:val="16"/>
                <w:szCs w:val="16"/>
              </w:rPr>
              <w:t xml:space="preserve">Sections 1.2 and 1.3; boundary in Section 3</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(2c) Equipment/systems operating characteristics</w:t>
            </w:r>
          </w:p>
        </w:tc>
        <w:tc>
          <w:tcPr>
            <w:tcW w:type="dxa" w:w="6112"/>
            <w:tcMar>
              <w:top w:type="dxa" w:w="50"/>
              <w:left w:type="dxa" w:w="90"/>
              <w:bottom w:type="dxa" w:w="50"/>
              <w:right w:type="dxa" w:w="90"/>
            </w:tcMar>
            <w:vAlign w:val="center"/>
          </w:tcPr>
          <w:p>
            <w:pPr>
              <w:spacing w:after="0" w:line="240"/>
              <w:jc w:val="left"/>
            </w:pPr>
            <w:r>
              <w:rPr>
                <w:b w:val="false"/>
                <w:bCs w:val="false"/>
                <w:sz w:val="16"/>
                <w:szCs w:val="16"/>
              </w:rPr>
              <w:t xml:space="preserve">Section 5: inventory, ratings, controls and operating schedules, with photographs</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(2d) At least five potential EMOs with energy savings and cost-benefit analysis for each</w:t>
            </w:r>
          </w:p>
        </w:tc>
        <w:tc>
          <w:tcPr>
            <w:tcW w:type="dxa" w:w="6112"/>
            <w:tcMar>
              <w:top w:type="dxa" w:w="50"/>
              <w:left w:type="dxa" w:w="90"/>
              <w:bottom w:type="dxa" w:w="50"/>
              <w:right w:type="dxa" w:w="90"/>
            </w:tcMar>
            <w:vAlign w:val="center"/>
          </w:tcPr>
          <w:p>
            <w:pPr>
              <w:spacing w:after="0" w:line="240"/>
              <w:jc w:val="left"/>
            </w:pPr>
            <w:r>
              <w:rPr>
                <w:b w:val="false"/>
                <w:bCs w:val="false"/>
                <w:sz w:val="16"/>
                <w:szCs w:val="16"/>
              </w:rPr>
              <w:t xml:space="preserve">Section 9: 21 EMOs, each with baseline, saving, cost, payback, NPV, savings-to-investment ratio and cost of saved energy</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Historical energy consumption (recommended); assumed use where bills are unavailable</w:t>
            </w:r>
          </w:p>
        </w:tc>
        <w:tc>
          <w:tcPr>
            <w:tcW w:type="dxa" w:w="6112"/>
            <w:tcMar>
              <w:top w:type="dxa" w:w="50"/>
              <w:left w:type="dxa" w:w="90"/>
              <w:bottom w:type="dxa" w:w="50"/>
              <w:right w:type="dxa" w:w="90"/>
            </w:tcMar>
            <w:vAlign w:val="center"/>
          </w:tcPr>
          <w:p>
            <w:pPr>
              <w:spacing w:after="0" w:line="240"/>
              <w:jc w:val="left"/>
            </w:pPr>
            <w:r>
              <w:rPr>
                <w:b w:val="false"/>
                <w:bCs w:val="false"/>
                <w:sz w:val="16"/>
                <w:szCs w:val="16"/>
              </w:rPr>
              <w:t xml:space="preserve">Sections 6.1-6.2 (Octopus AC spend since move-in, January-September 2026) and 6.4-6.7</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Pictures of appliances (recommended)</w:t>
            </w:r>
          </w:p>
        </w:tc>
        <w:tc>
          <w:tcPr>
            <w:tcW w:type="dxa" w:w="6112"/>
            <w:tcMar>
              <w:top w:type="dxa" w:w="50"/>
              <w:left w:type="dxa" w:w="90"/>
              <w:bottom w:type="dxa" w:w="50"/>
              <w:right w:type="dxa" w:w="90"/>
            </w:tcMar>
            <w:vAlign w:val="center"/>
          </w:tcPr>
          <w:p>
            <w:pPr>
              <w:spacing w:after="0" w:line="240"/>
              <w:jc w:val="left"/>
            </w:pPr>
            <w:r>
              <w:rPr>
                <w:b w:val="false"/>
                <w:bCs w:val="false"/>
                <w:sz w:val="16"/>
                <w:szCs w:val="16"/>
              </w:rPr>
              <w:t xml:space="preserve">Sections 4, 5 and 8; Appendix B (26 photographs)</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(3) Energy per m² and per capita; scale up to the district with Housing Department and other government data</w:t>
            </w:r>
          </w:p>
        </w:tc>
        <w:tc>
          <w:tcPr>
            <w:tcW w:type="dxa" w:w="6112"/>
            <w:tcMar>
              <w:top w:type="dxa" w:w="50"/>
              <w:left w:type="dxa" w:w="90"/>
              <w:bottom w:type="dxa" w:w="50"/>
              <w:right w:type="dxa" w:w="90"/>
            </w:tcMar>
            <w:vAlign w:val="center"/>
          </w:tcPr>
          <w:p>
            <w:pPr>
              <w:spacing w:after="0" w:line="240"/>
              <w:jc w:val="left"/>
            </w:pPr>
            <w:r>
              <w:rPr>
                <w:b w:val="false"/>
                <w:bCs w:val="false"/>
                <w:sz w:val="16"/>
                <w:szCs w:val="16"/>
              </w:rPr>
              <w:t xml:space="preserve">Sections 10.1-10.3 (Sha Tin District)</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(3i) Compare the per-m² and per-capita district results</w:t>
            </w:r>
          </w:p>
        </w:tc>
        <w:tc>
          <w:tcPr>
            <w:tcW w:type="dxa" w:w="6112"/>
            <w:tcMar>
              <w:top w:type="dxa" w:w="50"/>
              <w:left w:type="dxa" w:w="90"/>
              <w:bottom w:type="dxa" w:w="50"/>
              <w:right w:type="dxa" w:w="90"/>
            </w:tcMar>
            <w:vAlign w:val="center"/>
          </w:tcPr>
          <w:p>
            <w:pPr>
              <w:spacing w:after="0" w:line="240"/>
              <w:jc w:val="left"/>
            </w:pPr>
            <w:r>
              <w:rPr>
                <w:b w:val="false"/>
                <w:bCs w:val="false"/>
                <w:sz w:val="16"/>
                <w:szCs w:val="16"/>
              </w:rPr>
              <w:t xml:space="preserve">Section 10.3</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(3ii) Develop a factor linking energy, household floor area and number of residents</w:t>
            </w:r>
          </w:p>
        </w:tc>
        <w:tc>
          <w:tcPr>
            <w:tcW w:type="dxa" w:w="6112"/>
            <w:tcMar>
              <w:top w:type="dxa" w:w="50"/>
              <w:left w:type="dxa" w:w="90"/>
              <w:bottom w:type="dxa" w:w="50"/>
              <w:right w:type="dxa" w:w="90"/>
            </w:tcMar>
            <w:vAlign w:val="center"/>
          </w:tcPr>
          <w:p>
            <w:pPr>
              <w:spacing w:after="0" w:line="240"/>
              <w:jc w:val="left"/>
            </w:pPr>
            <w:r>
              <w:rPr>
                <w:b w:val="false"/>
                <w:bCs w:val="false"/>
                <w:sz w:val="16"/>
                <w:szCs w:val="16"/>
              </w:rPr>
              <w:t xml:space="preserve">Section 10.4</w:t>
            </w:r>
          </w:p>
        </w:tc>
      </w:tr>
    </w:tbl>
    <w:p>
      <w:pPr>
        <w:spacing w:after="120"/>
      </w:pPr>
    </w:p>
    <w:p>
      <w:pPr>
        <w:keepNext/>
        <w:spacing w:after="120"/>
      </w:pPr>
      <w:r>
        <w:rPr>
          <w:b/>
          <w:bCs/>
          <w:color w:val="1F3864"/>
          <w:sz w:val="26"/>
          <w:szCs w:val="26"/>
        </w:rPr>
        <w:t xml:space="preserve">Abbreviations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7212"/>
      </w:tblGrid>
      <w:tr>
        <w:trPr>
          <w:tblHeader/>
        </w:trPr>
        <w:tc>
          <w:tcPr>
            <w:tcW w:type="dxa" w:w="22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Term</w:t>
            </w:r>
          </w:p>
        </w:tc>
        <w:tc>
          <w:tcPr>
            <w:tcW w:type="dxa" w:w="72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Meaning</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AC</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Air-conditioning / air-conditioner</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BEC / BEEO</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Building Energy Code / Buildings Energy Efficiency Ordinance (Cap. 610)</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C&amp;SD / HA</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Census and Statistics Department / Hong Kong Housing Authority (Housing Department)</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CBSI</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Central building services installation (EAC term)</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CLP</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CLP Power Hong Kong Ltd, the electricity supplier to Ma On Shan</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Carbon dioxide equivalent</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CSE</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Cost of saved energy (annualised capital cost ÷ annual kWh saved)</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CSPF / EER</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Cooling seasonal performance factor / energy efficiency ratio (rated capacity ÷ rated input)</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DSD / WSD</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Drainage Services Department / Water Supplies Department</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EAC</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Code of Practice for Building Energy Audit (EMSD, 2018 edition)</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EE-EAes</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EMSD technical form: Executive Summary of an Energy Audit Report</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EMO</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Energy Management Opportunity (Category I, II or III)</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EMSD / EPD</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Electrical and Mechanical Services Department / Environmental Protection Department</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EUI</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Energy Utilisation Index (MJ/m²/yr; kWh/m²/yr = MJ/m²/yr ÷ 3.6)</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GHG / GWP</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Greenhouse gas / global warming potential</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HKO</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Hong Kong Observatory</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LPD</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Lighting power density (W/m²)</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M&amp;V</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Measurement and verification of savings</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MiC</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Modular integrated construction</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NELC</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National Energy Leadership Corps (Penn State home energy audit programme and tool)</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NPV / SIR</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Net present value / savings-to-investment ratio (present value of savings ÷ cost)</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PRH / SSF</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Public rental housing / subsidised sale flats</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SRO</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CityU Student Residence Office (hall management)</w:t>
            </w:r>
          </w:p>
        </w:tc>
      </w:tr>
      <w:tr>
        <w:trPr>
          <w:cantSplit/>
        </w:trPr>
        <w:tc>
          <w:tcPr>
            <w:tcW w:type="dxa" w:w="2200"/>
            <w:tcMar>
              <w:top w:type="dxa" w:w="50"/>
              <w:left w:type="dxa" w:w="90"/>
              <w:bottom w:type="dxa" w:w="50"/>
              <w:right w:type="dxa" w:w="90"/>
            </w:tcMar>
            <w:vAlign w:val="center"/>
          </w:tcPr>
          <w:p>
            <w:pPr>
              <w:spacing w:after="0" w:line="240"/>
              <w:jc w:val="left"/>
            </w:pPr>
            <w:r>
              <w:rPr>
                <w:b w:val="false"/>
                <w:bCs w:val="false"/>
                <w:sz w:val="16"/>
                <w:szCs w:val="16"/>
              </w:rPr>
              <w:t xml:space="preserve">WELS</w:t>
            </w:r>
          </w:p>
        </w:tc>
        <w:tc>
          <w:tcPr>
            <w:tcW w:type="dxa" w:w="7212"/>
            <w:tcMar>
              <w:top w:type="dxa" w:w="50"/>
              <w:left w:type="dxa" w:w="90"/>
              <w:bottom w:type="dxa" w:w="50"/>
              <w:right w:type="dxa" w:w="90"/>
            </w:tcMar>
            <w:vAlign w:val="center"/>
          </w:tcPr>
          <w:p>
            <w:pPr>
              <w:spacing w:after="0" w:line="240"/>
              <w:jc w:val="left"/>
            </w:pPr>
            <w:r>
              <w:rPr>
                <w:b w:val="false"/>
                <w:bCs w:val="false"/>
                <w:sz w:val="16"/>
                <w:szCs w:val="16"/>
              </w:rPr>
              <w:t xml:space="preserve">Water Efficiency Labelling Scheme (WSD)</w:t>
            </w:r>
          </w:p>
        </w:tc>
      </w:tr>
    </w:tbl>
    <w:p>
      <w:pPr>
        <w:pStyle w:val="Heading1"/>
        <w:pageBreakBefore/>
      </w:pPr>
      <w:r>
        <w:rPr>
          <w:b w:val="false"/>
          <w:bCs w:val="false"/>
        </w:rPr>
        <w:t xml:space="preserve">Executive summary</w:t>
      </w:r>
    </w:p>
    <w:p>
      <w:pPr>
        <w:spacing w:after="120" w:before="0" w:line="276"/>
        <w:jc w:val="both"/>
      </w:pPr>
      <w:r>
        <w:rPr>
          <w:b w:val="false"/>
          <w:bCs w:val="false"/>
        </w:rPr>
        <w:t xml:space="preserve">This report presents a systematic energy and carbon audit of the auditor's home: </w:t>
      </w:r>
      <w:r>
        <w:rPr>
          <w:b/>
          <w:bCs/>
        </w:rPr>
        <w:t xml:space="preserve">Room 1003B, 10/F</w:t>
      </w:r>
      <w:r>
        <w:rPr>
          <w:b w:val="false"/>
          <w:bCs w:val="false"/>
        </w:rPr>
        <w:t xml:space="preserve">, a 15 m² twin room in </w:t>
      </w:r>
      <w:r>
        <w:rPr>
          <w:b/>
          <w:bCs/>
        </w:rPr>
        <w:t xml:space="preserve">Hall 13, CityU Lee Shau Kee Student Residence Village</w:t>
      </w:r>
      <w:r>
        <w:rPr>
          <w:b w:val="false"/>
          <w:bCs w:val="false"/>
        </w:rPr>
        <w:t xml:space="preserve"> (Ma On Shan, New Territories, Hong Kong), together with the household's share of the shared washroom, floor kitchen and hall laundry. It follows the six steps of the EMSD Code of Practice for Building Energy Audit (EAC 2018) [1]. The executive summary uses the structure of EMSD Technical Form EE-EAes (V.2) [3], and greenhouse-gas emissions follow the EPD/EMSD Guidelines for buildings in Hong Kong [2]. The aim is to establish the household's energy consumption profile, find ways to reduce its energy bills and emissions, and scale the results up to Sha Tin District.</w:t>
      </w:r>
    </w:p>
    <w:p>
      <w:pPr>
        <w:keepNext/>
        <w:spacing w:after="80" w:before="160"/>
      </w:pPr>
      <w:r>
        <w:rPr>
          <w:b/>
          <w:bCs/>
          <w:color w:val="1F3864"/>
          <w:sz w:val="18"/>
          <w:szCs w:val="18"/>
        </w:rPr>
        <w:t xml:space="preserve">Table ES.1: Key results (typical 12-month baseline year)</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600"/>
        <w:gridCol w:w="5812"/>
      </w:tblGrid>
      <w:tr>
        <w:trPr>
          <w:tblHeader/>
        </w:trPr>
        <w:tc>
          <w:tcPr>
            <w:tcW w:type="dxa" w:w="36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Indicator</w:t>
            </w:r>
          </w:p>
        </w:tc>
        <w:tc>
          <w:tcPr>
            <w:tcW w:type="dxa" w:w="58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Result</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Household electricity (room + allocated shared services)</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2,586 kWh/yr (1,293 kWh per person); 52.8% is used in shared facilities</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Electricity used inside the 15 m² room</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1,220 kWh/yr; room EUI 292.7 MJ/m²/yr (81.3 kWh/m²/yr)</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Room air-conditioning baseline (Octopus spend)</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811 kWh/yr; independent energy-label check 884 kWh/yr (+9.1%)</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Since move-in (January-September 2026)</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1,956 kWh household electricity; HK$900 of Octopus AC top-ups</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Largest end-uses</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Air-conditioning 34.4%, shower hot water 24.5%, cooking 12.1%</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GHG emissions (CLP factor 0.34 / default 0.7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e/kWh)</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939 / 1,870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e/yr (470 / 935 kg per person)</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EMOs identified</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21 (10 Category I, 7 Category II, 4 Category III)</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No-cost Category I package</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660 kWh/yr (25.5%) and 224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e/yr saved, including HK$381 a year of Octopus AC charges</w:t>
            </w:r>
          </w:p>
        </w:tc>
      </w:tr>
      <w:tr>
        <w:trPr>
          <w:cantSplit/>
        </w:trPr>
        <w:tc>
          <w:tcPr>
            <w:tcW w:type="dxa" w:w="3600"/>
            <w:tcMar>
              <w:top w:type="dxa" w:w="50"/>
              <w:left w:type="dxa" w:w="90"/>
              <w:bottom w:type="dxa" w:w="50"/>
              <w:right w:type="dxa" w:w="90"/>
            </w:tcMar>
            <w:vAlign w:val="center"/>
          </w:tcPr>
          <w:p>
            <w:pPr>
              <w:spacing w:after="0" w:line="240"/>
              <w:jc w:val="left"/>
            </w:pPr>
            <w:r>
              <w:rPr>
                <w:b w:val="false"/>
                <w:bCs w:val="false"/>
                <w:sz w:val="16"/>
                <w:szCs w:val="16"/>
              </w:rPr>
              <w:t xml:space="preserve">Sha Tin District scale-up (Section 10)</w:t>
            </w:r>
          </w:p>
        </w:tc>
        <w:tc>
          <w:tcPr>
            <w:tcW w:type="dxa" w:w="5812"/>
            <w:shd w:fill="E2EFDA" w:color="auto" w:val="clear"/>
            <w:tcMar>
              <w:top w:type="dxa" w:w="50"/>
              <w:left w:type="dxa" w:w="90"/>
              <w:bottom w:type="dxa" w:w="50"/>
              <w:right w:type="dxa" w:w="90"/>
            </w:tcMar>
            <w:vAlign w:val="center"/>
          </w:tcPr>
          <w:p>
            <w:pPr>
              <w:spacing w:after="0" w:line="240"/>
              <w:jc w:val="left"/>
            </w:pPr>
            <w:r>
              <w:rPr>
                <w:b w:val="false"/>
                <w:bCs w:val="false"/>
                <w:sz w:val="16"/>
                <w:szCs w:val="16"/>
              </w:rPr>
              <w:t xml:space="preserve">889 GWh/yr per capita; 1,896 GWh/yr per m²; composite factor 1,250 GWh/yr against an EMSD-based 1,222 GWh/yr</w:t>
            </w:r>
          </w:p>
        </w:tc>
      </w:tr>
    </w:tbl>
    <w:p>
      <w:pPr>
        <w:pStyle w:val="Heading2"/>
      </w:pPr>
      <w:r>
        <w:rPr>
          <w:b w:val="false"/>
          <w:bCs w:val="false"/>
        </w:rPr>
        <w:t xml:space="preserve">Executive summary in the EE-EAes (V.2) structure</w:t>
      </w:r>
    </w:p>
    <w:p>
      <w:pPr>
        <w:spacing w:after="120" w:before="0" w:line="276"/>
        <w:jc w:val="both"/>
      </w:pPr>
      <w:r>
        <w:rPr>
          <w:b w:val="false"/>
          <w:bCs w:val="false"/>
        </w:rPr>
        <w:t xml:space="preserve">EE-EAes is written for commercial buildings audited under Cap. 610. Only the sections that describe a household are completed here and in the submitted form. Items about central building services installations (CBSI) and lifts and escalators cannot exist inside a household boundary, so they are marked N/A, as the form instructs (see the last table in this group). The values come from the calculation workbook and were entered into the official macro-enabled form, whose macros and tick-boxes are preserved.</w:t>
      </w:r>
    </w:p>
    <w:p>
      <w:pPr>
        <w:keepNext/>
        <w:spacing w:after="80" w:before="160"/>
      </w:pPr>
      <w:r>
        <w:rPr>
          <w:b/>
          <w:bCs/>
          <w:color w:val="1F3864"/>
          <w:sz w:val="18"/>
          <w:szCs w:val="18"/>
        </w:rPr>
        <w:t xml:space="preserve">Table ES.2: EE-EAes Part 1(A) - Administrative information (EAC §8.1(m))</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3800"/>
        <w:gridCol w:w="2712"/>
      </w:tblGrid>
      <w:tr>
        <w:trPr>
          <w:tblHeader/>
        </w:trPr>
        <w:tc>
          <w:tcPr>
            <w:tcW w:type="dxa" w:w="29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Form item</w:t>
            </w:r>
          </w:p>
        </w:tc>
        <w:tc>
          <w:tcPr>
            <w:tcW w:type="dxa" w:w="38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Entry</w:t>
            </w:r>
          </w:p>
        </w:tc>
        <w:tc>
          <w:tcPr>
            <w:tcW w:type="dxa" w:w="27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Note</w:t>
            </w:r>
          </w:p>
        </w:tc>
      </w:tr>
      <w:tr>
        <w:trPr>
          <w:cantSplit/>
        </w:trPr>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Name of building</w:t>
            </w:r>
          </w:p>
        </w:tc>
        <w:tc>
          <w:tcPr>
            <w:tcW w:type="dxa" w:w="3800"/>
            <w:tcMar>
              <w:top w:type="dxa" w:w="50"/>
              <w:left w:type="dxa" w:w="90"/>
              <w:bottom w:type="dxa" w:w="50"/>
              <w:right w:type="dxa" w:w="90"/>
            </w:tcMar>
            <w:vAlign w:val="center"/>
          </w:tcPr>
          <w:p>
            <w:pPr>
              <w:spacing w:after="0" w:line="240"/>
              <w:jc w:val="left"/>
            </w:pPr>
            <w:r>
              <w:rPr>
                <w:b w:val="false"/>
                <w:bCs w:val="false"/>
                <w:sz w:val="16"/>
                <w:szCs w:val="16"/>
              </w:rPr>
              <w:t xml:space="preserve">Room 1003B, 10/F, Hall 13, CityU Lee Shau Kee Student Residence Village (household energy audit)</w:t>
            </w:r>
          </w:p>
        </w:tc>
        <w:tc>
          <w:tcPr>
            <w:tcW w:type="dxa" w:w="2712"/>
            <w:tcMar>
              <w:top w:type="dxa" w:w="50"/>
              <w:left w:type="dxa" w:w="90"/>
              <w:bottom w:type="dxa" w:w="50"/>
              <w:right w:type="dxa" w:w="90"/>
            </w:tcMar>
            <w:vAlign w:val="center"/>
          </w:tcPr>
          <w:p>
            <w:pPr>
              <w:spacing w:after="0" w:line="240"/>
              <w:jc w:val="left"/>
            </w:pPr>
            <w:r>
              <w:rPr>
                <w:b w:val="false"/>
                <w:bCs w:val="false"/>
                <w:sz w:val="16"/>
                <w:szCs w:val="16"/>
              </w:rPr>
              <w:t xml:space="preserve">Audited unit = the household's room</w:t>
            </w:r>
          </w:p>
        </w:tc>
      </w:tr>
      <w:tr>
        <w:trPr>
          <w:cantSplit/>
        </w:trPr>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Address of building</w:t>
            </w:r>
          </w:p>
        </w:tc>
        <w:tc>
          <w:tcPr>
            <w:tcW w:type="dxa" w:w="3800"/>
            <w:tcMar>
              <w:top w:type="dxa" w:w="50"/>
              <w:left w:type="dxa" w:w="90"/>
              <w:bottom w:type="dxa" w:w="50"/>
              <w:right w:type="dxa" w:w="90"/>
            </w:tcMar>
            <w:vAlign w:val="center"/>
          </w:tcPr>
          <w:p>
            <w:pPr>
              <w:spacing w:after="0" w:line="240"/>
              <w:jc w:val="left"/>
            </w:pPr>
            <w:r>
              <w:rPr>
                <w:b w:val="false"/>
                <w:bCs w:val="false"/>
                <w:sz w:val="16"/>
                <w:szCs w:val="16"/>
              </w:rPr>
              <w:t xml:space="preserve">Lee Shau Kee Student Residence Village, Ma On Shan, Sha Tin District, New Territories</w:t>
            </w:r>
          </w:p>
        </w:tc>
        <w:tc>
          <w:tcPr>
            <w:tcW w:type="dxa" w:w="2712"/>
            <w:tcMar>
              <w:top w:type="dxa" w:w="50"/>
              <w:left w:type="dxa" w:w="90"/>
              <w:bottom w:type="dxa" w:w="50"/>
              <w:right w:type="dxa" w:w="90"/>
            </w:tcMar>
            <w:vAlign w:val="center"/>
          </w:tcPr>
          <w:p>
            <w:pPr>
              <w:spacing w:after="0" w:line="240"/>
              <w:jc w:val="left"/>
            </w:pPr>
            <w:r>
              <w:rPr>
                <w:b w:val="false"/>
                <w:bCs w:val="false"/>
                <w:sz w:val="16"/>
                <w:szCs w:val="16"/>
              </w:rPr>
              <w:t xml:space="preserve">CityU hall</w:t>
            </w:r>
          </w:p>
        </w:tc>
      </w:tr>
      <w:tr>
        <w:trPr>
          <w:cantSplit/>
        </w:trPr>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1) Date of commencement</w:t>
            </w:r>
          </w:p>
        </w:tc>
        <w:tc>
          <w:tcPr>
            <w:tcW w:type="dxa" w:w="3800"/>
            <w:tcMar>
              <w:top w:type="dxa" w:w="50"/>
              <w:left w:type="dxa" w:w="90"/>
              <w:bottom w:type="dxa" w:w="50"/>
              <w:right w:type="dxa" w:w="90"/>
            </w:tcMar>
            <w:vAlign w:val="center"/>
          </w:tcPr>
          <w:p>
            <w:pPr>
              <w:spacing w:after="0" w:line="240"/>
              <w:jc w:val="left"/>
            </w:pPr>
            <w:r>
              <w:rPr>
                <w:b w:val="false"/>
                <w:bCs w:val="false"/>
                <w:sz w:val="16"/>
                <w:szCs w:val="16"/>
              </w:rPr>
              <w:t xml:space="preserve">01/01/2026</w:t>
            </w:r>
          </w:p>
        </w:tc>
        <w:tc>
          <w:tcPr>
            <w:tcW w:type="dxa" w:w="2712"/>
            <w:tcMar>
              <w:top w:type="dxa" w:w="50"/>
              <w:left w:type="dxa" w:w="90"/>
              <w:bottom w:type="dxa" w:w="50"/>
              <w:right w:type="dxa" w:w="90"/>
            </w:tcMar>
            <w:vAlign w:val="center"/>
          </w:tcPr>
          <w:p>
            <w:pPr>
              <w:spacing w:after="0" w:line="240"/>
              <w:jc w:val="left"/>
            </w:pPr>
            <w:r>
              <w:rPr>
                <w:b w:val="false"/>
                <w:bCs w:val="false"/>
                <w:sz w:val="16"/>
                <w:szCs w:val="16"/>
              </w:rPr>
              <w:t xml:space="preserve">Occupation and data collection began</w:t>
            </w:r>
          </w:p>
        </w:tc>
      </w:tr>
      <w:tr>
        <w:trPr>
          <w:cantSplit/>
        </w:trPr>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2) Date of completion</w:t>
            </w:r>
          </w:p>
        </w:tc>
        <w:tc>
          <w:tcPr>
            <w:tcW w:type="dxa" w:w="3800"/>
            <w:tcMar>
              <w:top w:type="dxa" w:w="50"/>
              <w:left w:type="dxa" w:w="90"/>
              <w:bottom w:type="dxa" w:w="50"/>
              <w:right w:type="dxa" w:w="90"/>
            </w:tcMar>
            <w:vAlign w:val="center"/>
          </w:tcPr>
          <w:p>
            <w:pPr>
              <w:spacing w:after="0" w:line="240"/>
              <w:jc w:val="left"/>
            </w:pPr>
            <w:r>
              <w:rPr>
                <w:b w:val="false"/>
                <w:bCs w:val="false"/>
                <w:sz w:val="16"/>
                <w:szCs w:val="16"/>
              </w:rPr>
              <w:t xml:space="preserve">11/10/2026</w:t>
            </w:r>
          </w:p>
        </w:tc>
        <w:tc>
          <w:tcPr>
            <w:tcW w:type="dxa" w:w="2712"/>
            <w:tcMar>
              <w:top w:type="dxa" w:w="50"/>
              <w:left w:type="dxa" w:w="90"/>
              <w:bottom w:type="dxa" w:w="50"/>
              <w:right w:type="dxa" w:w="90"/>
            </w:tcMar>
            <w:vAlign w:val="center"/>
          </w:tcPr>
          <w:p>
            <w:pPr>
              <w:spacing w:after="0" w:line="240"/>
              <w:jc w:val="left"/>
            </w:pPr>
            <w:r>
              <w:rPr>
                <w:b w:val="false"/>
                <w:bCs w:val="false"/>
                <w:sz w:val="16"/>
                <w:szCs w:val="16"/>
              </w:rPr>
              <w:t xml:space="preserve">Within 6 months of the reference month</w:t>
            </w:r>
          </w:p>
        </w:tc>
      </w:tr>
      <w:tr>
        <w:trPr>
          <w:cantSplit/>
        </w:trPr>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3) Energy Audit Form validity</w:t>
            </w:r>
          </w:p>
        </w:tc>
        <w:tc>
          <w:tcPr>
            <w:tcW w:type="dxa" w:w="3800"/>
            <w:tcMar>
              <w:top w:type="dxa" w:w="50"/>
              <w:left w:type="dxa" w:w="90"/>
              <w:bottom w:type="dxa" w:w="50"/>
              <w:right w:type="dxa" w:w="90"/>
            </w:tcMar>
            <w:vAlign w:val="center"/>
          </w:tcPr>
          <w:p>
            <w:pPr>
              <w:spacing w:after="0" w:line="240"/>
              <w:jc w:val="left"/>
            </w:pPr>
            <w:r>
              <w:rPr>
                <w:b w:val="false"/>
                <w:bCs w:val="false"/>
                <w:sz w:val="16"/>
                <w:szCs w:val="16"/>
              </w:rPr>
              <w:t xml:space="preserve">N/A</w:t>
            </w:r>
          </w:p>
        </w:tc>
        <w:tc>
          <w:tcPr>
            <w:tcW w:type="dxa" w:w="2712"/>
            <w:tcMar>
              <w:top w:type="dxa" w:w="50"/>
              <w:left w:type="dxa" w:w="90"/>
              <w:bottom w:type="dxa" w:w="50"/>
              <w:right w:type="dxa" w:w="90"/>
            </w:tcMar>
            <w:vAlign w:val="center"/>
          </w:tcPr>
          <w:p>
            <w:pPr>
              <w:spacing w:after="0" w:line="240"/>
              <w:jc w:val="left"/>
            </w:pPr>
            <w:r>
              <w:rPr>
                <w:b w:val="false"/>
                <w:bCs w:val="false"/>
                <w:sz w:val="16"/>
                <w:szCs w:val="16"/>
              </w:rPr>
              <w:t xml:space="preserve">Voluntary audit; no form issued under Cap. 610</w:t>
            </w:r>
          </w:p>
        </w:tc>
      </w:tr>
      <w:tr>
        <w:trPr>
          <w:cantSplit/>
        </w:trPr>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4) Energy Audit Report reference</w:t>
            </w:r>
          </w:p>
        </w:tc>
        <w:tc>
          <w:tcPr>
            <w:tcW w:type="dxa" w:w="3800"/>
            <w:tcMar>
              <w:top w:type="dxa" w:w="50"/>
              <w:left w:type="dxa" w:w="90"/>
              <w:bottom w:type="dxa" w:w="50"/>
              <w:right w:type="dxa" w:w="90"/>
            </w:tcMar>
            <w:vAlign w:val="center"/>
          </w:tcPr>
          <w:p>
            <w:pPr>
              <w:spacing w:after="0" w:line="240"/>
              <w:jc w:val="left"/>
            </w:pPr>
            <w:r>
              <w:rPr>
                <w:b w:val="false"/>
                <w:bCs w:val="false"/>
                <w:sz w:val="16"/>
                <w:szCs w:val="16"/>
              </w:rPr>
              <w:t xml:space="preserve">SEE8115-HEA-2026-01</w:t>
            </w:r>
          </w:p>
        </w:tc>
        <w:tc>
          <w:tcPr>
            <w:tcW w:type="dxa" w:w="2712"/>
            <w:tcMar>
              <w:top w:type="dxa" w:w="50"/>
              <w:left w:type="dxa" w:w="90"/>
              <w:bottom w:type="dxa" w:w="50"/>
              <w:right w:type="dxa" w:w="90"/>
            </w:tcMar>
            <w:vAlign w:val="center"/>
          </w:tcPr>
          <w:p>
            <w:pPr>
              <w:spacing w:after="0" w:line="240"/>
              <w:jc w:val="left"/>
            </w:pPr>
          </w:p>
        </w:tc>
      </w:tr>
      <w:tr>
        <w:trPr>
          <w:cantSplit/>
        </w:trPr>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5) Energy imported from / exported to other buildings?</w:t>
            </w:r>
          </w:p>
        </w:tc>
        <w:tc>
          <w:tcPr>
            <w:tcW w:type="dxa" w:w="3800"/>
            <w:tcMar>
              <w:top w:type="dxa" w:w="50"/>
              <w:left w:type="dxa" w:w="90"/>
              <w:bottom w:type="dxa" w:w="50"/>
              <w:right w:type="dxa" w:w="90"/>
            </w:tcMar>
            <w:vAlign w:val="center"/>
          </w:tcPr>
          <w:p>
            <w:pPr>
              <w:spacing w:after="0" w:line="240"/>
              <w:jc w:val="left"/>
            </w:pPr>
            <w:r>
              <w:rPr>
                <w:b w:val="false"/>
                <w:bCs w:val="false"/>
                <w:sz w:val="16"/>
                <w:szCs w:val="16"/>
              </w:rPr>
              <w:t xml:space="preserve">No (ticked)</w:t>
            </w:r>
          </w:p>
        </w:tc>
        <w:tc>
          <w:tcPr>
            <w:tcW w:type="dxa" w:w="2712"/>
            <w:tcMar>
              <w:top w:type="dxa" w:w="50"/>
              <w:left w:type="dxa" w:w="90"/>
              <w:bottom w:type="dxa" w:w="50"/>
              <w:right w:type="dxa" w:w="90"/>
            </w:tcMar>
            <w:vAlign w:val="center"/>
          </w:tcPr>
          <w:p>
            <w:pPr>
              <w:spacing w:after="0" w:line="240"/>
              <w:jc w:val="left"/>
            </w:pPr>
            <w:r>
              <w:rPr>
                <w:b w:val="false"/>
                <w:bCs w:val="false"/>
                <w:sz w:val="16"/>
                <w:szCs w:val="16"/>
              </w:rPr>
              <w:t xml:space="preserve">Supplied from the hall's CLP supply</w:t>
            </w:r>
          </w:p>
        </w:tc>
      </w:tr>
    </w:tbl>
    <w:p>
      <w:pPr>
        <w:keepNext/>
        <w:spacing w:after="80" w:before="160"/>
      </w:pPr>
      <w:r>
        <w:rPr>
          <w:b/>
          <w:bCs/>
          <w:color w:val="1F3864"/>
          <w:sz w:val="18"/>
          <w:szCs w:val="18"/>
        </w:rPr>
        <w:t xml:space="preserve">Table ES.3: EE-EAes Part 1(B)(I) - Building type, usage and operation (EAC §8.1(b))</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3100"/>
        <w:gridCol w:w="3312"/>
      </w:tblGrid>
      <w:tr>
        <w:trPr>
          <w:tblHeader/>
        </w:trPr>
        <w:tc>
          <w:tcPr>
            <w:tcW w:type="dxa" w:w="30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Form item</w:t>
            </w:r>
          </w:p>
        </w:tc>
        <w:tc>
          <w:tcPr>
            <w:tcW w:type="dxa" w:w="31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Entry</w:t>
            </w:r>
          </w:p>
        </w:tc>
        <w:tc>
          <w:tcPr>
            <w:tcW w:type="dxa" w:w="33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Relevance</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1)(a) Type of building</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Not ticked</w:t>
            </w:r>
          </w:p>
        </w:tc>
        <w:tc>
          <w:tcPr>
            <w:tcW w:type="dxa" w:w="3312"/>
            <w:tcMar>
              <w:top w:type="dxa" w:w="50"/>
              <w:left w:type="dxa" w:w="90"/>
              <w:bottom w:type="dxa" w:w="50"/>
              <w:right w:type="dxa" w:w="90"/>
            </w:tcMar>
            <w:vAlign w:val="center"/>
          </w:tcPr>
          <w:p>
            <w:pPr>
              <w:spacing w:after="0" w:line="240"/>
              <w:jc w:val="left"/>
            </w:pPr>
            <w:r>
              <w:rPr>
                <w:b w:val="false"/>
                <w:bCs w:val="false"/>
                <w:sz w:val="16"/>
                <w:szCs w:val="16"/>
              </w:rPr>
              <w:t xml:space="preserve">The form offers only commercial types; the audited unit is a residential student-hostel room</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1)(b) Portion of building entity that is common area</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0%</w:t>
            </w:r>
          </w:p>
        </w:tc>
        <w:tc>
          <w:tcPr>
            <w:tcW w:type="dxa" w:w="3312"/>
            <w:tcMar>
              <w:top w:type="dxa" w:w="50"/>
              <w:left w:type="dxa" w:w="90"/>
              <w:bottom w:type="dxa" w:w="50"/>
              <w:right w:type="dxa" w:w="90"/>
            </w:tcMar>
            <w:vAlign w:val="center"/>
          </w:tcPr>
          <w:p>
            <w:pPr>
              <w:spacing w:after="0" w:line="240"/>
              <w:jc w:val="left"/>
            </w:pPr>
            <w:r>
              <w:rPr>
                <w:b w:val="false"/>
                <w:bCs w:val="false"/>
                <w:sz w:val="16"/>
                <w:szCs w:val="16"/>
              </w:rPr>
              <w:t xml:space="preserve">Shared washroom and kitchen are allocated by user (Section 3)</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1)(c) No. of blocks</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1</w:t>
            </w:r>
          </w:p>
        </w:tc>
        <w:tc>
          <w:tcPr>
            <w:tcW w:type="dxa" w:w="3312"/>
            <w:tcMar>
              <w:top w:type="dxa" w:w="50"/>
              <w:left w:type="dxa" w:w="90"/>
              <w:bottom w:type="dxa" w:w="50"/>
              <w:right w:type="dxa" w:w="90"/>
            </w:tcMar>
            <w:vAlign w:val="center"/>
          </w:tcPr>
          <w:p>
            <w:pPr>
              <w:spacing w:after="0" w:line="240"/>
              <w:jc w:val="left"/>
            </w:pP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2) Total internal floor area</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15.0 m²</w:t>
            </w:r>
          </w:p>
        </w:tc>
        <w:tc>
          <w:tcPr>
            <w:tcW w:type="dxa" w:w="3312"/>
            <w:tcMar>
              <w:top w:type="dxa" w:w="50"/>
              <w:left w:type="dxa" w:w="90"/>
              <w:bottom w:type="dxa" w:w="50"/>
              <w:right w:type="dxa" w:w="90"/>
            </w:tcMar>
            <w:vAlign w:val="center"/>
          </w:tcPr>
          <w:p>
            <w:pPr>
              <w:spacing w:after="0" w:line="240"/>
              <w:jc w:val="left"/>
            </w:pPr>
            <w:r>
              <w:rPr>
                <w:b w:val="false"/>
                <w:bCs w:val="false"/>
                <w:sz w:val="16"/>
                <w:szCs w:val="16"/>
              </w:rPr>
              <w:t xml:space="preserve">Room 1003B</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3) No. of floors</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1 (on 10/F)</w:t>
            </w:r>
          </w:p>
        </w:tc>
        <w:tc>
          <w:tcPr>
            <w:tcW w:type="dxa" w:w="3312"/>
            <w:tcMar>
              <w:top w:type="dxa" w:w="50"/>
              <w:left w:type="dxa" w:w="90"/>
              <w:bottom w:type="dxa" w:w="50"/>
              <w:right w:type="dxa" w:w="90"/>
            </w:tcMar>
            <w:vAlign w:val="center"/>
          </w:tcPr>
          <w:p>
            <w:pPr>
              <w:spacing w:after="0" w:line="240"/>
              <w:jc w:val="left"/>
            </w:pP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4) Major type of facade</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Non-curtain wall (ticked)</w:t>
            </w:r>
          </w:p>
        </w:tc>
        <w:tc>
          <w:tcPr>
            <w:tcW w:type="dxa" w:w="3312"/>
            <w:tcMar>
              <w:top w:type="dxa" w:w="50"/>
              <w:left w:type="dxa" w:w="90"/>
              <w:bottom w:type="dxa" w:w="50"/>
              <w:right w:type="dxa" w:w="90"/>
            </w:tcMar>
            <w:vAlign w:val="center"/>
          </w:tcPr>
          <w:p>
            <w:pPr>
              <w:spacing w:after="0" w:line="240"/>
              <w:jc w:val="left"/>
            </w:pPr>
            <w:r>
              <w:rPr>
                <w:b w:val="false"/>
                <w:bCs w:val="false"/>
                <w:sz w:val="16"/>
                <w:szCs w:val="16"/>
              </w:rPr>
              <w:t xml:space="preserve">MiC concrete modules with aluminium windows</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5) Date of occupation approval</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Q3 2024 (residence opened)</w:t>
            </w:r>
          </w:p>
        </w:tc>
        <w:tc>
          <w:tcPr>
            <w:tcW w:type="dxa" w:w="3312"/>
            <w:tcMar>
              <w:top w:type="dxa" w:w="50"/>
              <w:left w:type="dxa" w:w="90"/>
              <w:bottom w:type="dxa" w:w="50"/>
              <w:right w:type="dxa" w:w="90"/>
            </w:tcMar>
            <w:vAlign w:val="center"/>
          </w:tcPr>
          <w:p>
            <w:pPr>
              <w:spacing w:after="0" w:line="240"/>
              <w:jc w:val="left"/>
            </w:pPr>
            <w:r>
              <w:rPr>
                <w:b w:val="false"/>
                <w:bCs w:val="false"/>
                <w:sz w:val="16"/>
                <w:szCs w:val="16"/>
              </w:rPr>
              <w:t xml:space="preserve">Exact date not published</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6) Type of central air-conditioning</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Not applicable (ticked)</w:t>
            </w:r>
          </w:p>
        </w:tc>
        <w:tc>
          <w:tcPr>
            <w:tcW w:type="dxa" w:w="3312"/>
            <w:tcMar>
              <w:top w:type="dxa" w:w="50"/>
              <w:left w:type="dxa" w:w="90"/>
              <w:bottom w:type="dxa" w:w="50"/>
              <w:right w:type="dxa" w:w="90"/>
            </w:tcMar>
            <w:vAlign w:val="center"/>
          </w:tcPr>
          <w:p>
            <w:pPr>
              <w:spacing w:after="0" w:line="240"/>
              <w:jc w:val="left"/>
            </w:pPr>
            <w:r>
              <w:rPr>
                <w:b w:val="false"/>
                <w:bCs w:val="false"/>
                <w:sz w:val="16"/>
                <w:szCs w:val="16"/>
              </w:rPr>
              <w:t xml:space="preserve">Unitary window AC and kitchen split AC only</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7)-8) Operation of CBSI-served areas</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N/A</w:t>
            </w:r>
          </w:p>
        </w:tc>
        <w:tc>
          <w:tcPr>
            <w:tcW w:type="dxa" w:w="3312"/>
            <w:tcMar>
              <w:top w:type="dxa" w:w="50"/>
              <w:left w:type="dxa" w:w="90"/>
              <w:bottom w:type="dxa" w:w="50"/>
              <w:right w:type="dxa" w:w="90"/>
            </w:tcMar>
            <w:vAlign w:val="center"/>
          </w:tcPr>
          <w:p>
            <w:pPr>
              <w:spacing w:after="0" w:line="240"/>
              <w:jc w:val="left"/>
            </w:pPr>
            <w:r>
              <w:rPr>
                <w:b w:val="false"/>
                <w:bCs w:val="false"/>
                <w:sz w:val="16"/>
                <w:szCs w:val="16"/>
              </w:rPr>
              <w:t xml:space="preserve">No CBSI-served areas in a household</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6"/>
                <w:szCs w:val="16"/>
              </w:rPr>
              <w:t xml:space="preserve">For information: operation of the audited unit</w:t>
            </w:r>
          </w:p>
        </w:tc>
        <w:tc>
          <w:tcPr>
            <w:tcW w:type="dxa" w:w="3100"/>
            <w:tcMar>
              <w:top w:type="dxa" w:w="50"/>
              <w:left w:type="dxa" w:w="90"/>
              <w:bottom w:type="dxa" w:w="50"/>
              <w:right w:type="dxa" w:w="90"/>
            </w:tcMar>
            <w:vAlign w:val="center"/>
          </w:tcPr>
          <w:p>
            <w:pPr>
              <w:spacing w:after="0" w:line="240"/>
              <w:jc w:val="left"/>
            </w:pPr>
            <w:r>
              <w:rPr>
                <w:b w:val="false"/>
                <w:bCs w:val="false"/>
                <w:sz w:val="16"/>
                <w:szCs w:val="16"/>
              </w:rPr>
              <w:t xml:space="preserve">2 occupants; 103 occupied h/week; 7.5 m² per person</w:t>
            </w:r>
          </w:p>
        </w:tc>
        <w:tc>
          <w:tcPr>
            <w:tcW w:type="dxa" w:w="3312"/>
            <w:tcMar>
              <w:top w:type="dxa" w:w="50"/>
              <w:left w:type="dxa" w:w="90"/>
              <w:bottom w:type="dxa" w:w="50"/>
              <w:right w:type="dxa" w:w="90"/>
            </w:tcMar>
            <w:vAlign w:val="center"/>
          </w:tcPr>
          <w:p>
            <w:pPr>
              <w:spacing w:after="0" w:line="240"/>
              <w:jc w:val="left"/>
            </w:pPr>
            <w:r>
              <w:rPr>
                <w:b w:val="false"/>
                <w:bCs w:val="false"/>
                <w:sz w:val="16"/>
                <w:szCs w:val="16"/>
              </w:rPr>
              <w:t xml:space="preserve">EAC §8.1(b) occupant density and hours</w:t>
            </w:r>
          </w:p>
        </w:tc>
      </w:tr>
    </w:tbl>
    <w:p>
      <w:pPr>
        <w:keepNext/>
        <w:spacing w:after="80" w:before="160"/>
      </w:pPr>
      <w:r>
        <w:rPr>
          <w:b/>
          <w:bCs/>
          <w:color w:val="1F3864"/>
          <w:sz w:val="18"/>
          <w:szCs w:val="18"/>
        </w:rPr>
        <w:t xml:space="preserve">Table ES.4: EE-EAes Part 2 - Historical energy consumption analysis (EAC §8.1(g)-(h))</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300"/>
        <w:gridCol w:w="2100"/>
        <w:gridCol w:w="1100"/>
        <w:gridCol w:w="2912"/>
      </w:tblGrid>
      <w:tr>
        <w:trPr>
          <w:tblHeader/>
        </w:trPr>
        <w:tc>
          <w:tcPr>
            <w:tcW w:type="dxa" w:w="33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Form item</w:t>
            </w:r>
          </w:p>
        </w:tc>
        <w:tc>
          <w:tcPr>
            <w:tcW w:type="dxa" w:w="21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Past 1st 12-month</w:t>
            </w:r>
          </w:p>
        </w:tc>
        <w:tc>
          <w:tcPr>
            <w:tcW w:type="dxa" w:w="11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2nd / 3rd</w:t>
            </w:r>
          </w:p>
        </w:tc>
        <w:tc>
          <w:tcPr>
            <w:tcW w:type="dxa" w:w="29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Note</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1) Annual electricity (kWh/annum)</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1,219.6</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N/A</w:t>
            </w:r>
          </w:p>
        </w:tc>
        <w:tc>
          <w:tcPr>
            <w:tcW w:type="dxa" w:w="2912"/>
            <w:tcMar>
              <w:top w:type="dxa" w:w="50"/>
              <w:left w:type="dxa" w:w="90"/>
              <w:bottom w:type="dxa" w:w="50"/>
              <w:right w:type="dxa" w:w="90"/>
            </w:tcMar>
            <w:vAlign w:val="center"/>
          </w:tcPr>
          <w:p>
            <w:pPr>
              <w:spacing w:after="0" w:line="240"/>
              <w:jc w:val="left"/>
            </w:pPr>
            <w:r>
              <w:rPr>
                <w:b w:val="false"/>
                <w:bCs w:val="false"/>
                <w:sz w:val="16"/>
                <w:szCs w:val="16"/>
              </w:rPr>
              <w:t xml:space="preserve">Room 1003B; occupied from Jan 2026, so the 12 months to Sep 2026 are a typical year</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2) Other energy (MJ/annum)</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N/A</w:t>
            </w:r>
          </w:p>
        </w:tc>
        <w:tc>
          <w:tcPr>
            <w:tcW w:type="dxa" w:w="2912"/>
            <w:tcMar>
              <w:top w:type="dxa" w:w="50"/>
              <w:left w:type="dxa" w:w="90"/>
              <w:bottom w:type="dxa" w:w="50"/>
              <w:right w:type="dxa" w:w="90"/>
            </w:tcMar>
            <w:vAlign w:val="center"/>
          </w:tcPr>
          <w:p>
            <w:pPr>
              <w:spacing w:after="0" w:line="240"/>
              <w:jc w:val="left"/>
            </w:pPr>
            <w:r>
              <w:rPr>
                <w:b w:val="false"/>
                <w:bCs w:val="false"/>
                <w:sz w:val="16"/>
                <w:szCs w:val="16"/>
              </w:rPr>
              <w:t xml:space="preserve">No Towngas or LPG</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3) Annual total energy (MJ/annum)</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4,391</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N/A</w:t>
            </w:r>
          </w:p>
        </w:tc>
        <w:tc>
          <w:tcPr>
            <w:tcW w:type="dxa" w:w="2912"/>
            <w:tcMar>
              <w:top w:type="dxa" w:w="50"/>
              <w:left w:type="dxa" w:w="90"/>
              <w:bottom w:type="dxa" w:w="50"/>
              <w:right w:type="dxa" w:w="90"/>
            </w:tcMar>
            <w:vAlign w:val="center"/>
          </w:tcPr>
          <w:p>
            <w:pPr>
              <w:spacing w:after="0" w:line="240"/>
              <w:jc w:val="left"/>
            </w:pPr>
            <w:r>
              <w:rPr>
                <w:b w:val="false"/>
                <w:bCs w:val="false"/>
                <w:sz w:val="16"/>
                <w:szCs w:val="16"/>
              </w:rPr>
              <w:t xml:space="preserve">Form formula: 1) × 3.6 + 2)</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4) Annual EUI (MJ/m²/annum)</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292.7</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N/A</w:t>
            </w:r>
          </w:p>
        </w:tc>
        <w:tc>
          <w:tcPr>
            <w:tcW w:type="dxa" w:w="2912"/>
            <w:tcMar>
              <w:top w:type="dxa" w:w="50"/>
              <w:left w:type="dxa" w:w="90"/>
              <w:bottom w:type="dxa" w:w="50"/>
              <w:right w:type="dxa" w:w="90"/>
            </w:tcMar>
            <w:vAlign w:val="center"/>
          </w:tcPr>
          <w:p>
            <w:pPr>
              <w:spacing w:after="0" w:line="240"/>
              <w:jc w:val="left"/>
            </w:pPr>
            <w:r>
              <w:rPr>
                <w:b w:val="false"/>
                <w:bCs w:val="false"/>
                <w:sz w:val="16"/>
                <w:szCs w:val="16"/>
              </w:rPr>
              <w:t xml:space="preserve">= 81.3 kWh/m²/annum</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6) Breakdown (MJ/annum): AC / lighting / lift &amp; escalator / others</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3,234 / 420 / N/A / 736</w:t>
            </w:r>
          </w:p>
        </w:tc>
        <w:tc>
          <w:tcPr>
            <w:tcW w:type="dxa" w:w="1100"/>
            <w:tcMar>
              <w:top w:type="dxa" w:w="50"/>
              <w:left w:type="dxa" w:w="90"/>
              <w:bottom w:type="dxa" w:w="50"/>
              <w:right w:type="dxa" w:w="90"/>
            </w:tcMar>
            <w:vAlign w:val="center"/>
          </w:tcPr>
          <w:p>
            <w:pPr>
              <w:spacing w:after="0" w:line="240"/>
              <w:jc w:val="left"/>
            </w:pPr>
          </w:p>
        </w:tc>
        <w:tc>
          <w:tcPr>
            <w:tcW w:type="dxa" w:w="2912"/>
            <w:tcMar>
              <w:top w:type="dxa" w:w="50"/>
              <w:left w:type="dxa" w:w="90"/>
              <w:bottom w:type="dxa" w:w="50"/>
              <w:right w:type="dxa" w:w="90"/>
            </w:tcMar>
            <w:vAlign w:val="center"/>
          </w:tcPr>
          <w:p>
            <w:pPr>
              <w:spacing w:after="0" w:line="240"/>
              <w:jc w:val="left"/>
            </w:pPr>
            <w:r>
              <w:rPr>
                <w:b w:val="false"/>
                <w:bCs w:val="false"/>
                <w:sz w:val="16"/>
                <w:szCs w:val="16"/>
              </w:rPr>
              <w:t xml:space="preserve">Lift &amp; escalator not relevant to a household</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7) Energy supply from CBSI (%)</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N/A</w:t>
            </w:r>
          </w:p>
        </w:tc>
        <w:tc>
          <w:tcPr>
            <w:tcW w:type="dxa" w:w="1100"/>
            <w:tcMar>
              <w:top w:type="dxa" w:w="50"/>
              <w:left w:type="dxa" w:w="90"/>
              <w:bottom w:type="dxa" w:w="50"/>
              <w:right w:type="dxa" w:w="90"/>
            </w:tcMar>
            <w:vAlign w:val="center"/>
          </w:tcPr>
          <w:p>
            <w:pPr>
              <w:spacing w:after="0" w:line="240"/>
              <w:jc w:val="left"/>
            </w:pPr>
          </w:p>
        </w:tc>
        <w:tc>
          <w:tcPr>
            <w:tcW w:type="dxa" w:w="2912"/>
            <w:tcMar>
              <w:top w:type="dxa" w:w="50"/>
              <w:left w:type="dxa" w:w="90"/>
              <w:bottom w:type="dxa" w:w="50"/>
              <w:right w:type="dxa" w:w="90"/>
            </w:tcMar>
            <w:vAlign w:val="center"/>
          </w:tcPr>
          <w:p>
            <w:pPr>
              <w:spacing w:after="0" w:line="240"/>
              <w:jc w:val="left"/>
            </w:pPr>
            <w:r>
              <w:rPr>
                <w:b w:val="false"/>
                <w:bCs w:val="false"/>
                <w:sz w:val="16"/>
                <w:szCs w:val="16"/>
              </w:rPr>
              <w:t xml:space="preserve">No CBSI; the share used in shared hall facilities (52.8%) is reported instead (Section 6.8)</w:t>
            </w:r>
          </w:p>
        </w:tc>
      </w:tr>
      <w:tr>
        <w:trPr>
          <w:cantSplit/>
        </w:trPr>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8) Energy bill reference month</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30/09/2026</w:t>
            </w:r>
          </w:p>
        </w:tc>
        <w:tc>
          <w:tcPr>
            <w:tcW w:type="dxa" w:w="1100"/>
            <w:tcMar>
              <w:top w:type="dxa" w:w="50"/>
              <w:left w:type="dxa" w:w="90"/>
              <w:bottom w:type="dxa" w:w="50"/>
              <w:right w:type="dxa" w:w="90"/>
            </w:tcMar>
            <w:vAlign w:val="center"/>
          </w:tcPr>
          <w:p>
            <w:pPr>
              <w:spacing w:after="0" w:line="240"/>
              <w:jc w:val="left"/>
            </w:pPr>
          </w:p>
        </w:tc>
        <w:tc>
          <w:tcPr>
            <w:tcW w:type="dxa" w:w="2912"/>
            <w:tcMar>
              <w:top w:type="dxa" w:w="50"/>
              <w:left w:type="dxa" w:w="90"/>
              <w:bottom w:type="dxa" w:w="50"/>
              <w:right w:type="dxa" w:w="90"/>
            </w:tcMar>
            <w:vAlign w:val="center"/>
          </w:tcPr>
          <w:p>
            <w:pPr>
              <w:spacing w:after="0" w:line="240"/>
              <w:jc w:val="left"/>
            </w:pPr>
            <w:r>
              <w:rPr>
                <w:b w:val="false"/>
                <w:bCs w:val="false"/>
                <w:sz w:val="16"/>
                <w:szCs w:val="16"/>
              </w:rPr>
              <w:t xml:space="preserve">September 2026 (Octopus pre-paid AC; no utility bill)</w:t>
            </w:r>
          </w:p>
        </w:tc>
      </w:tr>
    </w:tbl>
    <w:p>
      <w:pPr>
        <w:keepNext/>
        <w:spacing w:after="80" w:before="160"/>
      </w:pPr>
      <w:r>
        <w:rPr>
          <w:b/>
          <w:bCs/>
          <w:color w:val="1F3864"/>
          <w:sz w:val="18"/>
          <w:szCs w:val="18"/>
        </w:rPr>
        <w:t xml:space="preserve">Table ES.5: EE-EAes Part 2 item 5 - Monthly EUI of the past 1st 12-month period (MJ/m²/month)</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788"/>
        <w:gridCol w:w="784"/>
        <w:gridCol w:w="784"/>
        <w:gridCol w:w="784"/>
        <w:gridCol w:w="784"/>
        <w:gridCol w:w="784"/>
        <w:gridCol w:w="784"/>
        <w:gridCol w:w="784"/>
        <w:gridCol w:w="784"/>
        <w:gridCol w:w="784"/>
        <w:gridCol w:w="784"/>
        <w:gridCol w:w="784"/>
      </w:tblGrid>
      <w:tr>
        <w:trPr>
          <w:tblHeader/>
        </w:trPr>
        <w:tc>
          <w:tcPr>
            <w:tcW w:type="dxa" w:w="788"/>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1: Oct</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2: Nov</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3: Dec</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4: Jan</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5: Feb</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6: Mar</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7: Apr</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8: May</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9: Jun</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10: Jul</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11: Aug</w:t>
            </w:r>
          </w:p>
        </w:tc>
        <w:tc>
          <w:tcPr>
            <w:tcW w:type="dxa" w:w="784"/>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12: Sep</w:t>
            </w:r>
          </w:p>
        </w:tc>
      </w:tr>
      <w:tr>
        <w:trPr>
          <w:cantSplit/>
        </w:trPr>
        <w:tc>
          <w:tcPr>
            <w:tcW w:type="dxa" w:w="788"/>
            <w:tcMar>
              <w:top w:type="dxa" w:w="50"/>
              <w:left w:type="dxa" w:w="90"/>
              <w:bottom w:type="dxa" w:w="50"/>
              <w:right w:type="dxa" w:w="90"/>
            </w:tcMar>
            <w:vAlign w:val="center"/>
          </w:tcPr>
          <w:p>
            <w:pPr>
              <w:spacing w:after="0" w:line="240"/>
              <w:jc w:val="center"/>
            </w:pPr>
            <w:r>
              <w:rPr>
                <w:b w:val="false"/>
                <w:bCs w:val="false"/>
                <w:sz w:val="14"/>
                <w:szCs w:val="14"/>
              </w:rPr>
              <w:t xml:space="preserve">32.23</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16.60</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16.87</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16.87</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16.06</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16.87</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16.60</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32.23</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31.96</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32.23</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32.23</w:t>
            </w:r>
          </w:p>
        </w:tc>
        <w:tc>
          <w:tcPr>
            <w:tcW w:type="dxa" w:w="784"/>
            <w:tcMar>
              <w:top w:type="dxa" w:w="50"/>
              <w:left w:type="dxa" w:w="90"/>
              <w:bottom w:type="dxa" w:w="50"/>
              <w:right w:type="dxa" w:w="90"/>
            </w:tcMar>
            <w:vAlign w:val="center"/>
          </w:tcPr>
          <w:p>
            <w:pPr>
              <w:spacing w:after="0" w:line="240"/>
              <w:jc w:val="center"/>
            </w:pPr>
            <w:r>
              <w:rPr>
                <w:b w:val="false"/>
                <w:bCs w:val="false"/>
                <w:sz w:val="14"/>
                <w:szCs w:val="14"/>
              </w:rPr>
              <w:t xml:space="preserve">31.96</w:t>
            </w:r>
          </w:p>
        </w:tc>
      </w:tr>
    </w:tbl>
    <w:p>
      <w:pPr>
        <w:keepNext/>
        <w:spacing w:after="80" w:before="160"/>
      </w:pPr>
      <w:r>
        <w:rPr>
          <w:b/>
          <w:bCs/>
          <w:color w:val="1F3864"/>
          <w:sz w:val="18"/>
          <w:szCs w:val="18"/>
        </w:rPr>
        <w:t xml:space="preserve">Table ES.6: EE-EAes Part 3 - Energy Management Opportunities entered in the form (EAC §8.1(l)(i))</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600"/>
        <w:gridCol w:w="800"/>
        <w:gridCol w:w="500"/>
        <w:gridCol w:w="700"/>
        <w:gridCol w:w="4412"/>
        <w:gridCol w:w="1100"/>
        <w:gridCol w:w="1300"/>
      </w:tblGrid>
      <w:tr>
        <w:trPr>
          <w:tblHeader/>
        </w:trPr>
        <w:tc>
          <w:tcPr>
            <w:tcW w:type="dxa" w:w="600"/>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Slot</w:t>
            </w:r>
          </w:p>
        </w:tc>
        <w:tc>
          <w:tcPr>
            <w:tcW w:type="dxa" w:w="8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Ref</w:t>
            </w:r>
          </w:p>
        </w:tc>
        <w:tc>
          <w:tcPr>
            <w:tcW w:type="dxa" w:w="500"/>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Cat.</w:t>
            </w:r>
          </w:p>
        </w:tc>
        <w:tc>
          <w:tcPr>
            <w:tcW w:type="dxa" w:w="700"/>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Type</w:t>
            </w:r>
          </w:p>
        </w:tc>
        <w:tc>
          <w:tcPr>
            <w:tcW w:type="dxa" w:w="4412"/>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Energy Management Opportunity</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kWh/yr saved*</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Payback</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A</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EMO-01</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Raise the AC set-point from 25 °C to 26 °C and keep the 20 W desk fan running for air movement</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24</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B</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EMO-02</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Use the AC's built-in timer to switch off 2 h before waking in hot months (12 to 10 h/day)</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100</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C</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EMO-04</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Cool-season 'fan first': no AC cooling in December-February (HKO mean 16.5-18.2 °C); use the desk fan and open window, Dry mode only on humid days</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107</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D</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EMO-05</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LG</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Use the desk task lights instead of both ceiling battens for 3 of the 6 lit hours</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44</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E</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EMO-06</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Shorten showers from 5 to 4 minutes (phone timer or a 4-minute song)</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127</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F</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EMO-08</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EL</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Laptop power management: lower brightness, sleep after 10 min idle, battery-saver mode</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28</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G</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EMO-10</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Air-dry laundry on a rack by the open window instead of tumble-drying (keep the dryer for bulky items in humid spells)</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50</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H</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EMO-11</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Washroom exhaust fan: replace 24 h running with an occupancy / humidistat run-on control (~8 h/day)</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175</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3.2 yr</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EMO-12</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Kitchen AC: 7-day timer + occupancy interlock, set-point locked at 25.5 °C (8 to 5 h/day hot, 4 to 2 h/day cool)</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524</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1.4 yr</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J</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EMO-14</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Fit a WELS Grade-1 low-flow showerhead (9 to 7 L/min) in the shared washroom</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282</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0.6 yr</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K</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EMO-18</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Replace 24.4 kW instantaneous shower heaters with central air-source heat-pump water heating (COP about 3.5) and storage</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910</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15.6 yr</w:t>
            </w:r>
          </w:p>
        </w:tc>
      </w:tr>
      <w:tr>
        <w:trPr>
          <w:cantSplit/>
        </w:trPr>
        <w:tc>
          <w:tcPr>
            <w:tcW w:type="dxa" w:w="600"/>
            <w:tcMar>
              <w:top w:type="dxa" w:w="50"/>
              <w:left w:type="dxa" w:w="90"/>
              <w:bottom w:type="dxa" w:w="50"/>
              <w:right w:type="dxa" w:w="90"/>
            </w:tcMar>
            <w:vAlign w:val="center"/>
          </w:tcPr>
          <w:p>
            <w:pPr>
              <w:spacing w:after="0" w:line="240"/>
              <w:jc w:val="center"/>
            </w:pPr>
            <w:r>
              <w:rPr>
                <w:b w:val="false"/>
                <w:bCs w:val="false"/>
                <w:sz w:val="14"/>
                <w:szCs w:val="14"/>
              </w:rPr>
              <w:t xml:space="preserve">L</w:t>
            </w:r>
          </w:p>
        </w:tc>
        <w:tc>
          <w:tcPr>
            <w:tcW w:type="dxa" w:w="800"/>
            <w:tcMar>
              <w:top w:type="dxa" w:w="50"/>
              <w:left w:type="dxa" w:w="90"/>
              <w:bottom w:type="dxa" w:w="50"/>
              <w:right w:type="dxa" w:w="90"/>
            </w:tcMar>
            <w:vAlign w:val="center"/>
          </w:tcPr>
          <w:p>
            <w:pPr>
              <w:spacing w:after="0" w:line="240"/>
              <w:jc w:val="left"/>
            </w:pPr>
            <w:r>
              <w:rPr>
                <w:b w:val="false"/>
                <w:bCs w:val="false"/>
                <w:sz w:val="14"/>
                <w:szCs w:val="14"/>
              </w:rPr>
              <w:t xml:space="preserve">EMO-21</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III</w:t>
            </w:r>
          </w:p>
        </w:tc>
        <w:tc>
          <w:tcPr>
            <w:tcW w:type="dxa" w:w="70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4412"/>
            <w:tcMar>
              <w:top w:type="dxa" w:w="50"/>
              <w:left w:type="dxa" w:w="90"/>
              <w:bottom w:type="dxa" w:w="50"/>
              <w:right w:type="dxa" w:w="90"/>
            </w:tcMar>
            <w:vAlign w:val="center"/>
          </w:tcPr>
          <w:p>
            <w:pPr>
              <w:spacing w:after="0" w:line="240"/>
              <w:jc w:val="left"/>
            </w:pPr>
            <w:r>
              <w:rPr>
                <w:b w:val="false"/>
                <w:bCs w:val="false"/>
                <w:sz w:val="14"/>
                <w:szCs w:val="14"/>
              </w:rPr>
              <w:t xml:space="preserve">Expand rooftop solar PV under the CLP Feed-in Tariff (the village already has 110 panels)</w:t>
            </w:r>
          </w:p>
        </w:tc>
        <w:tc>
          <w:tcPr>
            <w:tcW w:type="dxa" w:w="1100"/>
            <w:tcMar>
              <w:top w:type="dxa" w:w="50"/>
              <w:left w:type="dxa" w:w="90"/>
              <w:bottom w:type="dxa" w:w="50"/>
              <w:right w:type="dxa" w:w="90"/>
            </w:tcMar>
            <w:vAlign w:val="center"/>
          </w:tcPr>
          <w:p>
            <w:pPr>
              <w:spacing w:after="0" w:line="240"/>
              <w:jc w:val="right"/>
            </w:pPr>
            <w:r>
              <w:rPr>
                <w:b w:val="false"/>
                <w:bCs w:val="false"/>
                <w:sz w:val="14"/>
                <w:szCs w:val="14"/>
              </w:rPr>
              <w:t xml:space="preserve">-</w:t>
            </w:r>
          </w:p>
        </w:tc>
        <w:tc>
          <w:tcPr>
            <w:tcW w:type="dxa" w:w="1300"/>
            <w:tcMar>
              <w:top w:type="dxa" w:w="50"/>
              <w:left w:type="dxa" w:w="90"/>
              <w:bottom w:type="dxa" w:w="50"/>
              <w:right w:type="dxa" w:w="90"/>
            </w:tcMar>
            <w:vAlign w:val="center"/>
          </w:tcPr>
          <w:p>
            <w:pPr>
              <w:spacing w:after="0" w:line="240"/>
              <w:jc w:val="right"/>
            </w:pPr>
            <w:r>
              <w:rPr>
                <w:b w:val="false"/>
                <w:bCs w:val="false"/>
                <w:sz w:val="14"/>
                <w:szCs w:val="14"/>
              </w:rPr>
              <w:t xml:space="preserve">-</w:t>
            </w:r>
          </w:p>
        </w:tc>
      </w:tr>
    </w:tbl>
    <w:p>
      <w:pPr>
        <w:spacing w:after="120" w:before="0" w:line="276"/>
        <w:jc w:val="both"/>
      </w:pPr>
      <w:r>
        <w:rPr>
          <w:b w:val="false"/>
          <w:bCs w:val="false"/>
          <w:i/>
          <w:iCs/>
          <w:sz w:val="16"/>
          <w:szCs w:val="16"/>
        </w:rPr>
        <w:t xml:space="preserve">*Facility level for hall measures. The form has 12 EMO rows: Category I 7, Category II 3, Category III 2; types LG 1, AC 5, EL 1, LE 0, Others 5. The full register of 21 EMOs is in Section 9 (LG 2, AC 9, EL 2, LE 0, Others 8).</w:t>
      </w:r>
    </w:p>
    <w:p>
      <w:pPr>
        <w:keepNext/>
        <w:spacing w:after="80" w:before="160"/>
      </w:pPr>
      <w:r>
        <w:rPr>
          <w:b/>
          <w:bCs/>
          <w:color w:val="1F3864"/>
          <w:sz w:val="18"/>
          <w:szCs w:val="18"/>
        </w:rPr>
        <w:t xml:space="preserve">Table ES.7: EE-EAes sections judged not relevant to a household</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3300"/>
        <w:gridCol w:w="3412"/>
      </w:tblGrid>
      <w:tr>
        <w:trPr>
          <w:tblHeader/>
        </w:trPr>
        <w:tc>
          <w:tcPr>
            <w:tcW w:type="dxa" w:w="27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Form section</w:t>
            </w:r>
          </w:p>
        </w:tc>
        <w:tc>
          <w:tcPr>
            <w:tcW w:type="dxa" w:w="33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What it covers</w:t>
            </w:r>
          </w:p>
        </w:tc>
        <w:tc>
          <w:tcPr>
            <w:tcW w:type="dxa" w:w="34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Why it is N/A here</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Part 1(B)(II)(1)(a)(i)-(ii), (1)(b)-(2), (3)-(5)</w:t>
            </w:r>
          </w:p>
        </w:tc>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Central chillers, VRF, air-handling units, pumps, CBSI lighting and lift &amp; escalator inventories</w:t>
            </w:r>
          </w:p>
        </w:tc>
        <w:tc>
          <w:tcPr>
            <w:tcW w:type="dxa" w:w="3412"/>
            <w:tcMar>
              <w:top w:type="dxa" w:w="50"/>
              <w:left w:type="dxa" w:w="90"/>
              <w:bottom w:type="dxa" w:w="50"/>
              <w:right w:type="dxa" w:w="90"/>
            </w:tcMar>
            <w:vAlign w:val="center"/>
          </w:tcPr>
          <w:p>
            <w:pPr>
              <w:spacing w:after="0" w:line="240"/>
              <w:jc w:val="left"/>
            </w:pPr>
            <w:r>
              <w:rPr>
                <w:b w:val="false"/>
                <w:bCs w:val="false"/>
                <w:sz w:val="16"/>
                <w:szCs w:val="16"/>
              </w:rPr>
              <w:t xml:space="preserve">A household has no central building services; the room's own unitary AC and LED lights are reported in Section 5</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Part 1(B)(I) items 6-8</w:t>
            </w:r>
          </w:p>
        </w:tc>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Central AC type and operation of CBSI-served areas</w:t>
            </w:r>
          </w:p>
        </w:tc>
        <w:tc>
          <w:tcPr>
            <w:tcW w:type="dxa" w:w="3412"/>
            <w:tcMar>
              <w:top w:type="dxa" w:w="50"/>
              <w:left w:type="dxa" w:w="90"/>
              <w:bottom w:type="dxa" w:w="50"/>
              <w:right w:type="dxa" w:w="90"/>
            </w:tcMar>
            <w:vAlign w:val="center"/>
          </w:tcPr>
          <w:p>
            <w:pPr>
              <w:spacing w:after="0" w:line="240"/>
              <w:jc w:val="left"/>
            </w:pPr>
            <w:r>
              <w:rPr>
                <w:b w:val="false"/>
                <w:bCs w:val="false"/>
                <w:sz w:val="16"/>
                <w:szCs w:val="16"/>
              </w:rPr>
              <w:t xml:space="preserve">Ticked 'Not applicable' / entered N/A</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Part 2 item 6 (lift &amp; escalator) and item 7</w:t>
            </w:r>
          </w:p>
        </w:tc>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Lift energy; energy supplied by CBSI to units</w:t>
            </w:r>
          </w:p>
        </w:tc>
        <w:tc>
          <w:tcPr>
            <w:tcW w:type="dxa" w:w="3412"/>
            <w:tcMar>
              <w:top w:type="dxa" w:w="50"/>
              <w:left w:type="dxa" w:w="90"/>
              <w:bottom w:type="dxa" w:w="50"/>
              <w:right w:type="dxa" w:w="90"/>
            </w:tcMar>
            <w:vAlign w:val="center"/>
          </w:tcPr>
          <w:p>
            <w:pPr>
              <w:spacing w:after="0" w:line="240"/>
              <w:jc w:val="left"/>
            </w:pPr>
            <w:r>
              <w:rPr>
                <w:b w:val="false"/>
                <w:bCs w:val="false"/>
                <w:sz w:val="16"/>
                <w:szCs w:val="16"/>
              </w:rPr>
              <w:t xml:space="preserve">Lifts are hall common services outside the boundary; no CBSI supply to the unit</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Part 3 type 'LE'</w:t>
            </w:r>
          </w:p>
        </w:tc>
        <w:tc>
          <w:tcPr>
            <w:tcW w:type="dxa" w:w="3300"/>
            <w:tcMar>
              <w:top w:type="dxa" w:w="50"/>
              <w:left w:type="dxa" w:w="90"/>
              <w:bottom w:type="dxa" w:w="50"/>
              <w:right w:type="dxa" w:w="90"/>
            </w:tcMar>
            <w:vAlign w:val="center"/>
          </w:tcPr>
          <w:p>
            <w:pPr>
              <w:spacing w:after="0" w:line="240"/>
              <w:jc w:val="left"/>
            </w:pPr>
            <w:r>
              <w:rPr>
                <w:b w:val="false"/>
                <w:bCs w:val="false"/>
                <w:sz w:val="16"/>
                <w:szCs w:val="16"/>
              </w:rPr>
              <w:t xml:space="preserve">Lift/escalator EMOs</w:t>
            </w:r>
          </w:p>
        </w:tc>
        <w:tc>
          <w:tcPr>
            <w:tcW w:type="dxa" w:w="3412"/>
            <w:tcMar>
              <w:top w:type="dxa" w:w="50"/>
              <w:left w:type="dxa" w:w="90"/>
              <w:bottom w:type="dxa" w:w="50"/>
              <w:right w:type="dxa" w:w="90"/>
            </w:tcMar>
            <w:vAlign w:val="center"/>
          </w:tcPr>
          <w:p>
            <w:pPr>
              <w:spacing w:after="0" w:line="240"/>
              <w:jc w:val="left"/>
            </w:pPr>
            <w:r>
              <w:rPr>
                <w:b w:val="false"/>
                <w:bCs w:val="false"/>
                <w:sz w:val="16"/>
                <w:szCs w:val="16"/>
              </w:rPr>
              <w:t xml:space="preserve">None possible within the household</w:t>
            </w:r>
          </w:p>
        </w:tc>
      </w:tr>
    </w:tbl>
    <w:p>
      <w:pPr>
        <w:keepNext/>
        <w:spacing w:after="60" w:before="120" w:line="276"/>
        <w:jc w:val="both"/>
      </w:pPr>
      <w:r>
        <w:rPr>
          <w:b/>
          <w:bCs/>
        </w:rPr>
        <w:t xml:space="preserve">Main findings</w:t>
      </w:r>
    </w:p>
    <w:p>
      <w:pPr>
        <w:pStyle w:val="ListParagraph"/>
        <w:numPr>
          <w:ilvl w:val="0"/>
          <w:numId w:val="2"/>
        </w:numPr>
        <w:spacing w:after="60" w:line="264"/>
      </w:pPr>
      <w:r>
        <w:rPr>
          <w:b/>
          <w:bCs/>
        </w:rPr>
        <w:t xml:space="preserve">Operation, not equipment, drives use.</w:t>
      </w:r>
      <w:r>
        <w:rPr>
          <w:b w:val="false"/>
          <w:bCs w:val="false"/>
        </w:rPr>
        <w:t xml:space="preserve"> The room AC (Midea MW-12CRF8E) and the kitchen appliances already carry Grade 1 HK Energy Labels. Energy is driven by all-night AC operation at 25 °C, AC use in the cool months, a washroom exhaust fan that runs 24 hours a day and a kitchen AC that residents leave on for 8 h or more.</w:t>
      </w:r>
    </w:p>
    <w:p>
      <w:pPr>
        <w:pStyle w:val="ListParagraph"/>
        <w:numPr>
          <w:ilvl w:val="0"/>
          <w:numId w:val="2"/>
        </w:numPr>
        <w:spacing w:after="60" w:line="264"/>
      </w:pPr>
      <w:r>
        <w:rPr>
          <w:b/>
          <w:bCs/>
        </w:rPr>
        <w:t xml:space="preserve">More than half of the "home" is outside the room.</w:t>
      </w:r>
      <w:r>
        <w:rPr>
          <w:b w:val="false"/>
          <w:bCs w:val="false"/>
        </w:rPr>
        <w:t xml:space="preserve"> 52.8% of the household's electricity is used in shared facilities that students do not control, chiefly shower water heating (24.4 kW instantaneous heater), the washroom fan and the kitchen.</w:t>
      </w:r>
    </w:p>
    <w:p>
      <w:pPr>
        <w:pStyle w:val="ListParagraph"/>
        <w:numPr>
          <w:ilvl w:val="0"/>
          <w:numId w:val="2"/>
        </w:numPr>
        <w:spacing w:after="60" w:line="264"/>
      </w:pPr>
      <w:r>
        <w:rPr>
          <w:b/>
          <w:bCs/>
        </w:rPr>
        <w:t xml:space="preserve">Hot water is seasonal.</w:t>
      </w:r>
      <w:r>
        <w:rPr>
          <w:b w:val="false"/>
          <w:bCs w:val="false"/>
        </w:rPr>
        <w:t xml:space="preserve"> Shower energy is 2.12 times higher in January than in July because the cold-water inlet falls from about 29 °C to 16.5 °C [8].</w:t>
      </w:r>
    </w:p>
    <w:p>
      <w:pPr>
        <w:pStyle w:val="ListParagraph"/>
        <w:numPr>
          <w:ilvl w:val="0"/>
          <w:numId w:val="2"/>
        </w:numPr>
        <w:spacing w:after="60" w:line="264"/>
      </w:pPr>
      <w:r>
        <w:rPr>
          <w:b/>
          <w:bCs/>
        </w:rPr>
        <w:t xml:space="preserve">Lighting is already efficient.</w:t>
      </w:r>
      <w:r>
        <w:rPr>
          <w:b w:val="false"/>
          <w:bCs w:val="false"/>
        </w:rPr>
        <w:t xml:space="preserve"> It is all-LED, and the room's lighting power density of 4.0 W/m² is within the BEC 2021 dormitory limit of 6.2 W/m² [24].</w:t>
      </w:r>
    </w:p>
    <w:p>
      <w:pPr>
        <w:pStyle w:val="ListParagraph"/>
        <w:numPr>
          <w:ilvl w:val="0"/>
          <w:numId w:val="2"/>
        </w:numPr>
        <w:spacing w:after="60" w:line="264"/>
      </w:pPr>
      <w:r>
        <w:rPr>
          <w:b/>
          <w:bCs/>
        </w:rPr>
        <w:t xml:space="preserve">The emission factor doubles the answer.</w:t>
      </w:r>
      <w:r>
        <w:rPr>
          <w:b w:val="false"/>
          <w:bCs w:val="false"/>
        </w:rPr>
        <w:t xml:space="preserve"> Scope 2 is 93.6% of the inventory; the CLP factor (0.34) and the territory default (0.7) differ by a factor of two, so both are reported [2], [5].</w:t>
      </w:r>
    </w:p>
    <w:p>
      <w:pPr>
        <w:pStyle w:val="ListParagraph"/>
        <w:numPr>
          <w:ilvl w:val="0"/>
          <w:numId w:val="2"/>
        </w:numPr>
        <w:spacing w:after="60" w:line="264"/>
      </w:pPr>
      <w:r>
        <w:rPr>
          <w:b/>
          <w:bCs/>
        </w:rPr>
        <w:t xml:space="preserve">District scale-up needs both floor area and residents.</w:t>
      </w:r>
      <w:r>
        <w:rPr>
          <w:b w:val="false"/>
          <w:bCs w:val="false"/>
        </w:rPr>
        <w:t xml:space="preserve"> Scaled per person, the audit implies 889 GWh/yr for Sha Tin; scaled per m², 1,896 GWh/yr. The 2.13× gap equals the ratio of floor area per person (16.0 vs 7.5 m²). A composite factor of 61.8 kWh per m² plus 829 kWh per resident gives 1,250 GWh/yr, within 2% of an EMSD-based benchmark.</w:t>
      </w:r>
    </w:p>
    <w:p>
      <w:pPr>
        <w:keepNext/>
        <w:spacing w:after="60" w:before="60" w:line="276"/>
        <w:jc w:val="both"/>
      </w:pPr>
      <w:r>
        <w:rPr>
          <w:b/>
          <w:bCs/>
        </w:rPr>
        <w:t xml:space="preserve">Recommendations</w:t>
      </w:r>
    </w:p>
    <w:p>
      <w:pPr>
        <w:pStyle w:val="ListParagraph"/>
        <w:numPr>
          <w:ilvl w:val="0"/>
          <w:numId w:val="2"/>
        </w:numPr>
        <w:spacing w:after="40" w:line="264"/>
      </w:pPr>
      <w:r>
        <w:rPr>
          <w:b w:val="false"/>
          <w:bCs w:val="false"/>
        </w:rPr>
        <w:t xml:space="preserve">Implement the ten no-cost </w:t>
      </w:r>
      <w:r>
        <w:rPr>
          <w:b/>
          <w:bCs/>
        </w:rPr>
        <w:t xml:space="preserve">Category I</w:t>
      </w:r>
      <w:r>
        <w:rPr>
          <w:b w:val="false"/>
          <w:bCs w:val="false"/>
        </w:rPr>
        <w:t xml:space="preserve"> measures now (EMO-01 to EMO-10):</w:t>
      </w:r>
    </w:p>
    <w:p>
      <w:pPr>
        <w:pStyle w:val="ListParagraph"/>
        <w:numPr>
          <w:ilvl w:val="1"/>
          <w:numId w:val="2"/>
        </w:numPr>
        <w:spacing w:after="40" w:line="264"/>
      </w:pPr>
      <w:r>
        <w:rPr>
          <w:b w:val="false"/>
          <w:bCs w:val="false"/>
        </w:rPr>
        <w:t xml:space="preserve">raise the AC set-point to 26 °C with the fan on, and stop AC cooling in December-February;</w:t>
      </w:r>
    </w:p>
    <w:p>
      <w:pPr>
        <w:pStyle w:val="ListParagraph"/>
        <w:numPr>
          <w:ilvl w:val="1"/>
          <w:numId w:val="2"/>
        </w:numPr>
        <w:spacing w:after="40" w:line="264"/>
      </w:pPr>
      <w:r>
        <w:rPr>
          <w:b w:val="false"/>
          <w:bCs w:val="false"/>
        </w:rPr>
        <w:t xml:space="preserve">use the AC timer to stop 2 h before waking, and clean the filter fortnightly;</w:t>
      </w:r>
    </w:p>
    <w:p>
      <w:pPr>
        <w:pStyle w:val="ListParagraph"/>
        <w:numPr>
          <w:ilvl w:val="1"/>
          <w:numId w:val="2"/>
        </w:numPr>
        <w:spacing w:after="40" w:line="264"/>
      </w:pPr>
      <w:r>
        <w:rPr>
          <w:b w:val="false"/>
          <w:bCs w:val="false"/>
        </w:rPr>
        <w:t xml:space="preserve">use task lighting, take 4-minute showers at 38 °C, use laptop power management, cook efficiently and air-dry laundry.</w:t>
      </w:r>
    </w:p>
    <w:p>
      <w:pPr>
        <w:spacing w:after="80" w:before="40" w:line="264"/>
        <w:ind w:left="400"/>
      </w:pPr>
      <w:r>
        <w:rPr>
          <w:b w:val="false"/>
          <w:bCs w:val="false"/>
        </w:rPr>
        <w:t xml:space="preserve">Together they save about 660 kWh/yr (25.5%).</w:t>
      </w:r>
    </w:p>
    <w:p>
      <w:pPr>
        <w:pStyle w:val="ListParagraph"/>
        <w:numPr>
          <w:ilvl w:val="0"/>
          <w:numId w:val="2"/>
        </w:numPr>
        <w:spacing w:after="60" w:line="264"/>
      </w:pPr>
      <w:r>
        <w:rPr>
          <w:b w:val="false"/>
          <w:bCs w:val="false"/>
        </w:rPr>
        <w:t xml:space="preserve">Ask the Student Residence Office to implement five low-cost </w:t>
      </w:r>
      <w:r>
        <w:rPr>
          <w:b/>
          <w:bCs/>
        </w:rPr>
        <w:t xml:space="preserve">Category II</w:t>
      </w:r>
      <w:r>
        <w:rPr>
          <w:b w:val="false"/>
          <w:bCs w:val="false"/>
        </w:rPr>
        <w:t xml:space="preserve"> measures (EMO-11 to EMO-15): exhaust-fan run-on control, a kitchen-AC timer with a 25.5 °C set-point, dispenser night set-back, WELS Grade 1 showerheads and kitchen occupancy sensors. Together they save about 1,381 kWh/yr at facility level, with paybacks of 0.6-3.2 years.</w:t>
      </w:r>
    </w:p>
    <w:p>
      <w:pPr>
        <w:pStyle w:val="ListParagraph"/>
        <w:numPr>
          <w:ilvl w:val="0"/>
          <w:numId w:val="2"/>
        </w:numPr>
        <w:spacing w:after="60" w:line="264"/>
      </w:pPr>
      <w:r>
        <w:rPr>
          <w:b w:val="false"/>
          <w:bCs w:val="false"/>
        </w:rPr>
        <w:t xml:space="preserve">Treat central heat-pump water heating and more rooftop PV as </w:t>
      </w:r>
      <w:r>
        <w:rPr>
          <w:b/>
          <w:bCs/>
        </w:rPr>
        <w:t xml:space="preserve">Category III</w:t>
      </w:r>
      <w:r>
        <w:rPr>
          <w:b w:val="false"/>
          <w:bCs w:val="false"/>
        </w:rPr>
        <w:t xml:space="preserve"> feasibility studies. Replacing the window AC is </w:t>
      </w:r>
      <w:r>
        <w:rPr>
          <w:b/>
          <w:bCs/>
        </w:rPr>
        <w:t xml:space="preserve">not viable</w:t>
      </w:r>
      <w:r>
        <w:rPr>
          <w:b w:val="false"/>
          <w:bCs w:val="false"/>
        </w:rPr>
        <w:t xml:space="preserve">: its payback of 20.9 years exceeds the 12-year service life.</w:t>
      </w:r>
    </w:p>
    <w:p>
      <w:pPr>
        <w:pStyle w:val="ListParagraph"/>
        <w:numPr>
          <w:ilvl w:val="0"/>
          <w:numId w:val="2"/>
        </w:numPr>
        <w:spacing w:after="60" w:line="264"/>
      </w:pPr>
      <w:r>
        <w:rPr>
          <w:b w:val="false"/>
          <w:bCs w:val="false"/>
        </w:rPr>
        <w:t xml:space="preserve">Buy a plug-in power meter (about HK$120, within the HK$200 budget) and keep monthly Octopus readings so savings can be verified (EAC §7.6.3).</w:t>
      </w:r>
    </w:p>
    <w:p>
      <w:pPr>
        <w:pStyle w:val="Heading1"/>
        <w:pageBreakBefore/>
      </w:pPr>
      <w:r>
        <w:rPr>
          <w:b w:val="false"/>
          <w:bCs w:val="false"/>
        </w:rPr>
        <w:t xml:space="preserve">1  Introduction, objective and scope</w:t>
      </w:r>
    </w:p>
    <w:p>
      <w:pPr>
        <w:pStyle w:val="Heading2"/>
      </w:pPr>
      <w:r>
        <w:rPr>
          <w:b w:val="false"/>
          <w:bCs w:val="false"/>
        </w:rPr>
        <w:t xml:space="preserve">1.1  Background</w:t>
      </w:r>
    </w:p>
    <w:p>
      <w:pPr>
        <w:spacing w:after="120" w:before="0" w:line="276"/>
        <w:jc w:val="both"/>
      </w:pPr>
      <w:r>
        <w:rPr>
          <w:b w:val="false"/>
          <w:bCs w:val="false"/>
        </w:rPr>
        <w:t xml:space="preserve">Buildings account for about 90% of Hong Kong's electricity consumption [30]. Electricity generation produced 61% of the territory's greenhouse-gas emissions in 2023, when per-capita emissions were about 4.58 t </w:t>
      </w:r>
      <w:r>
        <w:rPr>
          <w:b w:val="false"/>
          <w:bCs w:val="false"/>
        </w:rPr>
        <w:t xml:space="preserve">CO</w:t>
      </w:r>
      <w:r>
        <w:rPr>
          <w:b w:val="false"/>
          <w:bCs w:val="false"/>
          <w:vertAlign w:val="subscript"/>
        </w:rPr>
        <w:t xml:space="preserve">2</w:t>
      </w:r>
      <w:r>
        <w:rPr>
          <w:b w:val="false"/>
          <w:bCs w:val="false"/>
        </w:rPr>
        <w:t xml:space="preserve">e [10]. Hong Kong's Climate Action Plan 2050 targets carbon neutrality before 2050 and aims to cut electricity use in residential buildings by 20-30% from 2015 levels by 2050 [31]. A home is small enough to inventory completely, yet it already raises the problems of a corporate audit: boundaries, shared services, missing meters and the choice of emission factors. The best way to learn carbon auditing is to perform one, and an energy audit is its foundation.</w:t>
      </w:r>
    </w:p>
    <w:p>
      <w:pPr>
        <w:pStyle w:val="Heading2"/>
      </w:pPr>
      <w:r>
        <w:rPr>
          <w:b w:val="false"/>
          <w:bCs w:val="false"/>
        </w:rPr>
        <w:t xml:space="preserve">1.2  Objective</w:t>
      </w:r>
    </w:p>
    <w:p>
      <w:pPr>
        <w:spacing w:after="40" w:before="0" w:line="276"/>
        <w:jc w:val="both"/>
      </w:pPr>
      <w:r>
        <w:rPr>
          <w:b w:val="false"/>
          <w:bCs w:val="false"/>
        </w:rPr>
        <w:t xml:space="preserve">The purpose of this audit is to determine the household's own energy consumption profile and identify ways to reduce its energy bills and emissions. The specific objectives are to:</w:t>
      </w:r>
    </w:p>
    <w:p>
      <w:pPr>
        <w:pStyle w:val="ListParagraph"/>
        <w:numPr>
          <w:ilvl w:val="0"/>
          <w:numId w:val="3"/>
        </w:numPr>
        <w:spacing w:after="60" w:line="264"/>
      </w:pPr>
      <w:r>
        <w:rPr>
          <w:b w:val="false"/>
          <w:bCs w:val="false"/>
        </w:rPr>
        <w:t xml:space="preserve">establish an energy baseline for the home (annual and monthly, by end-use and by space) and analyse the consumption history since move-in;</w:t>
      </w:r>
    </w:p>
    <w:p>
      <w:pPr>
        <w:pStyle w:val="ListParagraph"/>
        <w:numPr>
          <w:ilvl w:val="0"/>
          <w:numId w:val="3"/>
        </w:numPr>
        <w:spacing w:after="60" w:line="264"/>
      </w:pPr>
      <w:r>
        <w:rPr>
          <w:b w:val="false"/>
          <w:bCs w:val="false"/>
        </w:rPr>
        <w:t xml:space="preserve">describe the operating characteristics of the equipment and systems that use energy;</w:t>
      </w:r>
    </w:p>
    <w:p>
      <w:pPr>
        <w:pStyle w:val="ListParagraph"/>
        <w:numPr>
          <w:ilvl w:val="0"/>
          <w:numId w:val="3"/>
        </w:numPr>
        <w:spacing w:after="60" w:line="264"/>
      </w:pPr>
      <w:r>
        <w:rPr>
          <w:b w:val="false"/>
          <w:bCs w:val="false"/>
        </w:rPr>
        <w:t xml:space="preserve">quantify Scope 1, 2 and 3 greenhouse-gas emissions using the Hong Kong building guidelines [2];</w:t>
      </w:r>
    </w:p>
    <w:p>
      <w:pPr>
        <w:pStyle w:val="ListParagraph"/>
        <w:numPr>
          <w:ilvl w:val="0"/>
          <w:numId w:val="3"/>
        </w:numPr>
        <w:spacing w:after="60" w:line="264"/>
      </w:pPr>
      <w:r>
        <w:rPr>
          <w:b w:val="false"/>
          <w:bCs w:val="false"/>
        </w:rPr>
        <w:t xml:space="preserve">identify, categorise (Category I/II/III) and cost Energy Management Opportunities, with a cost-benefit analysis for each [1];</w:t>
      </w:r>
    </w:p>
    <w:p>
      <w:pPr>
        <w:pStyle w:val="ListParagraph"/>
        <w:numPr>
          <w:ilvl w:val="0"/>
          <w:numId w:val="3"/>
        </w:numPr>
        <w:spacing w:after="60" w:line="264"/>
      </w:pPr>
      <w:r>
        <w:rPr>
          <w:b w:val="false"/>
          <w:bCs w:val="false"/>
        </w:rPr>
        <w:t xml:space="preserve">present the results as an EMSD-style energy audit report with an EE-EAes executive summary;</w:t>
      </w:r>
    </w:p>
    <w:p>
      <w:pPr>
        <w:pStyle w:val="ListParagraph"/>
        <w:numPr>
          <w:ilvl w:val="0"/>
          <w:numId w:val="3"/>
        </w:numPr>
        <w:spacing w:after="60" w:line="264"/>
      </w:pPr>
      <w:r>
        <w:rPr>
          <w:b w:val="false"/>
          <w:bCs w:val="false"/>
        </w:rPr>
        <w:t xml:space="preserve">derive energy per square metre and per capita, scale them up to Sha Tin District, and develop a factor linking energy, floor area and residents;</w:t>
      </w:r>
    </w:p>
    <w:p>
      <w:pPr>
        <w:pStyle w:val="ListParagraph"/>
        <w:numPr>
          <w:ilvl w:val="0"/>
          <w:numId w:val="3"/>
        </w:numPr>
        <w:spacing w:after="60" w:line="264"/>
      </w:pPr>
      <w:r>
        <w:rPr>
          <w:b w:val="false"/>
          <w:bCs w:val="false"/>
        </w:rPr>
        <w:t xml:space="preserve">draw lessons for the forthcoming corporate carbon audit.</w:t>
      </w:r>
    </w:p>
    <w:p>
      <w:pPr>
        <w:pStyle w:val="Heading2"/>
      </w:pPr>
      <w:r>
        <w:rPr>
          <w:b w:val="false"/>
          <w:bCs w:val="false"/>
        </w:rPr>
        <w:t xml:space="preserve">1.3  Scope of the audit (EAC §8.1(a))</w:t>
      </w:r>
    </w:p>
    <w:p>
      <w:pPr>
        <w:spacing w:after="40" w:before="0" w:line="276"/>
        <w:jc w:val="both"/>
      </w:pPr>
      <w:r>
        <w:rPr>
          <w:b/>
          <w:bCs/>
        </w:rPr>
        <w:t xml:space="preserve">Installations audited:</w:t>
      </w:r>
    </w:p>
    <w:p>
      <w:pPr>
        <w:pStyle w:val="ListParagraph"/>
        <w:numPr>
          <w:ilvl w:val="0"/>
          <w:numId w:val="2"/>
        </w:numPr>
        <w:spacing w:after="60" w:line="264"/>
      </w:pPr>
      <w:r>
        <w:rPr>
          <w:b w:val="false"/>
          <w:bCs w:val="false"/>
        </w:rPr>
        <w:t xml:space="preserve">room window AC, LED lighting, desk fan, laptops and phone chargers;</w:t>
      </w:r>
    </w:p>
    <w:p>
      <w:pPr>
        <w:pStyle w:val="ListParagraph"/>
        <w:numPr>
          <w:ilvl w:val="0"/>
          <w:numId w:val="2"/>
        </w:numPr>
        <w:spacing w:after="60" w:line="264"/>
      </w:pPr>
      <w:r>
        <w:rPr>
          <w:b w:val="false"/>
          <w:bCs w:val="false"/>
        </w:rPr>
        <w:t xml:space="preserve">shared washroom instantaneous water heater, exhaust fan and sensor lighting;</w:t>
      </w:r>
    </w:p>
    <w:p>
      <w:pPr>
        <w:pStyle w:val="ListParagraph"/>
        <w:numPr>
          <w:ilvl w:val="0"/>
          <w:numId w:val="2"/>
        </w:numPr>
        <w:spacing w:after="60" w:line="264"/>
      </w:pPr>
      <w:r>
        <w:rPr>
          <w:b w:val="false"/>
          <w:bCs w:val="false"/>
        </w:rPr>
        <w:t xml:space="preserve">shared-kitchen refrigerators, water dispenser, split AC, lighting, induction hobs and microwave;</w:t>
      </w:r>
    </w:p>
    <w:p>
      <w:pPr>
        <w:pStyle w:val="ListParagraph"/>
        <w:numPr>
          <w:ilvl w:val="0"/>
          <w:numId w:val="2"/>
        </w:numPr>
        <w:spacing w:after="60" w:line="264"/>
      </w:pPr>
      <w:r>
        <w:rPr>
          <w:b w:val="false"/>
          <w:bCs w:val="false"/>
        </w:rPr>
        <w:t xml:space="preserve">hall laundry washer and dryer.</w:t>
      </w:r>
    </w:p>
    <w:p>
      <w:pPr>
        <w:spacing w:after="40" w:before="0" w:line="276"/>
        <w:jc w:val="both"/>
      </w:pPr>
      <w:r>
        <w:rPr>
          <w:b/>
          <w:bCs/>
        </w:rPr>
        <w:t xml:space="preserve">Not audited:</w:t>
      </w:r>
    </w:p>
    <w:p>
      <w:pPr>
        <w:pStyle w:val="ListParagraph"/>
        <w:numPr>
          <w:ilvl w:val="0"/>
          <w:numId w:val="2"/>
        </w:numPr>
        <w:spacing w:after="60" w:line="264"/>
      </w:pPr>
      <w:r>
        <w:rPr>
          <w:b w:val="false"/>
          <w:bCs w:val="false"/>
        </w:rPr>
        <w:t xml:space="preserve">hall common services: lifts, corridors, lobbies and central plant (CBSI);</w:t>
      </w:r>
    </w:p>
    <w:p>
      <w:pPr>
        <w:pStyle w:val="ListParagraph"/>
        <w:numPr>
          <w:ilvl w:val="0"/>
          <w:numId w:val="2"/>
        </w:numPr>
        <w:spacing w:after="60" w:line="264"/>
      </w:pPr>
      <w:r>
        <w:rPr>
          <w:b w:val="false"/>
          <w:bCs w:val="false"/>
        </w:rPr>
        <w:t xml:space="preserve">the building envelope beyond the room's window;</w:t>
      </w:r>
    </w:p>
    <w:p>
      <w:pPr>
        <w:pStyle w:val="ListParagraph"/>
        <w:numPr>
          <w:ilvl w:val="0"/>
          <w:numId w:val="2"/>
        </w:numPr>
        <w:spacing w:after="60" w:line="264"/>
      </w:pPr>
      <w:r>
        <w:rPr>
          <w:b w:val="false"/>
          <w:bCs w:val="false"/>
        </w:rPr>
        <w:t xml:space="preserve">other residents' personal use.</w:t>
      </w:r>
    </w:p>
    <w:p>
      <w:pPr>
        <w:spacing w:after="40" w:before="0" w:line="276"/>
        <w:jc w:val="both"/>
      </w:pPr>
      <w:r>
        <w:rPr>
          <w:b/>
          <w:bCs/>
        </w:rPr>
        <w:t xml:space="preserve">Assumptions and estimating methods</w:t>
      </w:r>
      <w:r>
        <w:rPr>
          <w:b w:val="false"/>
          <w:bCs w:val="false"/>
        </w:rPr>
        <w:t xml:space="preserve"> (detailed in Section 2 and Appendix C):</w:t>
      </w:r>
    </w:p>
    <w:p>
      <w:pPr>
        <w:pStyle w:val="ListParagraph"/>
        <w:numPr>
          <w:ilvl w:val="0"/>
          <w:numId w:val="2"/>
        </w:numPr>
        <w:spacing w:after="60" w:line="264"/>
      </w:pPr>
      <w:r>
        <w:rPr>
          <w:b w:val="false"/>
          <w:bCs w:val="false"/>
        </w:rPr>
        <w:t xml:space="preserve">room AC energy is the reported Octopus spend divided by the CLP 2026 average tariff, checked against the HK Energy Label;</w:t>
      </w:r>
    </w:p>
    <w:p>
      <w:pPr>
        <w:pStyle w:val="ListParagraph"/>
        <w:numPr>
          <w:ilvl w:val="0"/>
          <w:numId w:val="2"/>
        </w:numPr>
        <w:spacing w:after="60" w:line="264"/>
      </w:pPr>
      <w:r>
        <w:rPr>
          <w:b w:val="false"/>
          <w:bCs w:val="false"/>
        </w:rPr>
        <w:t xml:space="preserve">other loads are rated power × reported hours, and shower energy is calculated from first principles;</w:t>
      </w:r>
    </w:p>
    <w:p>
      <w:pPr>
        <w:pStyle w:val="ListParagraph"/>
        <w:numPr>
          <w:ilvl w:val="0"/>
          <w:numId w:val="2"/>
        </w:numPr>
        <w:spacing w:after="60" w:line="264"/>
      </w:pPr>
      <w:r>
        <w:rPr>
          <w:b w:val="false"/>
          <w:bCs w:val="false"/>
        </w:rPr>
        <w:t xml:space="preserve">shared fixed loads are allocated per user; the roommate's personal loads are assumed equal to the auditor's.</w:t>
      </w:r>
    </w:p>
    <w:p>
      <w:pPr>
        <w:pStyle w:val="Heading2"/>
      </w:pPr>
      <w:r>
        <w:rPr>
          <w:b w:val="false"/>
          <w:bCs w:val="false"/>
        </w:rPr>
        <w:t xml:space="preserve">1.4  Administrative information</w:t>
      </w:r>
    </w:p>
    <w:p>
      <w:pPr>
        <w:keepNext/>
        <w:spacing w:after="80" w:before="160"/>
      </w:pPr>
      <w:r>
        <w:rPr>
          <w:b/>
          <w:bCs/>
          <w:color w:val="1F3864"/>
          <w:sz w:val="18"/>
          <w:szCs w:val="18"/>
        </w:rPr>
        <w:t xml:space="preserve">Table 1.1: Administrative information (EAC §8.1(m))</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812"/>
      </w:tblGrid>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Building</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Hall 13, CityU Lee Shau Kee Student Residence Village (opened Q3 2024) [15]</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Audited unit</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Room 1003B, 10/F - twin room, 2 occupants</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Address / location</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Ma On Shan, Sha Tin District, New Territories, Hong Kong; 22°26'0" N, 114°14'32" E (44 m elevation, phone compass)</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Electricity supplier</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CLP Power Hong Kong Ltd (room AC pre-paid by Octopus card)</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Auditor</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Jayash Sahu (SEE8115); occupant of the room</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Audit commenced / completed</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01/01/2026 / 11/10/2026</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Energy bill reference month</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September 2026: 1-30 September 2026 (no utility bill; Octopus pre-paid AC). Completion is within the 6 months that EAC §8.1(m) allows</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Registered Energy Assessor</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Not applicable: voluntary student audit, not submitted under Cap. 610</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Previous energy audit (§8.1(k))</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None; this is the first audit of the room</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Report reference</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SEE8115-HEA-2026-01</w:t>
            </w:r>
          </w:p>
        </w:tc>
      </w:tr>
    </w:tbl>
    <w:p>
      <w:pPr>
        <w:pStyle w:val="Heading2"/>
      </w:pPr>
      <w:r>
        <w:rPr>
          <w:b w:val="false"/>
          <w:bCs w:val="false"/>
        </w:rPr>
        <w:t xml:space="preserve">1.5  Regulatory and methodological basis</w:t>
      </w:r>
    </w:p>
    <w:p>
      <w:pPr>
        <w:spacing w:after="120" w:before="0" w:line="276"/>
        <w:jc w:val="both"/>
      </w:pPr>
      <w:r>
        <w:rPr>
          <w:b w:val="false"/>
          <w:bCs w:val="false"/>
        </w:rPr>
        <w:t xml:space="preserve">The EAC 2018 [1] defines the audit steps (§7), the EMO categories (§6.2) and the content of an audit report (§8), including the executive summary (§8.2) that EE-EAes formalises [3]. Under Cap. 610, energy audits are mandatory only for commercial buildings and the commercial portions of composite buildings, so this audit applies the Code voluntarily. Emissions follow the EPD/EMSD Guidelines [2], which require Scope 1 and 2 reporting, make Scope 3 optional, and require electricity to be reported with both the territory-wide default and the power company's own factor.</w:t>
      </w:r>
    </w:p>
    <w:p>
      <w:pPr>
        <w:spacing w:after="120" w:before="0" w:line="276"/>
        <w:jc w:val="both"/>
      </w:pPr>
      <w:r>
        <w:rPr>
          <w:b w:val="false"/>
          <w:bCs w:val="false"/>
        </w:rPr>
        <w:t xml:space="preserve">The course's NELC (Penn State) Home Energy Audit Tool [4] was used as the room-by-room data-collection template; a completed copy accompanies this report. Equipment efficiency is assessed against the EMSD Mandatory Energy Efficiency Labelling Scheme [9] and lighting against the Building Energy Code [24]. District data come from the Census and Statistics Department and the Housing Department [33]-[37].</w:t>
      </w:r>
    </w:p>
    <w:p>
      <w:pPr>
        <w:pStyle w:val="Heading1"/>
        <w:pageBreakBefore/>
      </w:pPr>
      <w:r>
        <w:rPr>
          <w:b w:val="false"/>
          <w:bCs w:val="false"/>
        </w:rPr>
        <w:t xml:space="preserve">2  Audit methodology</w:t>
      </w:r>
    </w:p>
    <w:p>
      <w:pPr>
        <w:pStyle w:val="Heading2"/>
      </w:pPr>
      <w:r>
        <w:rPr>
          <w:b w:val="false"/>
          <w:bCs w:val="false"/>
        </w:rPr>
        <w:t xml:space="preserve">2.1  The six EAC steps applied to a home</w:t>
      </w:r>
    </w:p>
    <w:p>
      <w:pPr>
        <w:keepNext/>
        <w:spacing w:after="80" w:before="160"/>
      </w:pPr>
      <w:r>
        <w:rPr>
          <w:b/>
          <w:bCs/>
          <w:color w:val="1F3864"/>
          <w:sz w:val="18"/>
          <w:szCs w:val="18"/>
        </w:rPr>
        <w:t xml:space="preserve">Table 2.1: How each EAC 2018 step was carried out</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2900"/>
        <w:gridCol w:w="4212"/>
      </w:tblGrid>
      <w:tr>
        <w:trPr>
          <w:tblHeader/>
        </w:trPr>
        <w:tc>
          <w:tcPr>
            <w:tcW w:type="dxa" w:w="23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EAC step</w:t>
            </w:r>
          </w:p>
        </w:tc>
        <w:tc>
          <w:tcPr>
            <w:tcW w:type="dxa" w:w="29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Requirement</w:t>
            </w:r>
          </w:p>
        </w:tc>
        <w:tc>
          <w:tcPr>
            <w:tcW w:type="dxa" w:w="42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How it was applied in this audit</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16"/>
                <w:szCs w:val="16"/>
              </w:rPr>
              <w:t xml:space="preserve">1 Building information (§7.2)</w:t>
            </w:r>
          </w:p>
        </w:tc>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Inventories, drawings, operating records, 36-month energy data</w:t>
            </w:r>
          </w:p>
        </w:tc>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48-question occupant questionnaire; 26 photographs of nameplates, labels and spaces; CityU building information [15]; HKO climate normals [8]</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16"/>
                <w:szCs w:val="16"/>
              </w:rPr>
              <w:t xml:space="preserve">2 Review of energy-consuming equipment (§7.3)</w:t>
            </w:r>
          </w:p>
        </w:tc>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Site inspection; record equipment characteristics (§7.3.1); calculate power and energy from ratings and operating records, or measure (§7.3.2)</w:t>
            </w:r>
          </w:p>
        </w:tc>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Walk-through of room, washroom and kitchen; equipment inventory and operating schedules (Section 5); Octopus AC spend; label-based and first-principles calculations</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16"/>
                <w:szCs w:val="16"/>
              </w:rPr>
              <w:t xml:space="preserve">3 Identify EMOs (§7.4)</w:t>
            </w:r>
          </w:p>
        </w:tc>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Evaluate AC, LPD, EUI; maintenance, set-points, behaviour, schedules</w:t>
            </w:r>
          </w:p>
        </w:tc>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Benchmarks (EUI, LPD, water, per-capita use); 13 walk-through findings (Section 8)</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16"/>
                <w:szCs w:val="16"/>
              </w:rPr>
              <w:t xml:space="preserve">4 Cost-benefit (§7.5)</w:t>
            </w:r>
          </w:p>
        </w:tc>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Savings, costs, service life, degradation, energy price</w:t>
            </w:r>
          </w:p>
        </w:tc>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HK$1.406/kWh; indicative costs; simple payback, NPV, SIR and cost of saved energy over the service life with 1%/yr degradation</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16"/>
                <w:szCs w:val="16"/>
              </w:rPr>
              <w:t xml:space="preserve">5 Recommendations (§7.6)</w:t>
            </w:r>
          </w:p>
        </w:tc>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Implementation, M&amp;V, further studies</w:t>
            </w:r>
          </w:p>
        </w:tc>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Action plan, metering plan and memo to hall management (Section 11)</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16"/>
                <w:szCs w:val="16"/>
              </w:rPr>
              <w:t xml:space="preserve">6 Report (§7.7, §8)</w:t>
            </w:r>
          </w:p>
        </w:tc>
        <w:tc>
          <w:tcPr>
            <w:tcW w:type="dxa" w:w="2900"/>
            <w:tcMar>
              <w:top w:type="dxa" w:w="50"/>
              <w:left w:type="dxa" w:w="90"/>
              <w:bottom w:type="dxa" w:w="50"/>
              <w:right w:type="dxa" w:w="90"/>
            </w:tcMar>
            <w:vAlign w:val="center"/>
          </w:tcPr>
          <w:p>
            <w:pPr>
              <w:spacing w:after="0" w:line="240"/>
              <w:jc w:val="left"/>
            </w:pPr>
            <w:r>
              <w:rPr>
                <w:b w:val="false"/>
                <w:bCs w:val="false"/>
                <w:sz w:val="16"/>
                <w:szCs w:val="16"/>
              </w:rPr>
              <w:t xml:space="preserve">Report and executive summary</w:t>
            </w:r>
          </w:p>
        </w:tc>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This report; EE-EAes form; completed NELC tool; calculation workbook (live formulas)</w:t>
            </w:r>
          </w:p>
        </w:tc>
      </w:tr>
    </w:tbl>
    <w:p>
      <w:pPr>
        <w:pStyle w:val="Heading2"/>
      </w:pPr>
      <w:r>
        <w:rPr>
          <w:b w:val="false"/>
          <w:bCs w:val="false"/>
        </w:rPr>
        <w:t xml:space="preserve">2.2  Calculation methods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9412"/>
      </w:tblGrid>
      <w:tr>
        <w:tc>
          <w:tcPr>
            <w:tcW w:type="dxa" w:w="9412"/>
            <w:shd w:fill="F2F6FB" w:color="auto" w:val="clear"/>
            <w:tcMar>
              <w:top w:type="dxa" w:w="100"/>
              <w:left w:type="dxa" w:w="140"/>
              <w:bottom w:type="dxa" w:w="60"/>
              <w:right w:type="dxa" w:w="140"/>
            </w:tcMar>
          </w:tcPr>
          <w:p>
            <w:pPr>
              <w:spacing w:after="60" w:line="252"/>
            </w:pPr>
            <w:r>
              <w:rPr>
                <w:b/>
                <w:bCs/>
                <w:sz w:val="18"/>
                <w:szCs w:val="18"/>
              </w:rPr>
              <w:t xml:space="preserve">(1) Appliance energy:</w:t>
            </w:r>
            <w:r>
              <w:rPr>
                <w:b w:val="false"/>
                <w:bCs w:val="false"/>
                <w:sz w:val="18"/>
                <w:szCs w:val="18"/>
              </w:rPr>
              <w:t xml:space="preserve"> E = P × LF × h × d × n ÷ 1000 (kWh/yr). P is rated power (W), LF the load factor, h hours per day, d days per year and n the quantity.</w:t>
            </w:r>
          </w:p>
          <w:p>
            <w:pPr>
              <w:spacing w:after="60" w:line="252"/>
            </w:pPr>
            <w:r>
              <w:rPr>
                <w:b/>
                <w:bCs/>
                <w:sz w:val="18"/>
                <w:szCs w:val="18"/>
              </w:rPr>
              <w:t xml:space="preserve">(2) AC, top-down:</w:t>
            </w:r>
            <w:r>
              <w:rPr>
                <w:b w:val="false"/>
                <w:bCs w:val="false"/>
                <w:sz w:val="18"/>
                <w:szCs w:val="18"/>
              </w:rPr>
              <w:t xml:space="preserve"> E = Σ (monthly Octopus spend) ÷ tariff. The spend is HK$140 in May-Oct and HK$50 in Nov-Apr; the tariff is HK$1.406/kWh (CLP 2026 average net tariff) [6].</w:t>
            </w:r>
          </w:p>
          <w:p>
            <w:pPr>
              <w:spacing w:after="60" w:line="252"/>
            </w:pPr>
            <w:r>
              <w:rPr>
                <w:b/>
                <w:bCs/>
                <w:sz w:val="18"/>
                <w:szCs w:val="18"/>
              </w:rPr>
              <w:t xml:space="preserve">(3) AC, bottom-up:</w:t>
            </w:r>
            <w:r>
              <w:rPr>
                <w:b w:val="false"/>
                <w:bCs w:val="false"/>
                <w:sz w:val="18"/>
                <w:szCs w:val="18"/>
              </w:rPr>
              <w:t xml:space="preserve"> E = (label kWh ÷ 1,200 h) × Σ operating hours. The HK label states annual consumption for 1,200 h of operation [9].</w:t>
            </w:r>
          </w:p>
          <w:p>
            <w:pPr>
              <w:spacing w:after="60" w:line="252"/>
            </w:pPr>
            <w:r>
              <w:rPr>
                <w:b/>
                <w:bCs/>
                <w:sz w:val="18"/>
                <w:szCs w:val="18"/>
              </w:rPr>
              <w:t xml:space="preserve">(4) Shower water heating:</w:t>
            </w:r>
            <w:r>
              <w:rPr>
                <w:b w:val="false"/>
                <w:bCs w:val="false"/>
                <w:sz w:val="18"/>
                <w:szCs w:val="18"/>
              </w:rPr>
              <w:t xml:space="preserve"> E = V × cₚ × (T_shower − T_inlet) ÷ (3,600 × η). V is litres (1 L = 1 kg) and cₚ = 4.186 kJ/kg·K; T_inlet is the HKO monthly mean air temperature.</w:t>
            </w:r>
          </w:p>
          <w:p>
            <w:pPr>
              <w:spacing w:after="60" w:line="252"/>
            </w:pPr>
            <w:r>
              <w:rPr>
                <w:b/>
                <w:bCs/>
                <w:sz w:val="18"/>
                <w:szCs w:val="18"/>
              </w:rPr>
              <w:t xml:space="preserve">(5) Allocation:</w:t>
            </w:r>
            <w:r>
              <w:rPr>
                <w:b w:val="false"/>
                <w:bCs w:val="false"/>
                <w:sz w:val="18"/>
                <w:szCs w:val="18"/>
              </w:rPr>
              <w:t xml:space="preserve"> E_household = Σ E_item × share. Room items count at 1; washroom fixed loads at 2/4; kitchen fixed loads at 2/32; showers, cooking and laundry at the household's own use.</w:t>
            </w:r>
          </w:p>
          <w:p>
            <w:pPr>
              <w:spacing w:after="60" w:line="252"/>
            </w:pPr>
            <w:r>
              <w:rPr>
                <w:b/>
                <w:bCs/>
                <w:sz w:val="18"/>
                <w:szCs w:val="18"/>
              </w:rPr>
              <w:t xml:space="preserve">(6) Energy Utilisation Index:</w:t>
            </w:r>
            <w:r>
              <w:rPr>
                <w:b w:val="false"/>
                <w:bCs w:val="false"/>
                <w:sz w:val="18"/>
                <w:szCs w:val="18"/>
              </w:rPr>
              <w:t xml:space="preserve"> EUI = E × 3.6 ÷ A (MJ/m²/yr) [1], [3].</w:t>
            </w:r>
          </w:p>
          <w:p>
            <w:pPr>
              <w:spacing w:after="60" w:line="252"/>
            </w:pPr>
            <w:r>
              <w:rPr>
                <w:b/>
                <w:bCs/>
                <w:sz w:val="18"/>
                <w:szCs w:val="18"/>
              </w:rPr>
              <w:t xml:space="preserve">(7) GHG emissions:</w:t>
            </w:r>
            <w:r>
              <w:rPr>
                <w:b w:val="false"/>
                <w:bCs w:val="false"/>
                <w:sz w:val="18"/>
                <w:szCs w:val="18"/>
              </w:rPr>
              <w:t xml:space="preserve"> activity × emission factor. Scope 2 uses both 0.34 (CLP 2025) [5] and 0.7 kg </w:t>
            </w:r>
            <w:r>
              <w:rPr>
                <w:b w:val="false"/>
                <w:bCs w:val="false"/>
                <w:sz w:val="18"/>
                <w:szCs w:val="18"/>
              </w:rPr>
              <w:t xml:space="preserve">CO</w:t>
            </w:r>
            <w:r>
              <w:rPr>
                <w:b w:val="false"/>
                <w:bCs w:val="false"/>
                <w:sz w:val="18"/>
                <w:szCs w:val="18"/>
                <w:vertAlign w:val="subscript"/>
              </w:rPr>
              <w:t xml:space="preserve">2</w:t>
            </w:r>
            <w:r>
              <w:rPr>
                <w:b w:val="false"/>
                <w:bCs w:val="false"/>
                <w:sz w:val="18"/>
                <w:szCs w:val="18"/>
              </w:rPr>
              <w:t xml:space="preserve">e/kWh [2]. Water and sewage use the utility's kWh per m³ × 0.7 (Guideline Tables 8 and 9) [2], [11], [12].</w:t>
            </w:r>
          </w:p>
          <w:p>
            <w:pPr>
              <w:spacing w:after="60" w:line="252"/>
            </w:pPr>
            <w:r>
              <w:rPr>
                <w:b/>
                <w:bCs/>
                <w:sz w:val="18"/>
                <w:szCs w:val="18"/>
              </w:rPr>
              <w:t xml:space="preserve">(8) Cost-benefit:</w:t>
            </w:r>
            <w:r>
              <w:rPr>
                <w:b w:val="false"/>
                <w:bCs w:val="false"/>
                <w:sz w:val="18"/>
                <w:szCs w:val="18"/>
              </w:rPr>
              <w:t xml:space="preserve"> simple payback = cost ÷ annual saving; NPV = S × [1 − ((1 − d)/(1 + r))^L] ÷ (r + d) − cost, with r = 4% real and d = 1%/yr degradation of savings over the service life L (EAC §7.5.4); SIR = present value of savings ÷ cost; cost of saved energy = cost × r/(1 − (1 + r)^−L) ÷ annual kWh.</w:t>
            </w:r>
          </w:p>
          <w:p>
            <w:pPr>
              <w:spacing w:after="60" w:line="252"/>
            </w:pPr>
            <w:r>
              <w:rPr>
                <w:b/>
                <w:bCs/>
                <w:sz w:val="18"/>
                <w:szCs w:val="18"/>
              </w:rPr>
              <w:t xml:space="preserve">(9) District scale-up:</w:t>
            </w:r>
            <w:r>
              <w:rPr>
                <w:b w:val="false"/>
                <w:bCs w:val="false"/>
                <w:sz w:val="18"/>
                <w:szCs w:val="18"/>
              </w:rPr>
              <w:t xml:space="preserve"> district energy = factor × population, × floor area, or (composite) a × floor area + b × residents (Section 10).</w:t>
            </w:r>
          </w:p>
        </w:tc>
      </w:tr>
    </w:tbl>
    <w:p>
      <w:pPr>
        <w:pStyle w:val="Heading2"/>
      </w:pPr>
      <w:r>
        <w:rPr>
          <w:b w:val="false"/>
          <w:bCs w:val="false"/>
        </w:rPr>
        <w:t xml:space="preserve">2.3  Data sources and data quality</w:t>
      </w:r>
    </w:p>
    <w:p>
      <w:pPr>
        <w:spacing w:after="40" w:before="0" w:line="276"/>
        <w:jc w:val="both"/>
      </w:pPr>
      <w:r>
        <w:rPr>
          <w:b w:val="false"/>
          <w:bCs w:val="false"/>
        </w:rPr>
        <w:t xml:space="preserve">The workbook holds 124 inputs, each tagged with its source and a data-quality class. In descending order of reliability:</w:t>
      </w:r>
    </w:p>
    <w:p>
      <w:pPr>
        <w:pStyle w:val="ListParagraph"/>
        <w:numPr>
          <w:ilvl w:val="0"/>
          <w:numId w:val="2"/>
        </w:numPr>
        <w:spacing w:after="60" w:line="264"/>
      </w:pPr>
      <w:r>
        <w:rPr>
          <w:b/>
          <w:bCs/>
        </w:rPr>
        <w:t xml:space="preserve">nameplate or energy-label values photographed on site:</w:t>
      </w:r>
      <w:r>
        <w:rPr>
          <w:b w:val="false"/>
          <w:bCs w:val="false"/>
        </w:rPr>
        <w:t xml:space="preserve"> 10;</w:t>
      </w:r>
    </w:p>
    <w:p>
      <w:pPr>
        <w:pStyle w:val="ListParagraph"/>
        <w:numPr>
          <w:ilvl w:val="0"/>
          <w:numId w:val="2"/>
        </w:numPr>
        <w:spacing w:after="60" w:line="264"/>
      </w:pPr>
      <w:r>
        <w:rPr>
          <w:b/>
          <w:bCs/>
        </w:rPr>
        <w:t xml:space="preserve">values reported by the occupant in the questionnaire:</w:t>
      </w:r>
      <w:r>
        <w:rPr>
          <w:b w:val="false"/>
          <w:bCs w:val="false"/>
        </w:rPr>
        <w:t xml:space="preserve"> 33;</w:t>
      </w:r>
    </w:p>
    <w:p>
      <w:pPr>
        <w:pStyle w:val="ListParagraph"/>
        <w:numPr>
          <w:ilvl w:val="0"/>
          <w:numId w:val="2"/>
        </w:numPr>
        <w:spacing w:after="60" w:line="264"/>
      </w:pPr>
      <w:r>
        <w:rPr>
          <w:b/>
          <w:bCs/>
        </w:rPr>
        <w:t xml:space="preserve">published Hong Kong or international data:</w:t>
      </w:r>
      <w:r>
        <w:rPr>
          <w:b w:val="false"/>
          <w:bCs w:val="false"/>
        </w:rPr>
        <w:t xml:space="preserve"> 45;</w:t>
      </w:r>
    </w:p>
    <w:p>
      <w:pPr>
        <w:pStyle w:val="ListParagraph"/>
        <w:numPr>
          <w:ilvl w:val="0"/>
          <w:numId w:val="2"/>
        </w:numPr>
        <w:spacing w:after="60" w:line="264"/>
      </w:pPr>
      <w:r>
        <w:rPr>
          <w:b/>
          <w:bCs/>
        </w:rPr>
        <w:t xml:space="preserve">derived values:</w:t>
      </w:r>
      <w:r>
        <w:rPr>
          <w:b w:val="false"/>
          <w:bCs w:val="false"/>
        </w:rPr>
        <w:t xml:space="preserve"> 3;</w:t>
      </w:r>
    </w:p>
    <w:p>
      <w:pPr>
        <w:pStyle w:val="ListParagraph"/>
        <w:numPr>
          <w:ilvl w:val="0"/>
          <w:numId w:val="2"/>
        </w:numPr>
        <w:spacing w:after="60" w:line="264"/>
      </w:pPr>
      <w:r>
        <w:rPr>
          <w:b/>
          <w:bCs/>
        </w:rPr>
        <w:t xml:space="preserve">typical values assumed where nothing better existed:</w:t>
      </w:r>
      <w:r>
        <w:rPr>
          <w:b w:val="false"/>
          <w:bCs w:val="false"/>
        </w:rPr>
        <w:t xml:space="preserve"> 33.</w:t>
      </w:r>
    </w:p>
    <w:p>
      <w:pPr>
        <w:spacing w:after="120" w:before="0" w:line="276"/>
        <w:jc w:val="both"/>
      </w:pPr>
      <w:r>
        <w:rPr>
          <w:b w:val="false"/>
          <w:bCs w:val="false"/>
        </w:rPr>
        <w:t xml:space="preserve">Assumed values are highlighted in yellow in the workbook and tested in the sensitivity analysis (Section 12). The most influential assumption is the Octopus AC tariff: CityU does not publish its hall AC rate, so the CLP average tariff is used and cross-checked against comparable university hostels (HK$1.20-2.31/kWh [25]).</w:t>
      </w:r>
    </w:p>
    <w:p>
      <w:pPr>
        <w:pStyle w:val="Heading2"/>
      </w:pPr>
      <w:r>
        <w:rPr>
          <w:b w:val="false"/>
          <w:bCs w:val="false"/>
        </w:rPr>
        <w:t xml:space="preserve">2.4  Tools and deliverables</w:t>
      </w:r>
    </w:p>
    <w:p>
      <w:pPr>
        <w:pStyle w:val="ListParagraph"/>
        <w:numPr>
          <w:ilvl w:val="0"/>
          <w:numId w:val="2"/>
        </w:numPr>
        <w:spacing w:after="60" w:line="264"/>
      </w:pPr>
      <w:r>
        <w:rPr>
          <w:b/>
          <w:bCs/>
        </w:rPr>
        <w:t xml:space="preserve">Home_Energy_Carbon_Audit_Workbook.xlsx</w:t>
      </w:r>
      <w:r>
        <w:rPr>
          <w:b w:val="false"/>
          <w:bCs w:val="false"/>
        </w:rPr>
        <w:t xml:space="preserve"> - 16 sheets with 1,452 live formulas: inputs, AC baseline, hot water, inventory, monthly profile, breakdown, GHG inventory, EMO register with life-cycle costing, sensitivity, district scale-up and the EE-EAes entries.</w:t>
      </w:r>
    </w:p>
    <w:p>
      <w:pPr>
        <w:pStyle w:val="ListParagraph"/>
        <w:numPr>
          <w:ilvl w:val="0"/>
          <w:numId w:val="2"/>
        </w:numPr>
        <w:spacing w:after="60" w:line="264"/>
      </w:pPr>
      <w:r>
        <w:rPr>
          <w:b/>
          <w:bCs/>
        </w:rPr>
        <w:t xml:space="preserve">1_SEE6115-8115_Home Energy Audit Tool_COMPLETED.xlsx</w:t>
      </w:r>
      <w:r>
        <w:rPr>
          <w:b w:val="false"/>
          <w:bCs w:val="false"/>
        </w:rPr>
        <w:t xml:space="preserve"> - the course's NELC tool completed for the room, washroom, kitchen and laundry, including the NELC Survey and Questionnaire tick-boxes, with all navigation buttons and drop-downs preserved.</w:t>
      </w:r>
    </w:p>
    <w:p>
      <w:pPr>
        <w:pStyle w:val="ListParagraph"/>
        <w:numPr>
          <w:ilvl w:val="0"/>
          <w:numId w:val="2"/>
        </w:numPr>
        <w:spacing w:after="60" w:line="264"/>
      </w:pPr>
      <w:r>
        <w:rPr>
          <w:b/>
          <w:bCs/>
        </w:rPr>
        <w:t xml:space="preserve">2_EE-EAes2018 (V.0)_SEE6115-8115_COMPLETED.xls</w:t>
      </w:r>
      <w:r>
        <w:rPr>
          <w:b w:val="false"/>
          <w:bCs w:val="false"/>
        </w:rPr>
        <w:t xml:space="preserve"> - the official EMSD form with the relevant sections completed; its macros, tick-boxes and protected layout are unchanged.</w:t>
      </w:r>
    </w:p>
    <w:p>
      <w:pPr>
        <w:pStyle w:val="Heading1"/>
        <w:pageBreakBefore/>
      </w:pPr>
      <w:r>
        <w:rPr>
          <w:b w:val="false"/>
          <w:bCs w:val="false"/>
        </w:rPr>
        <w:t xml:space="preserve">3  Audit boundary and reporting period</w:t>
      </w:r>
    </w:p>
    <w:p>
      <w:pPr>
        <w:pStyle w:val="Heading2"/>
      </w:pPr>
      <w:r>
        <w:rPr>
          <w:b w:val="false"/>
          <w:bCs w:val="false"/>
        </w:rPr>
        <w:t xml:space="preserve">3.1  Reporting entity and physical boundary</w:t>
      </w:r>
    </w:p>
    <w:p>
      <w:pPr>
        <w:spacing w:after="40" w:before="0" w:line="276"/>
        <w:jc w:val="both"/>
      </w:pPr>
      <w:r>
        <w:rPr>
          <w:b w:val="false"/>
          <w:bCs w:val="false"/>
        </w:rPr>
        <w:t xml:space="preserve">The reporting entity is the </w:t>
      </w:r>
      <w:r>
        <w:rPr>
          <w:b/>
          <w:bCs/>
        </w:rPr>
        <w:t xml:space="preserve">household of Room 1003B</w:t>
      </w:r>
      <w:r>
        <w:rPr>
          <w:b w:val="false"/>
          <w:bCs w:val="false"/>
        </w:rPr>
        <w:t xml:space="preserve">: the auditor and one roommate. The Guidelines ask the reporting entity to define the physical boundary within which emissions are counted [2]. In a student hostel the "home" is not only the room: daily life also depends on a washroom shared by four residents, a floor kitchen used by 32 residents, and hall laundry machines. The boundary therefore combines three kinds of item, shown in the figure below:</w:t>
      </w:r>
    </w:p>
    <w:p>
      <w:pPr>
        <w:pStyle w:val="ListParagraph"/>
        <w:numPr>
          <w:ilvl w:val="0"/>
          <w:numId w:val="2"/>
        </w:numPr>
        <w:spacing w:after="60" w:line="264"/>
      </w:pPr>
      <w:r>
        <w:rPr>
          <w:b w:val="false"/>
          <w:bCs w:val="false"/>
        </w:rPr>
        <w:t xml:space="preserve">the room in full;</w:t>
      </w:r>
    </w:p>
    <w:p>
      <w:pPr>
        <w:pStyle w:val="ListParagraph"/>
        <w:numPr>
          <w:ilvl w:val="0"/>
          <w:numId w:val="2"/>
        </w:numPr>
        <w:spacing w:after="60" w:line="264"/>
      </w:pPr>
      <w:r>
        <w:rPr>
          <w:b w:val="false"/>
          <w:bCs w:val="false"/>
        </w:rPr>
        <w:t xml:space="preserve">per-capita shares of the fixed loads in the shared spaces (fans, lights, refrigerators, water dispenser, kitchen AC);</w:t>
      </w:r>
    </w:p>
    <w:p>
      <w:pPr>
        <w:pStyle w:val="ListParagraph"/>
        <w:numPr>
          <w:ilvl w:val="0"/>
          <w:numId w:val="2"/>
        </w:numPr>
        <w:spacing w:after="60" w:line="264"/>
      </w:pPr>
      <w:r>
        <w:rPr>
          <w:b w:val="false"/>
          <w:bCs w:val="false"/>
        </w:rPr>
        <w:t xml:space="preserve">usage-based items attributed directly (showers, cooking, laundry).</w:t>
      </w:r>
    </w:p>
    <w:p>
      <w:pPr>
        <w:keepNext/>
        <w:spacing w:after="40" w:before="120"/>
        <w:jc w:val="center"/>
      </w:pPr>
      <w:r>
        <w:drawing>
          <wp:inline distT="0" distB="0" distL="0" distR="0">
            <wp:extent cx="581025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3371850"/>
                    </a:xfrm>
                    <a:prstGeom prst="rect">
                      <a:avLst/>
                    </a:prstGeom>
                  </pic:spPr>
                </pic:pic>
              </a:graphicData>
            </a:graphic>
          </wp:inline>
        </w:drawing>
      </w:r>
    </w:p>
    <w:p>
      <w:pPr>
        <w:spacing w:after="200" w:before="60"/>
        <w:jc w:val="center"/>
      </w:pPr>
      <w:r>
        <w:rPr>
          <w:b w:val="false"/>
          <w:bCs w:val="false"/>
          <w:i/>
          <w:iCs/>
          <w:color w:val="52514E"/>
          <w:sz w:val="17"/>
          <w:szCs w:val="17"/>
        </w:rPr>
        <w:t xml:space="preserve">Figure 3.1: Physical and operational boundary of the audit</w:t>
      </w:r>
    </w:p>
    <w:p>
      <w:pPr>
        <w:spacing w:after="120" w:before="0" w:line="276"/>
        <w:jc w:val="both"/>
      </w:pPr>
      <w:r>
        <w:rPr>
          <w:b w:val="false"/>
          <w:bCs w:val="false"/>
        </w:rPr>
        <w:t xml:space="preserve">Per-capita allocation was chosen because every resident has equal access to the shared spaces. Allocating the kitchen over the 20 active users rather than all 32 residents raises the household total by only 4.1% (Section 12). Hall common services (lifts, corridors, lobbies, pumps, central plant and rooftop PV) are outside the boundary because the household cannot influence them and has no data on them.</w:t>
      </w:r>
    </w:p>
    <w:p>
      <w:pPr>
        <w:pStyle w:val="Heading2"/>
      </w:pPr>
      <w:r>
        <w:rPr>
          <w:b w:val="false"/>
          <w:bCs w:val="false"/>
        </w:rPr>
        <w:t xml:space="preserve">3.2  Operational boundary</w:t>
      </w:r>
    </w:p>
    <w:p>
      <w:pPr>
        <w:pStyle w:val="ListParagraph"/>
        <w:numPr>
          <w:ilvl w:val="0"/>
          <w:numId w:val="2"/>
        </w:numPr>
        <w:spacing w:after="60" w:line="264"/>
      </w:pPr>
      <w:r>
        <w:rPr>
          <w:b/>
          <w:bCs/>
        </w:rPr>
        <w:t xml:space="preserve">Scope 1 - direct:</w:t>
      </w:r>
      <w:r>
        <w:rPr>
          <w:b w:val="false"/>
          <w:bCs w:val="false"/>
        </w:rPr>
        <w:t xml:space="preserve"> no fuel is burnt within the boundary; cooking and water heating are all-electric (Guideline Table 1 is nil). Fugitive refrigerant from the room AC (R32) and the kitchen AC (R-410A) is estimated by a screening method (Section 7.2).</w:t>
      </w:r>
    </w:p>
    <w:p>
      <w:pPr>
        <w:pStyle w:val="ListParagraph"/>
        <w:numPr>
          <w:ilvl w:val="0"/>
          <w:numId w:val="2"/>
        </w:numPr>
        <w:spacing w:after="60" w:line="264"/>
      </w:pPr>
      <w:r>
        <w:rPr>
          <w:b/>
          <w:bCs/>
        </w:rPr>
        <w:t xml:space="preserve">Scope 2 - energy indirect:</w:t>
      </w:r>
      <w:r>
        <w:rPr>
          <w:b w:val="false"/>
          <w:bCs w:val="false"/>
        </w:rPr>
        <w:t xml:space="preserve"> electricity purchased from CLP Power for all items in the boundary (Guideline Table 5). No Towngas is used (Table 6 is nil).</w:t>
      </w:r>
    </w:p>
    <w:p>
      <w:pPr>
        <w:pStyle w:val="ListParagraph"/>
        <w:numPr>
          <w:ilvl w:val="0"/>
          <w:numId w:val="2"/>
        </w:numPr>
        <w:spacing w:after="60" w:line="264"/>
      </w:pPr>
      <w:r>
        <w:rPr>
          <w:b/>
          <w:bCs/>
        </w:rPr>
        <w:t xml:space="preserve">Scope 3 - other indirect (optional):</w:t>
      </w:r>
      <w:r>
        <w:rPr>
          <w:b w:val="false"/>
          <w:bCs w:val="false"/>
        </w:rPr>
        <w:t xml:space="preserve"> fresh-water supply (Table 8), sewage treatment (Table 9), paper to landfill (Table 7), and seawater for flushing as an extra item.</w:t>
      </w:r>
    </w:p>
    <w:p>
      <w:pPr>
        <w:pStyle w:val="ListParagraph"/>
        <w:numPr>
          <w:ilvl w:val="0"/>
          <w:numId w:val="2"/>
        </w:numPr>
        <w:spacing w:after="60" w:line="264"/>
      </w:pPr>
      <w:r>
        <w:rPr>
          <w:b/>
          <w:bCs/>
        </w:rPr>
        <w:t xml:space="preserve">Daily-activity extension:</w:t>
      </w:r>
      <w:r>
        <w:rPr>
          <w:b w:val="false"/>
          <w:bCs w:val="false"/>
        </w:rPr>
        <w:t xml:space="preserve"> commuting, flights and diet are reported </w:t>
      </w:r>
      <w:r>
        <w:rPr>
          <w:b/>
          <w:bCs/>
        </w:rPr>
        <w:t xml:space="preserve">separately</w:t>
      </w:r>
      <w:r>
        <w:rPr>
          <w:b w:val="false"/>
          <w:bCs w:val="false"/>
        </w:rPr>
        <w:t xml:space="preserve"> (Section 7.6) so that the building inventory stays comparable with the Guidelines.</w:t>
      </w:r>
    </w:p>
    <w:p>
      <w:pPr>
        <w:pStyle w:val="Heading2"/>
      </w:pPr>
      <w:r>
        <w:rPr>
          <w:b w:val="false"/>
          <w:bCs w:val="false"/>
        </w:rPr>
        <w:t xml:space="preserve">3.3  Reporting period</w:t>
      </w:r>
    </w:p>
    <w:p>
      <w:pPr>
        <w:spacing w:after="120" w:before="0" w:line="276"/>
        <w:jc w:val="both"/>
      </w:pPr>
      <w:r>
        <w:rPr>
          <w:b w:val="false"/>
          <w:bCs w:val="false"/>
        </w:rPr>
        <w:t xml:space="preserve">The auditor has occupied the room since 1 January 2026, so a 36-month history does not exist. EAC §8.1(g)(i) allows a building operating for less than 36 months to count back to its first day of operation [1]. The nine months since move-in (January-September 2026) are analysed in Section 6.2. Results are expressed as a </w:t>
      </w:r>
      <w:r>
        <w:rPr>
          <w:b/>
          <w:bCs/>
        </w:rPr>
        <w:t xml:space="preserve">typical 12-month baseline year</w:t>
      </w:r>
      <w:r>
        <w:rPr>
          <w:b w:val="false"/>
          <w:bCs w:val="false"/>
        </w:rPr>
        <w:t xml:space="preserve">: the reported hot-season (May-Oct) and cool-season (Nov-Apr) behaviour applied to HKO 1991-2020 climate normals [8]. This is the projection of measured use to a complete operating cycle that EAC §7.5.6(b) allows. The reference month is September 2026. The roughly one-month break reported for 2026 is tested as a sensitivity case (-7%).</w:t>
      </w:r>
    </w:p>
    <w:p>
      <w:pPr>
        <w:pStyle w:val="Heading1"/>
        <w:pageBreakBefore/>
      </w:pPr>
      <w:r>
        <w:rPr>
          <w:b w:val="false"/>
          <w:bCs w:val="false"/>
        </w:rPr>
        <w:t xml:space="preserve">4  Site and building characteristics (EAC §8.1(b))</w:t>
      </w:r>
    </w:p>
    <w:p>
      <w:pPr>
        <w:pStyle w:val="Heading2"/>
      </w:pPr>
      <w:r>
        <w:rPr>
          <w:b w:val="false"/>
          <w:bCs w:val="false"/>
        </w:rPr>
        <w:t xml:space="preserve">4.1  Location and climate</w:t>
      </w:r>
    </w:p>
    <w:p>
      <w:pPr>
        <w:keepNext/>
        <w:spacing w:after="40" w:before="0" w:line="276"/>
        <w:jc w:val="both"/>
      </w:pPr>
      <w:r>
        <w:rPr>
          <w:b w:val="false"/>
          <w:bCs w:val="false"/>
        </w:rPr>
        <w:t xml:space="preserve">The residence is in Ma On Shan, New Territories (22°26'0" N, 114°14'32" E, 44 m above sea level), overlooking Tolo Harbour. Hong Kong's humid sub-tropical climate makes cooling the dominant service.</w:t>
      </w:r>
    </w:p>
    <w:p>
      <w:pPr>
        <w:pStyle w:val="ListParagraph"/>
        <w:numPr>
          <w:ilvl w:val="0"/>
          <w:numId w:val="2"/>
        </w:numPr>
        <w:spacing w:after="60" w:line="264"/>
      </w:pPr>
      <w:r>
        <w:rPr>
          <w:b w:val="false"/>
          <w:bCs w:val="false"/>
        </w:rPr>
        <w:t xml:space="preserve">The HKO 1991-2020 normals (HKO Headquarters, used as representative of the territory) give an annual mean temperature of 23.5 °C [8].</w:t>
      </w:r>
    </w:p>
    <w:p>
      <w:pPr>
        <w:pStyle w:val="ListParagraph"/>
        <w:numPr>
          <w:ilvl w:val="0"/>
          <w:numId w:val="2"/>
        </w:numPr>
        <w:spacing w:after="60" w:line="264"/>
      </w:pPr>
      <w:r>
        <w:rPr>
          <w:b w:val="false"/>
          <w:bCs w:val="false"/>
        </w:rPr>
        <w:t xml:space="preserve">In the hot season (May-October), monthly means range from 25.7 °C in October to 28.9 °C in July. The coolest month is January, at 16.5 °C.</w:t>
      </w:r>
    </w:p>
    <w:p>
      <w:pPr>
        <w:pStyle w:val="ListParagraph"/>
        <w:numPr>
          <w:ilvl w:val="0"/>
          <w:numId w:val="2"/>
        </w:numPr>
        <w:spacing w:after="60" w:line="264"/>
      </w:pPr>
      <w:r>
        <w:rPr>
          <w:b w:val="false"/>
          <w:bCs w:val="false"/>
        </w:rPr>
        <w:t xml:space="preserve">Space heating is not provided and was not used.</w:t>
      </w:r>
    </w:p>
    <w:p>
      <w:pPr>
        <w:pStyle w:val="ListParagraph"/>
        <w:numPr>
          <w:ilvl w:val="0"/>
          <w:numId w:val="2"/>
        </w:numPr>
        <w:spacing w:after="60" w:line="264"/>
      </w:pPr>
      <w:r>
        <w:rPr>
          <w:b w:val="false"/>
          <w:bCs w:val="false"/>
        </w:rPr>
        <w:t xml:space="preserve">The cold season matters for hot water, because the mains-water temperature follows the air temperature.</w:t>
      </w:r>
    </w:p>
    <w:p>
      <w:pPr>
        <w:pStyle w:val="Heading2"/>
      </w:pPr>
      <w:r>
        <w:rPr>
          <w:b w:val="false"/>
          <w:bCs w:val="false"/>
        </w:rPr>
        <w:t xml:space="preserve">4.2  The building</w:t>
      </w:r>
    </w:p>
    <w:p>
      <w:pPr>
        <w:keepNext/>
        <w:spacing w:after="40" w:before="0" w:line="276"/>
        <w:jc w:val="both"/>
      </w:pPr>
      <w:r>
        <w:rPr>
          <w:b w:val="false"/>
          <w:bCs w:val="false"/>
        </w:rPr>
        <w:t xml:space="preserve">Hall 13 is part of CityU's </w:t>
      </w:r>
      <w:r>
        <w:rPr>
          <w:b/>
          <w:bCs/>
        </w:rPr>
        <w:t xml:space="preserve">Lee Shau Kee Student Residence Village</w:t>
      </w:r>
      <w:r>
        <w:rPr>
          <w:b w:val="false"/>
          <w:bCs w:val="false"/>
        </w:rPr>
        <w:t xml:space="preserve"> in Ma On Shan [15]:</w:t>
      </w:r>
    </w:p>
    <w:p>
      <w:pPr>
        <w:pStyle w:val="ListParagraph"/>
        <w:numPr>
          <w:ilvl w:val="0"/>
          <w:numId w:val="2"/>
        </w:numPr>
        <w:spacing w:after="60" w:line="264"/>
      </w:pPr>
      <w:r>
        <w:rPr>
          <w:b w:val="false"/>
          <w:bCs w:val="false"/>
        </w:rPr>
        <w:t xml:space="preserve">6 halls in 3 towers, housing about 2,100 residents;</w:t>
      </w:r>
    </w:p>
    <w:p>
      <w:pPr>
        <w:pStyle w:val="ListParagraph"/>
        <w:numPr>
          <w:ilvl w:val="0"/>
          <w:numId w:val="2"/>
        </w:numPr>
        <w:spacing w:after="60" w:line="264"/>
      </w:pPr>
      <w:r>
        <w:rPr>
          <w:b w:val="false"/>
          <w:bCs w:val="false"/>
        </w:rPr>
        <w:t xml:space="preserve">built by modular integrated construction (MiC) from more than 1,300 prefabricated modules, and opened in the third quarter of 2024, with an opening and naming ceremony in December 2024;</w:t>
      </w:r>
    </w:p>
    <w:p>
      <w:pPr>
        <w:pStyle w:val="ListParagraph"/>
        <w:numPr>
          <w:ilvl w:val="0"/>
          <w:numId w:val="2"/>
        </w:numPr>
        <w:spacing w:after="120" w:line="264"/>
      </w:pPr>
      <w:r>
        <w:rPr>
          <w:b w:val="false"/>
          <w:bCs w:val="false"/>
        </w:rPr>
        <w:t xml:space="preserve">110 rooftop photovoltaic panels and a building management system.</w:t>
      </w:r>
    </w:p>
    <w:p>
      <w:pPr>
        <w:spacing w:after="120" w:before="0" w:line="276"/>
        <w:jc w:val="both"/>
      </w:pPr>
      <w:r>
        <w:rPr>
          <w:b w:val="false"/>
          <w:bCs w:val="false"/>
        </w:rPr>
        <w:t xml:space="preserve">Each room has its own window AC charged through an Octopus-card system. Lighting and socket power are included in the hall fee.</w:t>
      </w:r>
    </w:p>
    <w:p>
      <w:pPr>
        <w:pStyle w:val="Heading2"/>
      </w:pPr>
      <w:r>
        <w:rPr>
          <w:b w:val="false"/>
          <w:bCs w:val="false"/>
        </w:rPr>
        <w:t xml:space="preserve">4.3  The audited room</w:t>
      </w:r>
    </w:p>
    <w:p>
      <w:pPr>
        <w:keepNext/>
        <w:spacing w:after="80" w:before="160"/>
      </w:pPr>
      <w:r>
        <w:rPr>
          <w:b/>
          <w:bCs/>
          <w:color w:val="1F3864"/>
          <w:sz w:val="18"/>
          <w:szCs w:val="18"/>
        </w:rPr>
        <w:t xml:space="preserve">Table 4.1: Characteristics of Room 1003B</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812"/>
      </w:tblGrid>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Floor area / occupants</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15 m² / 2 (7.5 m² per person; HK median 16 m² [23])</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Floor / orientation</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10/F; window wall faces NW (328°, phone compass)</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Glazing</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Single-pane clear glass in a dark aluminium frame with fly screen: 2 casements of 0.53 × 1.26 m (0.67 m² each) + fixed pane of 1.10 × 0.19 m (0.209 m²) = 1.55 m² (10.3% of floor area)</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Shading / solar</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Full-height grey curtain; direct sun for about 40 min in the late afternoon (NW orientation catches the low summer sun)</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Air-conditioning</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Midea MW-12CRF8E 1.5 HP inverter window unit above the window (Section 5.1)</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Lighting</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2 ceiling LED linear battens + 2 under-shelf LED desk lights</w:t>
            </w:r>
          </w:p>
        </w:tc>
      </w:tr>
      <w:tr>
        <w:trPr>
          <w:cantSplit/>
        </w:trPr>
        <w:tc>
          <w:tcPr>
            <w:tcW w:type="dxa" w:w="2600"/>
            <w:shd w:fill="E2EFDA" w:color="auto" w:val="clear"/>
            <w:tcMar>
              <w:top w:type="dxa" w:w="50"/>
              <w:left w:type="dxa" w:w="90"/>
              <w:bottom w:type="dxa" w:w="50"/>
              <w:right w:type="dxa" w:w="90"/>
            </w:tcMar>
            <w:vAlign w:val="center"/>
          </w:tcPr>
          <w:p>
            <w:pPr>
              <w:spacing w:after="0" w:line="240"/>
              <w:jc w:val="left"/>
            </w:pPr>
            <w:r>
              <w:rPr>
                <w:b w:val="false"/>
                <w:bCs w:val="false"/>
                <w:sz w:val="17"/>
                <w:szCs w:val="17"/>
              </w:rPr>
              <w:t xml:space="preserve">Other equipment</w:t>
            </w:r>
          </w:p>
        </w:tc>
        <w:tc>
          <w:tcPr>
            <w:tcW w:type="dxa" w:w="6812"/>
            <w:tcMar>
              <w:top w:type="dxa" w:w="50"/>
              <w:left w:type="dxa" w:w="90"/>
              <w:bottom w:type="dxa" w:w="50"/>
              <w:right w:type="dxa" w:w="90"/>
            </w:tcMar>
            <w:vAlign w:val="center"/>
          </w:tcPr>
          <w:p>
            <w:pPr>
              <w:spacing w:after="0" w:line="240"/>
              <w:jc w:val="left"/>
            </w:pPr>
            <w:r>
              <w:rPr>
                <w:b w:val="false"/>
                <w:bCs w:val="false"/>
                <w:sz w:val="17"/>
                <w:szCs w:val="17"/>
              </w:rPr>
              <w:t xml:space="preserve">2 laptops, 2 phones, 1 desk fan (20 W); no fridge, kettle, heater, TV or router</w:t>
            </w:r>
          </w:p>
        </w:tc>
      </w:tr>
    </w:tbl>
    <w:p>
      <w:pPr>
        <w:spacing w:after="8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rPr>
          <w:cantSplit/>
        </w:trPr>
        <w:tc>
          <w:tcPr>
            <w:tcW w:type="dxa" w:w="9412"/>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3137"/>
              <w:gridCol w:w="3137"/>
              <w:gridCol w:w="3138"/>
            </w:tblGrid>
            <w:tr>
              <w:trPr>
                <w:cantSplit/>
              </w:trPr>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50495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04950" cy="20097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02a: NW-facing window and curtain</w:t>
                  </w:r>
                </w:p>
              </w:tc>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9239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23925" cy="20097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02c: casement measured 0.53 × 1.26 m</w:t>
                  </w:r>
                </w:p>
              </w:tc>
              <w:tc>
                <w:tcPr>
                  <w:tcW w:type="dxa" w:w="3138"/>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2954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95400" cy="199072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02d: 328° NW, Ma On Shan</w:t>
                  </w:r>
                </w:p>
              </w:tc>
            </w:tr>
          </w:tbl>
          <w:p>
            <w:pPr>
              <w:spacing w:after="200" w:before="60"/>
              <w:jc w:val="center"/>
            </w:pPr>
            <w:r>
              <w:rPr>
                <w:b w:val="false"/>
                <w:bCs w:val="false"/>
                <w:i/>
                <w:iCs/>
                <w:color w:val="52514E"/>
                <w:sz w:val="17"/>
                <w:szCs w:val="17"/>
              </w:rPr>
              <w:t xml:space="preserve">Figure 4.1: Window, glazing measurement and orientation evidence</w:t>
            </w:r>
          </w:p>
        </w:tc>
      </w:tr>
    </w:tbl>
    <w:p>
      <w:pPr>
        <w:pStyle w:val="Heading2"/>
      </w:pPr>
      <w:r>
        <w:rPr>
          <w:b w:val="false"/>
          <w:bCs w:val="false"/>
        </w:rPr>
        <w:t xml:space="preserve">4.4  Occupancy profile</w:t>
      </w:r>
    </w:p>
    <w:p>
      <w:pPr>
        <w:keepNext/>
        <w:spacing w:after="80" w:before="160"/>
      </w:pPr>
      <w:r>
        <w:rPr>
          <w:b/>
          <w:bCs/>
          <w:color w:val="1F3864"/>
          <w:sz w:val="18"/>
          <w:szCs w:val="18"/>
        </w:rPr>
        <w:t xml:space="preserve">Table 4.2: Occupancy and operating schedule (reported)</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100"/>
        <w:gridCol w:w="2600"/>
        <w:gridCol w:w="2400"/>
        <w:gridCol w:w="2312"/>
      </w:tblGrid>
      <w:tr>
        <w:trPr>
          <w:tblHeader/>
        </w:trPr>
        <w:tc>
          <w:tcPr>
            <w:tcW w:type="dxa" w:w="2100"/>
            <w:shd w:fill="DCE6F0" w:color="auto" w:val="clear"/>
            <w:tcMar>
              <w:top w:type="dxa" w:w="50"/>
              <w:left w:type="dxa" w:w="90"/>
              <w:bottom w:type="dxa" w:w="50"/>
              <w:right w:type="dxa" w:w="90"/>
            </w:tcMar>
            <w:vAlign w:val="center"/>
          </w:tcPr>
          <w:p>
            <w:pPr>
              <w:spacing w:after="0" w:line="240"/>
              <w:jc w:val="left"/>
            </w:pPr>
            <w:r>
              <w:rPr>
                <w:b/>
                <w:bCs/>
                <w:color w:val="1F3864"/>
                <w:sz w:val="17"/>
                <w:szCs w:val="17"/>
              </w:rPr>
              <w:t xml:space="preserve">Period</w:t>
            </w:r>
          </w:p>
        </w:tc>
        <w:tc>
          <w:tcPr>
            <w:tcW w:type="dxa" w:w="2600"/>
            <w:shd w:fill="DCE6F0" w:color="auto" w:val="clear"/>
            <w:tcMar>
              <w:top w:type="dxa" w:w="50"/>
              <w:left w:type="dxa" w:w="90"/>
              <w:bottom w:type="dxa" w:w="50"/>
              <w:right w:type="dxa" w:w="90"/>
            </w:tcMar>
            <w:vAlign w:val="center"/>
          </w:tcPr>
          <w:p>
            <w:pPr>
              <w:spacing w:after="0" w:line="240"/>
              <w:jc w:val="left"/>
            </w:pPr>
            <w:r>
              <w:rPr>
                <w:b/>
                <w:bCs/>
                <w:color w:val="1F3864"/>
                <w:sz w:val="17"/>
                <w:szCs w:val="17"/>
              </w:rPr>
              <w:t xml:space="preserve">Time in room</w:t>
            </w:r>
          </w:p>
        </w:tc>
        <w:tc>
          <w:tcPr>
            <w:tcW w:type="dxa" w:w="2400"/>
            <w:shd w:fill="DCE6F0" w:color="auto" w:val="clear"/>
            <w:tcMar>
              <w:top w:type="dxa" w:w="50"/>
              <w:left w:type="dxa" w:w="90"/>
              <w:bottom w:type="dxa" w:w="50"/>
              <w:right w:type="dxa" w:w="90"/>
            </w:tcMar>
            <w:vAlign w:val="center"/>
          </w:tcPr>
          <w:p>
            <w:pPr>
              <w:spacing w:after="0" w:line="240"/>
              <w:jc w:val="left"/>
            </w:pPr>
            <w:r>
              <w:rPr>
                <w:b/>
                <w:bCs/>
                <w:color w:val="1F3864"/>
                <w:sz w:val="17"/>
                <w:szCs w:val="17"/>
              </w:rPr>
              <w:t xml:space="preserve">Hours</w:t>
            </w:r>
          </w:p>
        </w:tc>
        <w:tc>
          <w:tcPr>
            <w:tcW w:type="dxa" w:w="2312"/>
            <w:shd w:fill="DCE6F0" w:color="auto" w:val="clear"/>
            <w:tcMar>
              <w:top w:type="dxa" w:w="50"/>
              <w:left w:type="dxa" w:w="90"/>
              <w:bottom w:type="dxa" w:w="50"/>
              <w:right w:type="dxa" w:w="90"/>
            </w:tcMar>
            <w:vAlign w:val="center"/>
          </w:tcPr>
          <w:p>
            <w:pPr>
              <w:spacing w:after="0" w:line="240"/>
              <w:jc w:val="left"/>
            </w:pPr>
            <w:r>
              <w:rPr>
                <w:b/>
                <w:bCs/>
                <w:color w:val="1F3864"/>
                <w:sz w:val="17"/>
                <w:szCs w:val="17"/>
              </w:rPr>
              <w:t xml:space="preserve">AC use</w:t>
            </w:r>
          </w:p>
        </w:tc>
      </w:tr>
      <w:tr>
        <w:trPr>
          <w:cantSplit/>
        </w:trPr>
        <w:tc>
          <w:tcPr>
            <w:tcW w:type="dxa" w:w="2100"/>
            <w:tcMar>
              <w:top w:type="dxa" w:w="50"/>
              <w:left w:type="dxa" w:w="90"/>
              <w:bottom w:type="dxa" w:w="50"/>
              <w:right w:type="dxa" w:w="90"/>
            </w:tcMar>
            <w:vAlign w:val="center"/>
          </w:tcPr>
          <w:p>
            <w:pPr>
              <w:spacing w:after="0" w:line="240"/>
              <w:jc w:val="left"/>
            </w:pPr>
            <w:r>
              <w:rPr>
                <w:b w:val="false"/>
                <w:bCs w:val="false"/>
                <w:sz w:val="17"/>
                <w:szCs w:val="17"/>
              </w:rPr>
              <w:t xml:space="preserve">Weekday</w:t>
            </w:r>
          </w:p>
        </w:tc>
        <w:tc>
          <w:tcPr>
            <w:tcW w:type="dxa" w:w="2600"/>
            <w:tcMar>
              <w:top w:type="dxa" w:w="50"/>
              <w:left w:type="dxa" w:w="90"/>
              <w:bottom w:type="dxa" w:w="50"/>
              <w:right w:type="dxa" w:w="90"/>
            </w:tcMar>
            <w:vAlign w:val="center"/>
          </w:tcPr>
          <w:p>
            <w:pPr>
              <w:spacing w:after="0" w:line="240"/>
              <w:jc w:val="left"/>
            </w:pPr>
            <w:r>
              <w:rPr>
                <w:b w:val="false"/>
                <w:bCs w:val="false"/>
                <w:sz w:val="17"/>
                <w:szCs w:val="17"/>
              </w:rPr>
              <w:t xml:space="preserve">22:00 - 11:00</w:t>
            </w:r>
          </w:p>
        </w:tc>
        <w:tc>
          <w:tcPr>
            <w:tcW w:type="dxa" w:w="2400"/>
            <w:tcMar>
              <w:top w:type="dxa" w:w="50"/>
              <w:left w:type="dxa" w:w="90"/>
              <w:bottom w:type="dxa" w:w="50"/>
              <w:right w:type="dxa" w:w="90"/>
            </w:tcMar>
            <w:vAlign w:val="center"/>
          </w:tcPr>
          <w:p>
            <w:pPr>
              <w:spacing w:after="0" w:line="240"/>
              <w:jc w:val="left"/>
            </w:pPr>
            <w:r>
              <w:rPr>
                <w:b w:val="false"/>
                <w:bCs w:val="false"/>
                <w:sz w:val="17"/>
                <w:szCs w:val="17"/>
              </w:rPr>
              <w:t xml:space="preserve">13 h × 5 = 65 h</w:t>
            </w:r>
          </w:p>
        </w:tc>
        <w:tc>
          <w:tcPr>
            <w:tcW w:type="dxa" w:w="2312"/>
            <w:tcMar>
              <w:top w:type="dxa" w:w="50"/>
              <w:left w:type="dxa" w:w="90"/>
              <w:bottom w:type="dxa" w:w="50"/>
              <w:right w:type="dxa" w:w="90"/>
            </w:tcMar>
            <w:vAlign w:val="center"/>
          </w:tcPr>
          <w:p>
            <w:pPr>
              <w:spacing w:after="0" w:line="240"/>
              <w:jc w:val="left"/>
            </w:pPr>
            <w:r>
              <w:rPr>
                <w:b w:val="false"/>
                <w:bCs w:val="false"/>
                <w:sz w:val="17"/>
                <w:szCs w:val="17"/>
              </w:rPr>
              <w:t xml:space="preserve">On all night in hot months</w:t>
            </w:r>
          </w:p>
        </w:tc>
      </w:tr>
      <w:tr>
        <w:trPr>
          <w:cantSplit/>
        </w:trPr>
        <w:tc>
          <w:tcPr>
            <w:tcW w:type="dxa" w:w="2100"/>
            <w:tcMar>
              <w:top w:type="dxa" w:w="50"/>
              <w:left w:type="dxa" w:w="90"/>
              <w:bottom w:type="dxa" w:w="50"/>
              <w:right w:type="dxa" w:w="90"/>
            </w:tcMar>
            <w:vAlign w:val="center"/>
          </w:tcPr>
          <w:p>
            <w:pPr>
              <w:spacing w:after="0" w:line="240"/>
              <w:jc w:val="left"/>
            </w:pPr>
            <w:r>
              <w:rPr>
                <w:b w:val="false"/>
                <w:bCs w:val="false"/>
                <w:sz w:val="17"/>
                <w:szCs w:val="17"/>
              </w:rPr>
              <w:t xml:space="preserve">Saturday / Sunday</w:t>
            </w:r>
          </w:p>
        </w:tc>
        <w:tc>
          <w:tcPr>
            <w:tcW w:type="dxa" w:w="2600"/>
            <w:tcMar>
              <w:top w:type="dxa" w:w="50"/>
              <w:left w:type="dxa" w:w="90"/>
              <w:bottom w:type="dxa" w:w="50"/>
              <w:right w:type="dxa" w:w="90"/>
            </w:tcMar>
            <w:vAlign w:val="center"/>
          </w:tcPr>
          <w:p>
            <w:pPr>
              <w:spacing w:after="0" w:line="240"/>
              <w:jc w:val="left"/>
            </w:pPr>
            <w:r>
              <w:rPr>
                <w:b w:val="false"/>
                <w:bCs w:val="false"/>
                <w:sz w:val="17"/>
                <w:szCs w:val="17"/>
              </w:rPr>
              <w:t xml:space="preserve">Most of the day</w:t>
            </w:r>
          </w:p>
        </w:tc>
        <w:tc>
          <w:tcPr>
            <w:tcW w:type="dxa" w:w="2400"/>
            <w:tcMar>
              <w:top w:type="dxa" w:w="50"/>
              <w:left w:type="dxa" w:w="90"/>
              <w:bottom w:type="dxa" w:w="50"/>
              <w:right w:type="dxa" w:w="90"/>
            </w:tcMar>
            <w:vAlign w:val="center"/>
          </w:tcPr>
          <w:p>
            <w:pPr>
              <w:spacing w:after="0" w:line="240"/>
              <w:jc w:val="left"/>
            </w:pPr>
            <w:r>
              <w:rPr>
                <w:b w:val="false"/>
                <w:bCs w:val="false"/>
                <w:sz w:val="17"/>
                <w:szCs w:val="17"/>
              </w:rPr>
              <w:t xml:space="preserve">20 h + 18 h = 38 h</w:t>
            </w:r>
          </w:p>
        </w:tc>
        <w:tc>
          <w:tcPr>
            <w:tcW w:type="dxa" w:w="2312"/>
            <w:tcMar>
              <w:top w:type="dxa" w:w="50"/>
              <w:left w:type="dxa" w:w="90"/>
              <w:bottom w:type="dxa" w:w="50"/>
              <w:right w:type="dxa" w:w="90"/>
            </w:tcMar>
            <w:vAlign w:val="center"/>
          </w:tcPr>
          <w:p>
            <w:pPr>
              <w:spacing w:after="0" w:line="240"/>
              <w:jc w:val="left"/>
            </w:pPr>
          </w:p>
        </w:tc>
      </w:tr>
      <w:tr>
        <w:trPr>
          <w:cantSplit/>
        </w:trPr>
        <w:tc>
          <w:tcPr>
            <w:tcW w:type="dxa" w:w="2100"/>
            <w:tcMar>
              <w:top w:type="dxa" w:w="50"/>
              <w:left w:type="dxa" w:w="90"/>
              <w:bottom w:type="dxa" w:w="50"/>
              <w:right w:type="dxa" w:w="90"/>
            </w:tcMar>
            <w:vAlign w:val="center"/>
          </w:tcPr>
          <w:p>
            <w:pPr>
              <w:spacing w:after="0" w:line="240"/>
              <w:jc w:val="left"/>
            </w:pPr>
            <w:r>
              <w:rPr>
                <w:b w:val="false"/>
                <w:bCs w:val="false"/>
                <w:sz w:val="17"/>
                <w:szCs w:val="17"/>
              </w:rPr>
              <w:t xml:space="preserve">Week total</w:t>
            </w:r>
          </w:p>
        </w:tc>
        <w:tc>
          <w:tcPr>
            <w:tcW w:type="dxa" w:w="2600"/>
            <w:tcMar>
              <w:top w:type="dxa" w:w="50"/>
              <w:left w:type="dxa" w:w="90"/>
              <w:bottom w:type="dxa" w:w="50"/>
              <w:right w:type="dxa" w:w="90"/>
            </w:tcMar>
            <w:vAlign w:val="center"/>
          </w:tcPr>
          <w:p>
            <w:pPr>
              <w:spacing w:after="0" w:line="240"/>
              <w:jc w:val="left"/>
            </w:pPr>
          </w:p>
        </w:tc>
        <w:tc>
          <w:tcPr>
            <w:tcW w:type="dxa" w:w="2400"/>
            <w:tcMar>
              <w:top w:type="dxa" w:w="50"/>
              <w:left w:type="dxa" w:w="90"/>
              <w:bottom w:type="dxa" w:w="50"/>
              <w:right w:type="dxa" w:w="90"/>
            </w:tcMar>
            <w:vAlign w:val="center"/>
          </w:tcPr>
          <w:p>
            <w:pPr>
              <w:spacing w:after="0" w:line="240"/>
              <w:jc w:val="left"/>
            </w:pPr>
            <w:r>
              <w:rPr>
                <w:b w:val="false"/>
                <w:bCs w:val="false"/>
                <w:sz w:val="17"/>
                <w:szCs w:val="17"/>
              </w:rPr>
              <w:t xml:space="preserve">103 h (61% of the week)</w:t>
            </w:r>
          </w:p>
        </w:tc>
        <w:tc>
          <w:tcPr>
            <w:tcW w:type="dxa" w:w="2312"/>
            <w:tcMar>
              <w:top w:type="dxa" w:w="50"/>
              <w:left w:type="dxa" w:w="90"/>
              <w:bottom w:type="dxa" w:w="50"/>
              <w:right w:type="dxa" w:w="90"/>
            </w:tcMar>
            <w:vAlign w:val="center"/>
          </w:tcPr>
          <w:p>
            <w:pPr>
              <w:spacing w:after="0" w:line="240"/>
              <w:jc w:val="left"/>
            </w:pPr>
          </w:p>
        </w:tc>
      </w:tr>
      <w:tr>
        <w:trPr>
          <w:cantSplit/>
        </w:trPr>
        <w:tc>
          <w:tcPr>
            <w:tcW w:type="dxa" w:w="2100"/>
            <w:tcMar>
              <w:top w:type="dxa" w:w="50"/>
              <w:left w:type="dxa" w:w="90"/>
              <w:bottom w:type="dxa" w:w="50"/>
              <w:right w:type="dxa" w:w="90"/>
            </w:tcMar>
            <w:vAlign w:val="center"/>
          </w:tcPr>
          <w:p>
            <w:pPr>
              <w:spacing w:after="0" w:line="240"/>
              <w:jc w:val="left"/>
            </w:pPr>
            <w:r>
              <w:rPr>
                <w:b w:val="false"/>
                <w:bCs w:val="false"/>
                <w:sz w:val="17"/>
                <w:szCs w:val="17"/>
              </w:rPr>
              <w:t xml:space="preserve">Hot season (May-Oct)</w:t>
            </w:r>
          </w:p>
        </w:tc>
        <w:tc>
          <w:tcPr>
            <w:tcW w:type="dxa" w:w="2600"/>
            <w:tcMar>
              <w:top w:type="dxa" w:w="50"/>
              <w:left w:type="dxa" w:w="90"/>
              <w:bottom w:type="dxa" w:w="50"/>
              <w:right w:type="dxa" w:w="90"/>
            </w:tcMar>
            <w:vAlign w:val="center"/>
          </w:tcPr>
          <w:p>
            <w:pPr>
              <w:spacing w:after="0" w:line="240"/>
              <w:jc w:val="left"/>
            </w:pPr>
          </w:p>
        </w:tc>
        <w:tc>
          <w:tcPr>
            <w:tcW w:type="dxa" w:w="2400"/>
            <w:tcMar>
              <w:top w:type="dxa" w:w="50"/>
              <w:left w:type="dxa" w:w="90"/>
              <w:bottom w:type="dxa" w:w="50"/>
              <w:right w:type="dxa" w:w="90"/>
            </w:tcMar>
            <w:vAlign w:val="center"/>
          </w:tcPr>
          <w:p>
            <w:pPr>
              <w:spacing w:after="0" w:line="240"/>
              <w:jc w:val="left"/>
            </w:pPr>
            <w:r>
              <w:rPr>
                <w:b w:val="false"/>
                <w:bCs w:val="false"/>
                <w:sz w:val="17"/>
                <w:szCs w:val="17"/>
              </w:rPr>
              <w:t xml:space="preserve">AC 12 h/day at 25 °C</w:t>
            </w:r>
          </w:p>
        </w:tc>
        <w:tc>
          <w:tcPr>
            <w:tcW w:type="dxa" w:w="2312"/>
            <w:tcMar>
              <w:top w:type="dxa" w:w="50"/>
              <w:left w:type="dxa" w:w="90"/>
              <w:bottom w:type="dxa" w:w="50"/>
              <w:right w:type="dxa" w:w="90"/>
            </w:tcMar>
            <w:vAlign w:val="center"/>
          </w:tcPr>
          <w:p>
            <w:pPr>
              <w:spacing w:after="0" w:line="240"/>
              <w:jc w:val="left"/>
            </w:pPr>
            <w:r>
              <w:rPr>
                <w:b w:val="false"/>
                <w:bCs w:val="false"/>
                <w:sz w:val="17"/>
                <w:szCs w:val="17"/>
              </w:rPr>
              <w:t xml:space="preserve">Octopus about HK$140/month</w:t>
            </w:r>
          </w:p>
        </w:tc>
      </w:tr>
      <w:tr>
        <w:trPr>
          <w:cantSplit/>
        </w:trPr>
        <w:tc>
          <w:tcPr>
            <w:tcW w:type="dxa" w:w="2100"/>
            <w:tcMar>
              <w:top w:type="dxa" w:w="50"/>
              <w:left w:type="dxa" w:w="90"/>
              <w:bottom w:type="dxa" w:w="50"/>
              <w:right w:type="dxa" w:w="90"/>
            </w:tcMar>
            <w:vAlign w:val="center"/>
          </w:tcPr>
          <w:p>
            <w:pPr>
              <w:spacing w:after="0" w:line="240"/>
              <w:jc w:val="left"/>
            </w:pPr>
            <w:r>
              <w:rPr>
                <w:b w:val="false"/>
                <w:bCs w:val="false"/>
                <w:sz w:val="17"/>
                <w:szCs w:val="17"/>
              </w:rPr>
              <w:t xml:space="preserve">Cool season (Nov-Apr)</w:t>
            </w:r>
          </w:p>
        </w:tc>
        <w:tc>
          <w:tcPr>
            <w:tcW w:type="dxa" w:w="2600"/>
            <w:tcMar>
              <w:top w:type="dxa" w:w="50"/>
              <w:left w:type="dxa" w:w="90"/>
              <w:bottom w:type="dxa" w:w="50"/>
              <w:right w:type="dxa" w:w="90"/>
            </w:tcMar>
            <w:vAlign w:val="center"/>
          </w:tcPr>
          <w:p>
            <w:pPr>
              <w:spacing w:after="0" w:line="240"/>
              <w:jc w:val="left"/>
            </w:pPr>
          </w:p>
        </w:tc>
        <w:tc>
          <w:tcPr>
            <w:tcW w:type="dxa" w:w="2400"/>
            <w:tcMar>
              <w:top w:type="dxa" w:w="50"/>
              <w:left w:type="dxa" w:w="90"/>
              <w:bottom w:type="dxa" w:w="50"/>
              <w:right w:type="dxa" w:w="90"/>
            </w:tcMar>
            <w:vAlign w:val="center"/>
          </w:tcPr>
          <w:p>
            <w:pPr>
              <w:spacing w:after="0" w:line="240"/>
              <w:jc w:val="left"/>
            </w:pPr>
            <w:r>
              <w:rPr>
                <w:b w:val="false"/>
                <w:bCs w:val="false"/>
                <w:sz w:val="17"/>
                <w:szCs w:val="17"/>
              </w:rPr>
              <w:t xml:space="preserve">AC 4 h/day</w:t>
            </w:r>
          </w:p>
        </w:tc>
        <w:tc>
          <w:tcPr>
            <w:tcW w:type="dxa" w:w="2312"/>
            <w:tcMar>
              <w:top w:type="dxa" w:w="50"/>
              <w:left w:type="dxa" w:w="90"/>
              <w:bottom w:type="dxa" w:w="50"/>
              <w:right w:type="dxa" w:w="90"/>
            </w:tcMar>
            <w:vAlign w:val="center"/>
          </w:tcPr>
          <w:p>
            <w:pPr>
              <w:spacing w:after="0" w:line="240"/>
              <w:jc w:val="left"/>
            </w:pPr>
            <w:r>
              <w:rPr>
                <w:b w:val="false"/>
                <w:bCs w:val="false"/>
                <w:sz w:val="17"/>
                <w:szCs w:val="17"/>
              </w:rPr>
              <w:t xml:space="preserve">Octopus about HK$50/month</w:t>
            </w:r>
          </w:p>
        </w:tc>
      </w:tr>
      <w:tr>
        <w:trPr>
          <w:cantSplit/>
        </w:trPr>
        <w:tc>
          <w:tcPr>
            <w:tcW w:type="dxa" w:w="2100"/>
            <w:tcMar>
              <w:top w:type="dxa" w:w="50"/>
              <w:left w:type="dxa" w:w="90"/>
              <w:bottom w:type="dxa" w:w="50"/>
              <w:right w:type="dxa" w:w="90"/>
            </w:tcMar>
            <w:vAlign w:val="center"/>
          </w:tcPr>
          <w:p>
            <w:pPr>
              <w:spacing w:after="0" w:line="240"/>
              <w:jc w:val="left"/>
            </w:pPr>
            <w:r>
              <w:rPr>
                <w:b w:val="false"/>
                <w:bCs w:val="false"/>
                <w:sz w:val="17"/>
                <w:szCs w:val="17"/>
              </w:rPr>
              <w:t xml:space="preserve">Year</w:t>
            </w:r>
          </w:p>
        </w:tc>
        <w:tc>
          <w:tcPr>
            <w:tcW w:type="dxa" w:w="2600"/>
            <w:tcMar>
              <w:top w:type="dxa" w:w="50"/>
              <w:left w:type="dxa" w:w="90"/>
              <w:bottom w:type="dxa" w:w="50"/>
              <w:right w:type="dxa" w:w="90"/>
            </w:tcMar>
            <w:vAlign w:val="center"/>
          </w:tcPr>
          <w:p>
            <w:pPr>
              <w:spacing w:after="0" w:line="240"/>
              <w:jc w:val="left"/>
            </w:pPr>
            <w:r>
              <w:rPr>
                <w:b w:val="false"/>
                <w:bCs w:val="false"/>
                <w:sz w:val="17"/>
                <w:szCs w:val="17"/>
              </w:rPr>
              <w:t xml:space="preserve">About 11 of 12 months in Hong Kong</w:t>
            </w:r>
          </w:p>
        </w:tc>
        <w:tc>
          <w:tcPr>
            <w:tcW w:type="dxa" w:w="2400"/>
            <w:tcMar>
              <w:top w:type="dxa" w:w="50"/>
              <w:left w:type="dxa" w:w="90"/>
              <w:bottom w:type="dxa" w:w="50"/>
              <w:right w:type="dxa" w:w="90"/>
            </w:tcMar>
            <w:vAlign w:val="center"/>
          </w:tcPr>
          <w:p>
            <w:pPr>
              <w:spacing w:after="0" w:line="240"/>
              <w:jc w:val="left"/>
            </w:pPr>
          </w:p>
        </w:tc>
        <w:tc>
          <w:tcPr>
            <w:tcW w:type="dxa" w:w="2312"/>
            <w:tcMar>
              <w:top w:type="dxa" w:w="50"/>
              <w:left w:type="dxa" w:w="90"/>
              <w:bottom w:type="dxa" w:w="50"/>
              <w:right w:type="dxa" w:w="90"/>
            </w:tcMar>
            <w:vAlign w:val="center"/>
          </w:tcPr>
          <w:p>
            <w:pPr>
              <w:spacing w:after="0" w:line="240"/>
              <w:jc w:val="left"/>
            </w:pPr>
            <w:r>
              <w:rPr>
                <w:b w:val="false"/>
                <w:bCs w:val="false"/>
                <w:sz w:val="17"/>
                <w:szCs w:val="17"/>
              </w:rPr>
              <w:t xml:space="preserve">1-month break (Section 12)</w:t>
            </w:r>
          </w:p>
        </w:tc>
      </w:tr>
    </w:tbl>
    <w:p>
      <w:pPr>
        <w:pStyle w:val="Heading2"/>
      </w:pPr>
      <w:r>
        <w:rPr>
          <w:b w:val="false"/>
          <w:bCs w:val="false"/>
        </w:rPr>
        <w:t xml:space="preserve">4.5  Shared facilities</w:t>
      </w:r>
    </w:p>
    <w:p>
      <w:pPr>
        <w:pStyle w:val="ListParagraph"/>
        <w:numPr>
          <w:ilvl w:val="0"/>
          <w:numId w:val="2"/>
        </w:numPr>
        <w:spacing w:after="60" w:line="264"/>
      </w:pPr>
      <w:r>
        <w:rPr>
          <w:b/>
          <w:bCs/>
        </w:rPr>
        <w:t xml:space="preserve">Washroom</w:t>
      </w:r>
      <w:r>
        <w:rPr>
          <w:b w:val="false"/>
          <w:bCs w:val="false"/>
        </w:rPr>
        <w:t xml:space="preserve"> (4 users): Stiebel Eltron DHB-E 27 electronic instantaneous water heater (24.4 kW at 380 V) [16], three LED downlights on an occupancy sensor, and a window exhaust fan that runs continuously.</w:t>
      </w:r>
    </w:p>
    <w:p>
      <w:pPr>
        <w:pStyle w:val="ListParagraph"/>
        <w:numPr>
          <w:ilvl w:val="0"/>
          <w:numId w:val="2"/>
        </w:numPr>
        <w:spacing w:after="60" w:line="264"/>
      </w:pPr>
      <w:r>
        <w:rPr>
          <w:b/>
          <w:bCs/>
        </w:rPr>
        <w:t xml:space="preserve">Floor kitchen</w:t>
      </w:r>
      <w:r>
        <w:rPr>
          <w:b w:val="false"/>
          <w:bCs w:val="false"/>
        </w:rPr>
        <w:t xml:space="preserve"> (32 residents with access, about 20 active): two Panasonic NR-BV361B refrigerators, an Aquatek AQ-1323T three-temperature water dispenser, two Philips HD4911/80 induction hobs, a Toshiba microwave, and a Toshiba 7.0 kW split AC.</w:t>
      </w:r>
    </w:p>
    <w:p>
      <w:pPr>
        <w:pStyle w:val="ListParagraph"/>
        <w:numPr>
          <w:ilvl w:val="0"/>
          <w:numId w:val="2"/>
        </w:numPr>
        <w:spacing w:after="60" w:line="264"/>
      </w:pPr>
      <w:r>
        <w:rPr>
          <w:b/>
          <w:bCs/>
        </w:rPr>
        <w:t xml:space="preserve">Hall laundry:</w:t>
      </w:r>
      <w:r>
        <w:rPr>
          <w:b w:val="false"/>
          <w:bCs w:val="false"/>
        </w:rPr>
        <w:t xml:space="preserve"> shared washers and dryers. The auditor uses one cold-wash load (45 min) and 12 minutes of drying per week.</w:t>
      </w:r>
    </w:p>
    <w:p>
      <w:pPr>
        <w:pStyle w:val="Heading1"/>
        <w:pageBreakBefore/>
      </w:pPr>
      <w:r>
        <w:rPr>
          <w:b w:val="false"/>
          <w:bCs w:val="false"/>
        </w:rPr>
        <w:t xml:space="preserve">5  Equipment and systems: operating characteristics (EAC §8.1(c))</w:t>
      </w:r>
    </w:p>
    <w:p>
      <w:pPr>
        <w:spacing w:after="120" w:before="0" w:line="276"/>
        <w:jc w:val="both"/>
      </w:pPr>
      <w:r>
        <w:rPr>
          <w:b w:val="false"/>
          <w:bCs w:val="false"/>
        </w:rPr>
        <w:t xml:space="preserve">Table 5.1 lists every energy-using item within the boundary, the evidence behind its rating, how it is used, and its annual energy. Ratings come from nameplates and energy labels photographed on site wherever possible (Appendix B). This fulfils EAC §7.2(b) and §7.3.1; Table 5.2 then describes how each system operates (§8.1(c)).</w:t>
      </w:r>
    </w:p>
    <w:p>
      <w:pPr>
        <w:keepNext/>
        <w:spacing w:after="80" w:before="160"/>
      </w:pPr>
      <w:r>
        <w:rPr>
          <w:b/>
          <w:bCs/>
          <w:color w:val="1F3864"/>
          <w:sz w:val="18"/>
          <w:szCs w:val="18"/>
        </w:rPr>
        <w:t xml:space="preserve">Table 5.1: Equipment inventory and annual energy (household = Room 1003B)</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540"/>
        <w:gridCol w:w="1950"/>
        <w:gridCol w:w="2850"/>
        <w:gridCol w:w="1150"/>
        <w:gridCol w:w="620"/>
        <w:gridCol w:w="1150"/>
        <w:gridCol w:w="1152"/>
      </w:tblGrid>
      <w:tr>
        <w:trPr>
          <w:tblHeader/>
        </w:trPr>
        <w:tc>
          <w:tcPr>
            <w:tcW w:type="dxa" w:w="54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ID</w:t>
            </w:r>
          </w:p>
        </w:tc>
        <w:tc>
          <w:tcPr>
            <w:tcW w:type="dxa" w:w="195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Item</w:t>
            </w:r>
          </w:p>
        </w:tc>
        <w:tc>
          <w:tcPr>
            <w:tcW w:type="dxa" w:w="285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Make / model / evidence</w:t>
            </w:r>
          </w:p>
        </w:tc>
        <w:tc>
          <w:tcPr>
            <w:tcW w:type="dxa" w:w="115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Use</w:t>
            </w:r>
          </w:p>
        </w:tc>
        <w:tc>
          <w:tcPr>
            <w:tcW w:type="dxa" w:w="620"/>
            <w:shd w:fill="DCE6F0" w:color="auto" w:val="clear"/>
            <w:tcMar>
              <w:top w:type="dxa" w:w="50"/>
              <w:left w:type="dxa" w:w="90"/>
              <w:bottom w:type="dxa" w:w="50"/>
              <w:right w:type="dxa" w:w="90"/>
            </w:tcMar>
            <w:vAlign w:val="center"/>
          </w:tcPr>
          <w:p>
            <w:pPr>
              <w:spacing w:after="0" w:line="240"/>
              <w:jc w:val="center"/>
            </w:pPr>
            <w:r>
              <w:rPr>
                <w:b/>
                <w:bCs/>
                <w:color w:val="1F3864"/>
                <w:sz w:val="15"/>
                <w:szCs w:val="15"/>
              </w:rPr>
              <w:t xml:space="preserve">Share</w:t>
            </w:r>
          </w:p>
        </w:tc>
        <w:tc>
          <w:tcPr>
            <w:tcW w:type="dxa" w:w="115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Household kWh/yr</w:t>
            </w:r>
          </w:p>
        </w:tc>
        <w:tc>
          <w:tcPr>
            <w:tcW w:type="dxa" w:w="1152"/>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Per person kWh/yr</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R1</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Window air-conditioner</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Midea MW-12CRF8E, 1.5 HP inverter, R32, Grade 1</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Octopus spend ÷ tariff</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810.8</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405.4</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R2</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Ceiling LED linear battens</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2 surface battens (no label visible)</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6.0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87.6</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43.8</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R3</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Under-shelf LED desk lights</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Integrated in furniture</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4.0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29.2</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14.6</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R4</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Oscillating desk fan</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ZW02-180, 20 W nameplate</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12.0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87.6</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43.8</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R5</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Laptops (auditor + roommate)</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HP 65 W adapter TPN-CA17 (avg draw 50%)</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8.0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189.8</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94.9</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R6</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Phone chargers</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Typical 20 W fast charger</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1.0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14.6</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7.3</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W1</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Instantaneous water heater (household showers)</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Stiebel Eltron DHB-E 27, 24.4 kW @380 V</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See HotWater sheet</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634.7</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317.4</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W2</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Window exhaust fan (runs 24 h)</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J.E.E. window fan (label not visible)</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24.0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2/4</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131.4</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65.7</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W3</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LED downlights (occupancy sensor)</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3 surface downlights</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3.0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2/4</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16.4</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8.2</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K1</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Refrigerators</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Panasonic NR-BV361B, Grade 1, 263 kWh/yr label</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Energy label</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2/32</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32.9</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16.4</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K2</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3-temperature water dispenser</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Aquatek AQ-1323T, 750 W heater + 160 W compressor</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1.5 kWh/day (assumed)</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2/32</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34.2</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17.1</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K3</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Split air-conditioner</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Toshiba RAS-24J2KCV-HK, 7.0 kW, R410A, Grade 1 (688 kWh/1,200 h)</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8 h/day hot, 4 h/day cool</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2/32</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78.7</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39.3</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K4</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Kitchen lighting</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Not photographed</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16.0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2/32</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32.9</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16.4</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K5</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Induction cooking (household)</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Philips HD4911/80, 2,100 W max, Grade 2 (88.1%)</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0.4 h/day</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312.0</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156.0</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L1</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Washing machine (household)</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Hall machine, cold wash 45 min</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1 load/week each</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31.2</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15.6</w:t>
            </w:r>
          </w:p>
        </w:tc>
      </w:tr>
      <w:tr>
        <w:trPr>
          <w:cantSplit/>
        </w:trPr>
        <w:tc>
          <w:tcPr>
            <w:tcW w:type="dxa" w:w="540"/>
            <w:tcMar>
              <w:top w:type="dxa" w:w="50"/>
              <w:left w:type="dxa" w:w="90"/>
              <w:bottom w:type="dxa" w:w="50"/>
              <w:right w:type="dxa" w:w="90"/>
            </w:tcMar>
            <w:vAlign w:val="center"/>
          </w:tcPr>
          <w:p>
            <w:pPr>
              <w:spacing w:after="0" w:line="240"/>
              <w:jc w:val="left"/>
            </w:pPr>
            <w:r>
              <w:rPr>
                <w:b w:val="false"/>
                <w:bCs w:val="false"/>
                <w:sz w:val="15"/>
                <w:szCs w:val="15"/>
              </w:rPr>
              <w:t xml:space="preserve">L2</w:t>
            </w:r>
          </w:p>
        </w:tc>
        <w:tc>
          <w:tcPr>
            <w:tcW w:type="dxa" w:w="1950"/>
            <w:tcMar>
              <w:top w:type="dxa" w:w="50"/>
              <w:left w:type="dxa" w:w="90"/>
              <w:bottom w:type="dxa" w:w="50"/>
              <w:right w:type="dxa" w:w="90"/>
            </w:tcMar>
            <w:vAlign w:val="center"/>
          </w:tcPr>
          <w:p>
            <w:pPr>
              <w:spacing w:after="0" w:line="240"/>
              <w:jc w:val="left"/>
            </w:pPr>
            <w:r>
              <w:rPr>
                <w:b w:val="false"/>
                <w:bCs w:val="false"/>
                <w:sz w:val="15"/>
                <w:szCs w:val="15"/>
              </w:rPr>
              <w:t xml:space="preserve">Tumble dryer (household)</w:t>
            </w:r>
          </w:p>
        </w:tc>
        <w:tc>
          <w:tcPr>
            <w:tcW w:type="dxa" w:w="2850"/>
            <w:tcMar>
              <w:top w:type="dxa" w:w="50"/>
              <w:left w:type="dxa" w:w="90"/>
              <w:bottom w:type="dxa" w:w="50"/>
              <w:right w:type="dxa" w:w="90"/>
            </w:tcMar>
            <w:vAlign w:val="center"/>
          </w:tcPr>
          <w:p>
            <w:pPr>
              <w:spacing w:after="0" w:line="240"/>
              <w:jc w:val="left"/>
            </w:pPr>
            <w:r>
              <w:rPr>
                <w:b w:val="false"/>
                <w:bCs w:val="false"/>
                <w:sz w:val="15"/>
                <w:szCs w:val="15"/>
              </w:rPr>
              <w:t xml:space="preserve">Hall machine, 12 min per load</w:t>
            </w:r>
          </w:p>
        </w:tc>
        <w:tc>
          <w:tcPr>
            <w:tcW w:type="dxa" w:w="1150"/>
            <w:tcMar>
              <w:top w:type="dxa" w:w="50"/>
              <w:left w:type="dxa" w:w="90"/>
              <w:bottom w:type="dxa" w:w="50"/>
              <w:right w:type="dxa" w:w="90"/>
            </w:tcMar>
            <w:vAlign w:val="center"/>
          </w:tcPr>
          <w:p>
            <w:pPr>
              <w:spacing w:after="0" w:line="240"/>
              <w:jc w:val="left"/>
            </w:pPr>
            <w:r>
              <w:rPr>
                <w:b w:val="false"/>
                <w:bCs w:val="false"/>
                <w:sz w:val="15"/>
                <w:szCs w:val="15"/>
              </w:rPr>
              <w:t xml:space="preserve">12 min/load</w:t>
            </w:r>
          </w:p>
        </w:tc>
        <w:tc>
          <w:tcPr>
            <w:tcW w:type="dxa" w:w="62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62.4</w:t>
            </w:r>
          </w:p>
        </w:tc>
        <w:tc>
          <w:tcPr>
            <w:tcW w:type="dxa" w:w="1152"/>
            <w:tcMar>
              <w:top w:type="dxa" w:w="50"/>
              <w:left w:type="dxa" w:w="90"/>
              <w:bottom w:type="dxa" w:w="50"/>
              <w:right w:type="dxa" w:w="90"/>
            </w:tcMar>
            <w:vAlign w:val="center"/>
          </w:tcPr>
          <w:p>
            <w:pPr>
              <w:spacing w:after="0" w:line="240"/>
              <w:jc w:val="right"/>
            </w:pPr>
            <w:r>
              <w:rPr>
                <w:b w:val="false"/>
                <w:bCs w:val="false"/>
                <w:sz w:val="15"/>
                <w:szCs w:val="15"/>
              </w:rPr>
              <w:t xml:space="preserve">31.2</w:t>
            </w:r>
          </w:p>
        </w:tc>
      </w:tr>
      <w:tr>
        <w:trPr>
          <w:cantSplit/>
        </w:trPr>
        <w:tc>
          <w:tcPr>
            <w:tcW w:type="dxa" w:w="540"/>
            <w:shd w:fill="F2F2F2" w:color="auto" w:val="clear"/>
            <w:tcMar>
              <w:top w:type="dxa" w:w="50"/>
              <w:left w:type="dxa" w:w="90"/>
              <w:bottom w:type="dxa" w:w="50"/>
              <w:right w:type="dxa" w:w="90"/>
            </w:tcMar>
            <w:vAlign w:val="center"/>
          </w:tcPr>
          <w:p>
            <w:pPr>
              <w:spacing w:after="0" w:line="240"/>
              <w:jc w:val="left"/>
            </w:pPr>
          </w:p>
        </w:tc>
        <w:tc>
          <w:tcPr>
            <w:tcW w:type="dxa" w:w="1950"/>
            <w:shd w:fill="F2F2F2" w:color="auto" w:val="clear"/>
            <w:tcMar>
              <w:top w:type="dxa" w:w="50"/>
              <w:left w:type="dxa" w:w="90"/>
              <w:bottom w:type="dxa" w:w="50"/>
              <w:right w:type="dxa" w:w="90"/>
            </w:tcMar>
            <w:vAlign w:val="center"/>
          </w:tcPr>
          <w:p>
            <w:pPr>
              <w:spacing w:after="0" w:line="240"/>
              <w:jc w:val="left"/>
            </w:pPr>
            <w:r>
              <w:rPr>
                <w:b/>
                <w:bCs/>
                <w:sz w:val="15"/>
                <w:szCs w:val="15"/>
              </w:rPr>
              <w:t xml:space="preserve">Total</w:t>
            </w:r>
          </w:p>
        </w:tc>
        <w:tc>
          <w:tcPr>
            <w:tcW w:type="dxa" w:w="2850"/>
            <w:shd w:fill="F2F2F2" w:color="auto" w:val="clear"/>
            <w:tcMar>
              <w:top w:type="dxa" w:w="50"/>
              <w:left w:type="dxa" w:w="90"/>
              <w:bottom w:type="dxa" w:w="50"/>
              <w:right w:type="dxa" w:w="90"/>
            </w:tcMar>
            <w:vAlign w:val="center"/>
          </w:tcPr>
          <w:p>
            <w:pPr>
              <w:spacing w:after="0" w:line="240"/>
              <w:jc w:val="left"/>
            </w:pPr>
          </w:p>
        </w:tc>
        <w:tc>
          <w:tcPr>
            <w:tcW w:type="dxa" w:w="1150"/>
            <w:shd w:fill="F2F2F2" w:color="auto" w:val="clear"/>
            <w:tcMar>
              <w:top w:type="dxa" w:w="50"/>
              <w:left w:type="dxa" w:w="90"/>
              <w:bottom w:type="dxa" w:w="50"/>
              <w:right w:type="dxa" w:w="90"/>
            </w:tcMar>
            <w:vAlign w:val="center"/>
          </w:tcPr>
          <w:p>
            <w:pPr>
              <w:spacing w:after="0" w:line="240"/>
              <w:jc w:val="left"/>
            </w:pPr>
          </w:p>
        </w:tc>
        <w:tc>
          <w:tcPr>
            <w:tcW w:type="dxa" w:w="620"/>
            <w:shd w:fill="F2F2F2" w:color="auto" w:val="clear"/>
            <w:tcMar>
              <w:top w:type="dxa" w:w="50"/>
              <w:left w:type="dxa" w:w="90"/>
              <w:bottom w:type="dxa" w:w="50"/>
              <w:right w:type="dxa" w:w="90"/>
            </w:tcMar>
            <w:vAlign w:val="center"/>
          </w:tcPr>
          <w:p>
            <w:pPr>
              <w:spacing w:after="0" w:line="240"/>
              <w:jc w:val="center"/>
            </w:pPr>
          </w:p>
        </w:tc>
        <w:tc>
          <w:tcPr>
            <w:tcW w:type="dxa" w:w="1150"/>
            <w:shd w:fill="F2F2F2" w:color="auto" w:val="clear"/>
            <w:tcMar>
              <w:top w:type="dxa" w:w="50"/>
              <w:left w:type="dxa" w:w="90"/>
              <w:bottom w:type="dxa" w:w="50"/>
              <w:right w:type="dxa" w:w="90"/>
            </w:tcMar>
            <w:vAlign w:val="center"/>
          </w:tcPr>
          <w:p>
            <w:pPr>
              <w:spacing w:after="0" w:line="240"/>
              <w:jc w:val="right"/>
            </w:pPr>
            <w:r>
              <w:rPr>
                <w:b/>
                <w:bCs/>
                <w:sz w:val="15"/>
                <w:szCs w:val="15"/>
              </w:rPr>
              <w:t xml:space="preserve">2,586.4</w:t>
            </w:r>
          </w:p>
        </w:tc>
        <w:tc>
          <w:tcPr>
            <w:tcW w:type="dxa" w:w="1152"/>
            <w:shd w:fill="F2F2F2" w:color="auto" w:val="clear"/>
            <w:tcMar>
              <w:top w:type="dxa" w:w="50"/>
              <w:left w:type="dxa" w:w="90"/>
              <w:bottom w:type="dxa" w:w="50"/>
              <w:right w:type="dxa" w:w="90"/>
            </w:tcMar>
            <w:vAlign w:val="center"/>
          </w:tcPr>
          <w:p>
            <w:pPr>
              <w:spacing w:after="0" w:line="240"/>
              <w:jc w:val="right"/>
            </w:pPr>
            <w:r>
              <w:rPr>
                <w:b/>
                <w:bCs/>
                <w:sz w:val="15"/>
                <w:szCs w:val="15"/>
              </w:rPr>
              <w:t xml:space="preserve">1,293.2</w:t>
            </w:r>
          </w:p>
        </w:tc>
      </w:tr>
    </w:tbl>
    <w:p>
      <w:pPr>
        <w:spacing w:after="80"/>
      </w:pPr>
    </w:p>
    <w:p>
      <w:pPr>
        <w:keepNext/>
        <w:spacing w:after="40" w:before="0" w:line="276"/>
        <w:jc w:val="both"/>
      </w:pPr>
      <w:r>
        <w:rPr>
          <w:b w:val="false"/>
          <w:bCs w:val="false"/>
        </w:rPr>
        <w:t xml:space="preserve">EAC §7.3.1 asks for a record of each system's capacity rating, operating characteristics, utilisation pattern and controls, and §8.1(c) asks the report to describe them [1]. Table 5.2 does this for every system in the boundary; its hours are the basis of each kWh in Table 5.1. Three operating patterns stand out:</w:t>
      </w:r>
    </w:p>
    <w:p>
      <w:pPr>
        <w:pStyle w:val="ListParagraph"/>
        <w:numPr>
          <w:ilvl w:val="0"/>
          <w:numId w:val="2"/>
        </w:numPr>
        <w:spacing w:after="60" w:line="264"/>
      </w:pPr>
      <w:r>
        <w:rPr>
          <w:b/>
          <w:bCs/>
        </w:rPr>
        <w:t xml:space="preserve">always-on loads</w:t>
      </w:r>
      <w:r>
        <w:rPr>
          <w:b w:val="false"/>
          <w:bCs w:val="false"/>
        </w:rPr>
        <w:t xml:space="preserve"> that ignore occupancy: the washroom exhaust fan, the refrigerators and the water dispenser;</w:t>
      </w:r>
    </w:p>
    <w:p>
      <w:pPr>
        <w:pStyle w:val="ListParagraph"/>
        <w:numPr>
          <w:ilvl w:val="0"/>
          <w:numId w:val="2"/>
        </w:numPr>
        <w:spacing w:after="60" w:line="264"/>
      </w:pPr>
      <w:r>
        <w:rPr>
          <w:b/>
          <w:bCs/>
        </w:rPr>
        <w:t xml:space="preserve">occupant-switched loads</w:t>
      </w:r>
      <w:r>
        <w:rPr>
          <w:b w:val="false"/>
          <w:bCs w:val="false"/>
        </w:rPr>
        <w:t xml:space="preserve"> whose hours follow the occupancy schedule in Section 4.4: the room AC, lights, fan and laptops;</w:t>
      </w:r>
    </w:p>
    <w:p>
      <w:pPr>
        <w:pStyle w:val="ListParagraph"/>
        <w:numPr>
          <w:ilvl w:val="0"/>
          <w:numId w:val="2"/>
        </w:numPr>
        <w:spacing w:after="120" w:line="264"/>
      </w:pPr>
      <w:r>
        <w:rPr>
          <w:b/>
          <w:bCs/>
        </w:rPr>
        <w:t xml:space="preserve">high-power, short-duration loads</w:t>
      </w:r>
      <w:r>
        <w:rPr>
          <w:b w:val="false"/>
          <w:bCs w:val="false"/>
        </w:rPr>
        <w:t xml:space="preserve"> whose energy depends on behaviour at each use: the 24.4 kW shower heater, the induction hobs and the tumble dryer.</w:t>
      </w:r>
    </w:p>
    <w:p>
      <w:pPr>
        <w:spacing w:after="120" w:before="0" w:line="276"/>
        <w:jc w:val="both"/>
      </w:pPr>
      <w:r>
        <w:rPr>
          <w:b w:val="false"/>
          <w:bCs w:val="false"/>
        </w:rPr>
        <w:t xml:space="preserve">None of the systems has automatic scheduling except the washroom lights' occupancy sensor and the dispenser's cleaning cycle. Metering exists only for the room AC, through Octopus pre-payment (EAC §7.3.1(h)).</w:t>
      </w:r>
    </w:p>
    <w:p>
      <w:pPr>
        <w:keepNext/>
        <w:spacing w:after="80" w:before="160"/>
      </w:pPr>
      <w:r>
        <w:rPr>
          <w:b/>
          <w:bCs/>
          <w:color w:val="1F3864"/>
          <w:sz w:val="18"/>
          <w:szCs w:val="18"/>
        </w:rPr>
        <w:t xml:space="preserve">Table 5.2: Operating characteristics of the equipment and systems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2900"/>
        <w:gridCol w:w="1900"/>
        <w:gridCol w:w="1700"/>
        <w:gridCol w:w="912"/>
      </w:tblGrid>
      <w:tr>
        <w:trPr>
          <w:tblHeader/>
        </w:trPr>
        <w:tc>
          <w:tcPr>
            <w:tcW w:type="dxa" w:w="20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Equipment / system</w:t>
            </w:r>
          </w:p>
        </w:tc>
        <w:tc>
          <w:tcPr>
            <w:tcW w:type="dxa" w:w="29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Rating, efficiency and control</w:t>
            </w:r>
          </w:p>
        </w:tc>
        <w:tc>
          <w:tcPr>
            <w:tcW w:type="dxa" w:w="19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Operating schedule</w:t>
            </w:r>
          </w:p>
        </w:tc>
        <w:tc>
          <w:tcPr>
            <w:tcW w:type="dxa" w:w="17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Annual operating hours</w:t>
            </w:r>
          </w:p>
        </w:tc>
        <w:tc>
          <w:tcPr>
            <w:tcW w:type="dxa" w:w="912"/>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Household kWh/yr</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Room window AC (R1)</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Midea MW-12CRF8E inverter, 3.34 kW cooling, 1.192 kW rated input, EER 2.80, CSPF 4.66 (Grade 1); remote control with set-point, Eco, Dry, Timer and fan speed</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12 h/day in May-Oct (on all night); 4 h/day in Nov-Apr; set-point 25 °C</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2,932 h/yr (12 h × 184 d + 4 h × 181 d); average 0.277 kW while running (23% of rated input)</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810.8</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Desk fan (R4)</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20 W nameplate; 3 speeds and oscillation; manual switch</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12 h/day all year</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4,380 h/yr</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87.6</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Ceiling LED battens (R2)</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2 × 20 W (assumed); one wall switch; no dimming or sensor</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6 h/day (evenings)</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2,190 h/yr each</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87.6</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Desk LED lights (R3)</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2 × 10 W (assumed); local switches</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4 h/day</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1,460 h/yr each</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29.2</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Laptops (R5)</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HP 65 W adapter, efficiency level VI; 32.5 W average in use</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8 h/day each; unplugged at night</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2,920 h/yr each</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189.8</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Phone chargers (R6)</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20 W each (assumed); unplugged when charged</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1 h/day each</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365 h/yr each</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14.6</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Shower water heater (W1)</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Stiebel Eltron DHB-E 27: 24.4 kW at 380 V three-phase; electronic temperature control; no storage tank</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On demand: 1 × 5-min shower per person per day at 9 L/min, 40 °C</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About 61 h/yr for the household; peak 14.9 kW in January</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634.7</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Washroom exhaust fan (W2)</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30 W (assumed); no switch, timer or sensor</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24 h/day, every day</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8,760 h/yr</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131.4</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Washroom downlights (W3)</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3 × 10 W LED (assumed); occupancy sensor</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About 3 h/day</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1,095 h/yr</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16.4</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Refrigerators (K1)</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2 × Panasonic NR-BV361B, 332 L, Grade 1, 263 kWh/yr each; thermostat</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Continuous; the compressor cycles on its thermostat</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8,760 h/yr</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32.9</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Water dispenser (K2)</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Aquatek AQ-1323T: 750 W heater + 160 W compressor; thermostats hold 10 L at 98 °C and a 3 L ice tank; weekly auto-clean by the SRO</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24 h/day, every day</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8,760 h/yr; standing loss about 1.5 kWh/day (assumed)</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34.2</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Kitchen split AC (K3)</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Toshiba RAS-24J2KCV-HK inverter, 7.0 kW, Grade 1; label average 0.573 kW; remote control, no timer in use</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8 h/day in May-Oct, 4 h/day in Nov-Apr (observed left on)</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2,196 h/yr</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78.7</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Kitchen lighting (K4)</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6 × 15 W LED (assumed); manual switch</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About 16 h/day</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5,840 h/yr</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32.9</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Induction hobs (K5)</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Philips HD4911/80: 2,100 W maximum, 5 power levels, Grade 2, 88.1% efficient</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3 sessions a week per occupant, 1 h each at about 1.0 kW</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312 h/yr (household)</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312.0</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4"/>
                <w:szCs w:val="14"/>
              </w:rPr>
              <w:t xml:space="preserve">Hall washer and dryer (L1, L2)</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Card-operated hall machines: cold wash about 0.3 kWh/load (assumed); dryer about 3.0 kW (assumed)</w:t>
            </w:r>
          </w:p>
        </w:tc>
        <w:tc>
          <w:tcPr>
            <w:tcW w:type="dxa" w:w="1900"/>
            <w:tcMar>
              <w:top w:type="dxa" w:w="50"/>
              <w:left w:type="dxa" w:w="90"/>
              <w:bottom w:type="dxa" w:w="50"/>
              <w:right w:type="dxa" w:w="90"/>
            </w:tcMar>
            <w:vAlign w:val="center"/>
          </w:tcPr>
          <w:p>
            <w:pPr>
              <w:spacing w:after="0" w:line="240"/>
              <w:jc w:val="left"/>
            </w:pPr>
            <w:r>
              <w:rPr>
                <w:b w:val="false"/>
                <w:bCs w:val="false"/>
                <w:sz w:val="14"/>
                <w:szCs w:val="14"/>
              </w:rPr>
              <w:t xml:space="preserve">1 load a week per occupant: 45-min cold wash and 12 min of drying</w:t>
            </w:r>
          </w:p>
        </w:tc>
        <w:tc>
          <w:tcPr>
            <w:tcW w:type="dxa" w:w="1700"/>
            <w:tcMar>
              <w:top w:type="dxa" w:w="50"/>
              <w:left w:type="dxa" w:w="90"/>
              <w:bottom w:type="dxa" w:w="50"/>
              <w:right w:type="dxa" w:w="90"/>
            </w:tcMar>
            <w:vAlign w:val="center"/>
          </w:tcPr>
          <w:p>
            <w:pPr>
              <w:spacing w:after="0" w:line="240"/>
              <w:jc w:val="left"/>
            </w:pPr>
            <w:r>
              <w:rPr>
                <w:b w:val="false"/>
                <w:bCs w:val="false"/>
                <w:sz w:val="14"/>
                <w:szCs w:val="14"/>
              </w:rPr>
              <w:t xml:space="preserve">Washer 78 h/yr; dryer 21 h/yr</w:t>
            </w:r>
          </w:p>
        </w:tc>
        <w:tc>
          <w:tcPr>
            <w:tcW w:type="dxa" w:w="912"/>
            <w:tcMar>
              <w:top w:type="dxa" w:w="50"/>
              <w:left w:type="dxa" w:w="90"/>
              <w:bottom w:type="dxa" w:w="50"/>
              <w:right w:type="dxa" w:w="90"/>
            </w:tcMar>
            <w:vAlign w:val="center"/>
          </w:tcPr>
          <w:p>
            <w:pPr>
              <w:spacing w:after="0" w:line="240"/>
              <w:jc w:val="right"/>
            </w:pPr>
            <w:r>
              <w:rPr>
                <w:b w:val="false"/>
                <w:bCs w:val="false"/>
                <w:sz w:val="14"/>
                <w:szCs w:val="14"/>
              </w:rPr>
              <w:t xml:space="preserve">93.6</w:t>
            </w:r>
          </w:p>
        </w:tc>
      </w:tr>
    </w:tbl>
    <w:p>
      <w:pPr>
        <w:pStyle w:val="Heading2"/>
      </w:pPr>
      <w:r>
        <w:rPr>
          <w:b w:val="false"/>
          <w:bCs w:val="false"/>
        </w:rPr>
        <w:t xml:space="preserve">5.1  Air-conditioning (EAC §8.1(e))</w:t>
      </w:r>
    </w:p>
    <w:p>
      <w:pPr>
        <w:keepNext/>
        <w:spacing w:after="40" w:before="0" w:line="276"/>
        <w:jc w:val="both"/>
      </w:pPr>
      <w:r>
        <w:rPr>
          <w:b w:val="false"/>
          <w:bCs w:val="false"/>
        </w:rPr>
        <w:t xml:space="preserve">The room AC is a </w:t>
      </w:r>
      <w:r>
        <w:rPr>
          <w:b/>
          <w:bCs/>
        </w:rPr>
        <w:t xml:space="preserve">Midea MW-12CRF8E</w:t>
      </w:r>
      <w:r>
        <w:rPr>
          <w:b w:val="false"/>
          <w:bCs w:val="false"/>
        </w:rPr>
        <w:t xml:space="preserve"> 1.5 HP inverter window unit. It is air-cooled (heat is rejected outdoors through the window sleeve) and uses refrigerant R32.</w:t>
      </w:r>
    </w:p>
    <w:p>
      <w:pPr>
        <w:pStyle w:val="ListParagraph"/>
        <w:numPr>
          <w:ilvl w:val="0"/>
          <w:numId w:val="2"/>
        </w:numPr>
        <w:spacing w:after="60" w:line="264"/>
      </w:pPr>
      <w:r>
        <w:rPr>
          <w:b w:val="false"/>
          <w:bCs w:val="false"/>
        </w:rPr>
        <w:t xml:space="preserve">Rated cooling capacity: 3.34 kW (11,400 Btu/h).</w:t>
      </w:r>
    </w:p>
    <w:p>
      <w:pPr>
        <w:pStyle w:val="ListParagraph"/>
        <w:numPr>
          <w:ilvl w:val="0"/>
          <w:numId w:val="2"/>
        </w:numPr>
        <w:spacing w:after="60" w:line="264"/>
      </w:pPr>
      <w:r>
        <w:rPr>
          <w:b w:val="false"/>
          <w:bCs w:val="false"/>
        </w:rPr>
        <w:t xml:space="preserve">Rated input: 1.192 kW, giving an EER of 2.80 kW/kW.</w:t>
      </w:r>
    </w:p>
    <w:p>
      <w:pPr>
        <w:pStyle w:val="ListParagraph"/>
        <w:numPr>
          <w:ilvl w:val="0"/>
          <w:numId w:val="2"/>
        </w:numPr>
        <w:spacing w:after="60" w:line="264"/>
      </w:pPr>
      <w:r>
        <w:rPr>
          <w:b w:val="false"/>
          <w:bCs w:val="false"/>
        </w:rPr>
        <w:t xml:space="preserve">Seasonal performance: CSPF 4.66, HK Energy Label </w:t>
      </w:r>
      <w:r>
        <w:rPr>
          <w:b/>
          <w:bCs/>
        </w:rPr>
        <w:t xml:space="preserve">Grade 1</w:t>
      </w:r>
      <w:r>
        <w:rPr>
          <w:b w:val="false"/>
          <w:bCs w:val="false"/>
        </w:rPr>
        <w:t xml:space="preserve">.</w:t>
      </w:r>
    </w:p>
    <w:p>
      <w:pPr>
        <w:pStyle w:val="ListParagraph"/>
        <w:numPr>
          <w:ilvl w:val="0"/>
          <w:numId w:val="2"/>
        </w:numPr>
        <w:spacing w:after="60" w:line="264"/>
      </w:pPr>
      <w:r>
        <w:rPr>
          <w:b w:val="false"/>
          <w:bCs w:val="false"/>
        </w:rPr>
        <w:t xml:space="preserve">Label consumption: 362 kWh/yr for 1,200 operating hours [9], [28]. This implies an average seasonal input of only </w:t>
      </w:r>
      <w:r>
        <w:rPr>
          <w:b/>
          <w:bCs/>
        </w:rPr>
        <w:t xml:space="preserve">0.302 kW</w:t>
      </w:r>
      <w:r>
        <w:rPr>
          <w:b w:val="false"/>
          <w:bCs w:val="false"/>
        </w:rPr>
        <w:t xml:space="preserve">, about a quarter of the rated input, because the inverter compressor modulates at part load.</w:t>
      </w:r>
    </w:p>
    <w:p>
      <w:pPr>
        <w:pStyle w:val="ListParagraph"/>
        <w:numPr>
          <w:ilvl w:val="0"/>
          <w:numId w:val="2"/>
        </w:numPr>
        <w:spacing w:after="60" w:line="264"/>
      </w:pPr>
      <w:r>
        <w:rPr>
          <w:b w:val="false"/>
          <w:bCs w:val="false"/>
        </w:rPr>
        <w:t xml:space="preserve">Controls include Eco, Dry, Timer and fan-speed modes, all usable for EMOs.</w:t>
      </w:r>
    </w:p>
    <w:p>
      <w:pPr>
        <w:pStyle w:val="ListParagraph"/>
        <w:numPr>
          <w:ilvl w:val="0"/>
          <w:numId w:val="2"/>
        </w:numPr>
        <w:spacing w:after="120" w:line="264"/>
      </w:pPr>
      <w:r>
        <w:rPr>
          <w:b w:val="false"/>
          <w:bCs w:val="false"/>
        </w:rPr>
        <w:t xml:space="preserve">System type (EAC §8.1(e)(iii)): unitary air-conditioners only. There is no central chilled-water plant or air-distribution system within the boundary.</w:t>
      </w:r>
    </w:p>
    <w:p>
      <w:pPr>
        <w:spacing w:after="120" w:before="0" w:line="276"/>
        <w:jc w:val="both"/>
      </w:pPr>
      <w:r>
        <w:rPr>
          <w:b w:val="false"/>
          <w:bCs w:val="false"/>
        </w:rPr>
        <w:t xml:space="preserve">The shared kitchen has a </w:t>
      </w:r>
      <w:r>
        <w:rPr>
          <w:b/>
          <w:bCs/>
        </w:rPr>
        <w:t xml:space="preserve">Toshiba RAS-24J2KCV-HK</w:t>
      </w:r>
      <w:r>
        <w:rPr>
          <w:b w:val="false"/>
          <w:bCs w:val="false"/>
        </w:rPr>
        <w:t xml:space="preserve"> 7.0 kW inverter split unit (Grade 1, R-410A, 688 kWh per 1,200 h). Neither unit provides heating.</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rPr>
          <w:cantSplit/>
        </w:trPr>
        <w:tc>
          <w:tcPr>
            <w:tcW w:type="dxa" w:w="9412"/>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706"/>
              <w:gridCol w:w="4706"/>
            </w:tblGrid>
            <w:tr>
              <w:trPr>
                <w:cantSplit/>
              </w:trPr>
              <w:tc>
                <w:tcPr>
                  <w:tcW w:type="dxa" w:w="4706"/>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28670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215265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03b: Midea window AC - dark deposits on the discharge louvres</w:t>
                  </w:r>
                </w:p>
              </w:tc>
              <w:tc>
                <w:tcPr>
                  <w:tcW w:type="dxa" w:w="4706"/>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28384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38450" cy="238125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03a (energy-label part): Grade 1, R32, 362 kWh, 1.192 kW, CSPF 4.66</w:t>
                  </w:r>
                </w:p>
              </w:tc>
            </w:tr>
          </w:tbl>
          <w:p>
            <w:pPr>
              <w:spacing w:after="200" w:before="60"/>
              <w:jc w:val="center"/>
            </w:pPr>
            <w:r>
              <w:rPr>
                <w:b w:val="false"/>
                <w:bCs w:val="false"/>
                <w:i/>
                <w:iCs/>
                <w:color w:val="52514E"/>
                <w:sz w:val="17"/>
                <w:szCs w:val="17"/>
              </w:rPr>
              <w:t xml:space="preserve">Figure 5.1: Room air-conditioner and its rating</w:t>
            </w:r>
          </w:p>
        </w:tc>
      </w:tr>
    </w:tbl>
    <w:p>
      <w:pPr>
        <w:pStyle w:val="Heading2"/>
      </w:pPr>
      <w:r>
        <w:rPr>
          <w:b w:val="false"/>
          <w:bCs w:val="false"/>
        </w:rPr>
        <w:t xml:space="preserve">5.2  Lighting (EAC §8.1(f))</w:t>
      </w:r>
    </w:p>
    <w:p>
      <w:pPr>
        <w:keepNext/>
        <w:spacing w:after="40" w:before="0" w:line="276"/>
        <w:jc w:val="both"/>
      </w:pPr>
      <w:r>
        <w:rPr>
          <w:b w:val="false"/>
          <w:bCs w:val="false"/>
        </w:rPr>
        <w:t xml:space="preserve">The room has two surface-mounted LED linear battens and two under-shelf LED desk lights. No label was visible, so 20 W per batten and 10 W per desk light are assumed.</w:t>
      </w:r>
    </w:p>
    <w:p>
      <w:pPr>
        <w:pStyle w:val="ListParagraph"/>
        <w:numPr>
          <w:ilvl w:val="0"/>
          <w:numId w:val="2"/>
        </w:numPr>
        <w:spacing w:after="60" w:line="264"/>
      </w:pPr>
      <w:r>
        <w:rPr>
          <w:b w:val="false"/>
          <w:bCs w:val="false"/>
        </w:rPr>
        <w:t xml:space="preserve">Total room lighting power: </w:t>
      </w:r>
      <w:r>
        <w:rPr>
          <w:b/>
          <w:bCs/>
        </w:rPr>
        <w:t xml:space="preserve">60 W</w:t>
      </w:r>
      <w:r>
        <w:rPr>
          <w:b w:val="false"/>
          <w:bCs w:val="false"/>
        </w:rPr>
        <w:t xml:space="preserve">, a lighting power density (LPD) of </w:t>
      </w:r>
      <w:r>
        <w:rPr>
          <w:b/>
          <w:bCs/>
        </w:rPr>
        <w:t xml:space="preserve">4.0 W/m²</w:t>
      </w:r>
      <w:r>
        <w:rPr>
          <w:b w:val="false"/>
          <w:bCs w:val="false"/>
        </w:rPr>
        <w:t xml:space="preserve">.</w:t>
      </w:r>
    </w:p>
    <w:p>
      <w:pPr>
        <w:pStyle w:val="ListParagraph"/>
        <w:numPr>
          <w:ilvl w:val="0"/>
          <w:numId w:val="2"/>
        </w:numPr>
        <w:spacing w:after="60" w:line="264"/>
      </w:pPr>
      <w:r>
        <w:rPr>
          <w:b w:val="false"/>
          <w:bCs w:val="false"/>
        </w:rPr>
        <w:t xml:space="preserve">This is 35% below the BEC 2021 limit of 6.2 W/m² for dormitories (6.1 W/m² in BEC 2024) [24]. The BEC applies to prescribed buildings, so it is used here only as a benchmark.</w:t>
      </w:r>
    </w:p>
    <w:p>
      <w:pPr>
        <w:pStyle w:val="ListParagraph"/>
        <w:numPr>
          <w:ilvl w:val="0"/>
          <w:numId w:val="2"/>
        </w:numPr>
        <w:spacing w:after="60" w:line="264"/>
      </w:pPr>
      <w:r>
        <w:rPr>
          <w:b w:val="false"/>
          <w:bCs w:val="false"/>
        </w:rPr>
        <w:t xml:space="preserve">The washroom's three LED downlights are switched by an occupancy sensor (about 3 h/day).</w:t>
      </w:r>
    </w:p>
    <w:p>
      <w:pPr>
        <w:pStyle w:val="Heading2"/>
      </w:pPr>
      <w:r>
        <w:rPr>
          <w:b w:val="false"/>
          <w:bCs w:val="false"/>
        </w:rPr>
        <w:t xml:space="preserve">5.3  Plug loads and the desk fan</w:t>
      </w:r>
    </w:p>
    <w:p>
      <w:pPr>
        <w:spacing w:after="120" w:before="0" w:line="276"/>
        <w:jc w:val="both"/>
      </w:pPr>
      <w:r>
        <w:rPr>
          <w:b w:val="false"/>
          <w:bCs w:val="false"/>
        </w:rPr>
        <w:t xml:space="preserve">The auditor's laptop uses an HP 65 W adapter (TPN-CA17, efficiency level VI, which limits no-load losses). Average draw while in use is assumed to be 50% of the adapter rating (32.5 W). Both occupants are assumed to use a laptop for 8 h/day and charge a phone for 1 h/day. The oscillating desk fan is rated at 20 W (nameplate) and runs 12 h/day. The occupants report unplugging devices at night, so standby loads are negligible.</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rPr>
          <w:cantSplit/>
        </w:trPr>
        <w:tc>
          <w:tcPr>
            <w:tcW w:type="dxa" w:w="9412"/>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3137"/>
              <w:gridCol w:w="3137"/>
              <w:gridCol w:w="3138"/>
            </w:tblGrid>
            <w:tr>
              <w:trPr>
                <w:cantSplit/>
              </w:trPr>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87642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76425" cy="116205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06a: HP 65 W adapter, efficiency level VI</w:t>
                  </w:r>
                </w:p>
              </w:tc>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2192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219200" cy="16287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06b: desk fan label, 20 W</w:t>
                  </w:r>
                </w:p>
              </w:tc>
              <w:tc>
                <w:tcPr>
                  <w:tcW w:type="dxa" w:w="3138"/>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876425"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76425" cy="140970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05a: ceiling LED battens</w:t>
                  </w:r>
                </w:p>
              </w:tc>
            </w:tr>
          </w:tbl>
          <w:p>
            <w:pPr>
              <w:spacing w:after="200" w:before="60"/>
              <w:jc w:val="center"/>
            </w:pPr>
            <w:r>
              <w:rPr>
                <w:b w:val="false"/>
                <w:bCs w:val="false"/>
                <w:i/>
                <w:iCs/>
                <w:color w:val="52514E"/>
                <w:sz w:val="17"/>
                <w:szCs w:val="17"/>
              </w:rPr>
              <w:t xml:space="preserve">Figure 5.2: Plug-load and lighting evidence</w:t>
            </w:r>
          </w:p>
        </w:tc>
      </w:tr>
    </w:tbl>
    <w:p>
      <w:pPr>
        <w:pStyle w:val="Heading2"/>
      </w:pPr>
      <w:r>
        <w:rPr>
          <w:b w:val="false"/>
          <w:bCs w:val="false"/>
        </w:rPr>
        <w:t xml:space="preserve">5.4  Water heating and washroom ventilation</w:t>
      </w:r>
    </w:p>
    <w:p>
      <w:pPr>
        <w:spacing w:after="120" w:before="0" w:line="276"/>
        <w:jc w:val="both"/>
      </w:pPr>
      <w:r>
        <w:rPr>
          <w:b w:val="false"/>
          <w:bCs w:val="false"/>
        </w:rPr>
        <w:t xml:space="preserve">Showers are heated by a </w:t>
      </w:r>
      <w:r>
        <w:rPr>
          <w:b/>
          <w:bCs/>
        </w:rPr>
        <w:t xml:space="preserve">Stiebel Eltron DHB-E 27</w:t>
      </w:r>
      <w:r>
        <w:rPr>
          <w:b w:val="false"/>
          <w:bCs w:val="false"/>
        </w:rPr>
        <w:t xml:space="preserve"> electronic instantaneous heater: 27 kW at 400 V, or 24.4 kW at Hong Kong's 380 V three-phase supply [16]. It has no storage tank, so there are no standing losses. However, it draws a very large instantaneous power: a 9 L/min shower in January needs </w:t>
      </w:r>
      <w:r>
        <w:rPr>
          <w:b/>
          <w:bCs/>
        </w:rPr>
        <w:t xml:space="preserve">14.9 kW</w:t>
      </w:r>
      <w:r>
        <w:rPr>
          <w:b w:val="false"/>
          <w:bCs w:val="false"/>
        </w:rPr>
        <w:t xml:space="preserve"> (capacity headroom 1.64 ×). Across hundreds of washrooms, this drives the hall's maximum demand. The window exhaust fan (J.E.E.) runs 24 hours a day regardless of occupancy.</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rPr>
          <w:cantSplit/>
        </w:trPr>
        <w:tc>
          <w:tcPr>
            <w:tcW w:type="dxa" w:w="9412"/>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3137"/>
              <w:gridCol w:w="3137"/>
              <w:gridCol w:w="3138"/>
            </w:tblGrid>
            <w:tr>
              <w:trPr>
                <w:cantSplit/>
              </w:trPr>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3620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62075" cy="1819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08a: Stiebel Eltron DHB-E instantaneous heater</w:t>
                  </w:r>
                </w:p>
              </w:tc>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3620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362075" cy="1819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08d: exhaust fan running 24 h/day</w:t>
                  </w:r>
                </w:p>
              </w:tc>
              <w:tc>
                <w:tcPr>
                  <w:tcW w:type="dxa" w:w="3138"/>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3620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362075" cy="1819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08b: sensor-controlled LED downlights</w:t>
                  </w:r>
                </w:p>
              </w:tc>
            </w:tr>
          </w:tbl>
          <w:p>
            <w:pPr>
              <w:spacing w:after="200" w:before="60"/>
              <w:jc w:val="center"/>
            </w:pPr>
            <w:r>
              <w:rPr>
                <w:b w:val="false"/>
                <w:bCs w:val="false"/>
                <w:i/>
                <w:iCs/>
                <w:color w:val="52514E"/>
                <w:sz w:val="17"/>
                <w:szCs w:val="17"/>
              </w:rPr>
              <w:t xml:space="preserve">Figure 5.3: Shared washroom services</w:t>
            </w:r>
          </w:p>
        </w:tc>
      </w:tr>
    </w:tbl>
    <w:p>
      <w:pPr>
        <w:pStyle w:val="Heading2"/>
      </w:pPr>
      <w:r>
        <w:rPr>
          <w:b w:val="false"/>
          <w:bCs w:val="false"/>
        </w:rPr>
        <w:t xml:space="preserve">5.5  Kitchen and laundry appliances</w:t>
      </w:r>
    </w:p>
    <w:p>
      <w:pPr>
        <w:keepNext/>
        <w:spacing w:after="40" w:before="0" w:line="276"/>
        <w:jc w:val="both"/>
      </w:pPr>
      <w:r>
        <w:rPr>
          <w:b w:val="false"/>
          <w:bCs w:val="false"/>
        </w:rPr>
        <w:t xml:space="preserve">The kitchen appliances are efficient, but some run all the time.</w:t>
      </w:r>
    </w:p>
    <w:p>
      <w:pPr>
        <w:pStyle w:val="ListParagraph"/>
        <w:numPr>
          <w:ilvl w:val="0"/>
          <w:numId w:val="2"/>
        </w:numPr>
        <w:spacing w:after="60" w:line="264"/>
      </w:pPr>
      <w:r>
        <w:rPr>
          <w:b/>
          <w:bCs/>
        </w:rPr>
        <w:t xml:space="preserve">Refrigerators:</w:t>
      </w:r>
      <w:r>
        <w:rPr>
          <w:b w:val="false"/>
          <w:bCs w:val="false"/>
        </w:rPr>
        <w:t xml:space="preserve"> two Panasonic NR-BV361B units (233 L fresh + 99 L frozen), each Grade 1 at 263 kWh/yr.</w:t>
      </w:r>
    </w:p>
    <w:p>
      <w:pPr>
        <w:pStyle w:val="ListParagraph"/>
        <w:numPr>
          <w:ilvl w:val="0"/>
          <w:numId w:val="2"/>
        </w:numPr>
        <w:spacing w:after="60" w:line="264"/>
      </w:pPr>
      <w:r>
        <w:rPr>
          <w:b/>
          <w:bCs/>
        </w:rPr>
        <w:t xml:space="preserve">Induction hobs:</w:t>
      </w:r>
      <w:r>
        <w:rPr>
          <w:b w:val="false"/>
          <w:bCs w:val="false"/>
        </w:rPr>
        <w:t xml:space="preserve"> Philips HD4911/80, Grade 2, 88.1% thermal efficiency, 2,100 W maximum with five power levels.</w:t>
      </w:r>
    </w:p>
    <w:p>
      <w:pPr>
        <w:pStyle w:val="ListParagraph"/>
        <w:numPr>
          <w:ilvl w:val="0"/>
          <w:numId w:val="2"/>
        </w:numPr>
        <w:spacing w:after="60" w:line="264"/>
      </w:pPr>
      <w:r>
        <w:rPr>
          <w:b/>
          <w:bCs/>
        </w:rPr>
        <w:t xml:space="preserve">Water dispenser:</w:t>
      </w:r>
      <w:r>
        <w:rPr>
          <w:b w:val="false"/>
          <w:bCs w:val="false"/>
        </w:rPr>
        <w:t xml:space="preserve"> Aquatek AQ-1323T, 750 W heater + 160 W compressor. It keeps 10 L of water at 98 °C plus a 3 L ice tank, 24 hours a day, so it has unavoidable standing losses (assumed 1.5 kWh/day; the ENERGY STAR limit for storage hot-and-cold coolers is 0.87 kWh/day [20]).</w:t>
      </w:r>
    </w:p>
    <w:p>
      <w:pPr>
        <w:pStyle w:val="ListParagraph"/>
        <w:numPr>
          <w:ilvl w:val="0"/>
          <w:numId w:val="2"/>
        </w:numPr>
        <w:spacing w:after="60" w:line="264"/>
      </w:pPr>
      <w:r>
        <w:rPr>
          <w:b/>
          <w:bCs/>
        </w:rPr>
        <w:t xml:space="preserve">Kitchen AC:</w:t>
      </w:r>
      <w:r>
        <w:rPr>
          <w:b w:val="false"/>
          <w:bCs w:val="false"/>
        </w:rPr>
        <w:t xml:space="preserve"> reported to be left running for 8 h or more by residents (Finding F4).</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rPr>
          <w:cantSplit/>
        </w:trPr>
        <w:tc>
          <w:tcPr>
            <w:tcW w:type="dxa" w:w="9412"/>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3137"/>
              <w:gridCol w:w="3137"/>
              <w:gridCol w:w="3138"/>
            </w:tblGrid>
            <w:tr>
              <w:trPr>
                <w:cantSplit/>
              </w:trPr>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3620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362075" cy="1819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09i: refrigerator label, Grade 1, 263 kWh/yr</w:t>
                  </w:r>
                </w:p>
              </w:tc>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3620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362075" cy="1819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09g: kitchen AC label, 688 kWh/1,200 h</w:t>
                  </w:r>
                </w:p>
              </w:tc>
              <w:tc>
                <w:tcPr>
                  <w:tcW w:type="dxa" w:w="3138"/>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3620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362075" cy="1819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09e: induction hob, Grade 2, 88.1%</w:t>
                  </w:r>
                </w:p>
              </w:tc>
            </w:tr>
          </w:tbl>
          <w:p>
            <w:pPr>
              <w:spacing w:after="200" w:before="60"/>
              <w:jc w:val="center"/>
            </w:pPr>
            <w:r>
              <w:rPr>
                <w:b w:val="false"/>
                <w:bCs w:val="false"/>
                <w:i/>
                <w:iCs/>
                <w:color w:val="52514E"/>
                <w:sz w:val="17"/>
                <w:szCs w:val="17"/>
              </w:rPr>
              <w:t xml:space="preserve">Figure 5.4: Energy labels of shared kitchen appliances</w:t>
            </w:r>
          </w:p>
        </w:tc>
      </w:tr>
    </w:tbl>
    <w:p>
      <w:pPr>
        <w:pStyle w:val="Heading1"/>
        <w:pageBreakBefore/>
      </w:pPr>
      <w:r>
        <w:rPr>
          <w:b w:val="false"/>
          <w:bCs w:val="false"/>
        </w:rPr>
        <w:t xml:space="preserve">6  Energy consumption analysis (EAC §8.1(d), (g))</w:t>
      </w:r>
    </w:p>
    <w:p>
      <w:pPr>
        <w:pStyle w:val="Heading2"/>
      </w:pPr>
      <w:r>
        <w:rPr>
          <w:b w:val="false"/>
          <w:bCs w:val="false"/>
        </w:rPr>
        <w:t xml:space="preserve">6.1  Room air-conditioning baseline: two independent methods</w:t>
      </w:r>
    </w:p>
    <w:p>
      <w:pPr>
        <w:spacing w:after="120" w:before="0" w:line="276"/>
        <w:jc w:val="both"/>
      </w:pPr>
      <w:r>
        <w:rPr>
          <w:b w:val="false"/>
          <w:bCs w:val="false"/>
        </w:rPr>
        <w:t xml:space="preserve">Only the room AC is metered, through Octopus pre-paid charges. The occupants report spending about HK$140 a month in hot months and HK$50 in cool months, HK$1,140 a year for both. Dividing by the CLP 2026 average net tariff of HK$1.406/kWh [6] gives a </w:t>
      </w:r>
      <w:r>
        <w:rPr>
          <w:b/>
          <w:bCs/>
        </w:rPr>
        <w:t xml:space="preserve">top-down baseline of 811 kWh/yr</w:t>
      </w:r>
      <w:r>
        <w:rPr>
          <w:b w:val="false"/>
          <w:bCs w:val="false"/>
        </w:rPr>
        <w:t xml:space="preserve">.</w:t>
      </w:r>
    </w:p>
    <w:p>
      <w:pPr>
        <w:spacing w:after="120" w:before="0" w:line="276"/>
        <w:jc w:val="both"/>
      </w:pPr>
      <w:r>
        <w:rPr>
          <w:b w:val="false"/>
          <w:bCs w:val="false"/>
        </w:rPr>
        <w:t xml:space="preserve">The bottom-up check takes the label's average input (0.302 kW) and multiplies it by the reported pattern of 12 h/day in May-Oct and 4 h/day in Nov-Apr (2,932 h/yr). This gives </w:t>
      </w:r>
      <w:r>
        <w:rPr>
          <w:b/>
          <w:bCs/>
        </w:rPr>
        <w:t xml:space="preserve">884 kWh/yr, +9.1%</w:t>
      </w:r>
      <w:r>
        <w:rPr>
          <w:b w:val="false"/>
          <w:bCs w:val="false"/>
        </w:rPr>
        <w:t xml:space="preserve"> relative to the spend-based figure (Table 6.1, Figure 6.1). Agreement within 10% between a financial record and an engineering estimate is good evidence that both the reported behaviour and the baseline are realistic.</w:t>
      </w:r>
    </w:p>
    <w:p>
      <w:pPr>
        <w:keepNext/>
        <w:spacing w:after="80" w:before="160"/>
      </w:pPr>
      <w:r>
        <w:rPr>
          <w:b/>
          <w:bCs/>
          <w:color w:val="1F3864"/>
          <w:sz w:val="18"/>
          <w:szCs w:val="18"/>
        </w:rPr>
        <w:t xml:space="preserve">Table 6.1: Room AC energy - top-down vs bottom-up</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1300"/>
        <w:gridCol w:w="1700"/>
        <w:gridCol w:w="1700"/>
        <w:gridCol w:w="1500"/>
        <w:gridCol w:w="1912"/>
      </w:tblGrid>
      <w:tr>
        <w:trPr>
          <w:tblHeader/>
        </w:trPr>
        <w:tc>
          <w:tcPr>
            <w:tcW w:type="dxa" w:w="13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Month</w:t>
            </w:r>
          </w:p>
        </w:tc>
        <w:tc>
          <w:tcPr>
            <w:tcW w:type="dxa" w:w="13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Season</w:t>
            </w:r>
          </w:p>
        </w:tc>
        <w:tc>
          <w:tcPr>
            <w:tcW w:type="dxa" w:w="17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Octopus spend</w:t>
            </w:r>
          </w:p>
        </w:tc>
        <w:tc>
          <w:tcPr>
            <w:tcW w:type="dxa" w:w="17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Top-down kWh</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Hours</w:t>
            </w:r>
          </w:p>
        </w:tc>
        <w:tc>
          <w:tcPr>
            <w:tcW w:type="dxa" w:w="1912"/>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Bottom-up kWh</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Jan</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Cool</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HK$50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35.6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124</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37.4</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Feb</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Cool</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HK$50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35.6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112</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33.8</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Mar</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Cool</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HK$50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35.6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124</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37.4</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Apr</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Cool</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HK$50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35.6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120</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36.2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May</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Hot</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HK$140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99.6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372</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112.2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Jun</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Hot</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HK$140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99.6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360</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108.6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Jul</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Hot</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HK$140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99.6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372</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112.2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Aug</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Hot</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HK$140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99.6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372</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112.2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Sep</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Hot</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HK$140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99.6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360</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108.6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Oct</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Hot</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HK$140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99.6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372</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112.2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Nov</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Cool</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HK$50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35.6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120</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36.2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Dec</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Cool</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HK$50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35.6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124</w:t>
            </w:r>
          </w:p>
        </w:tc>
        <w:tc>
          <w:tcPr>
            <w:tcW w:type="dxa" w:w="1912"/>
            <w:tcMar>
              <w:top w:type="dxa" w:w="50"/>
              <w:left w:type="dxa" w:w="90"/>
              <w:bottom w:type="dxa" w:w="50"/>
              <w:right w:type="dxa" w:w="90"/>
            </w:tcMar>
            <w:vAlign w:val="center"/>
          </w:tcPr>
          <w:p>
            <w:pPr>
              <w:spacing w:after="0" w:line="240"/>
              <w:jc w:val="right"/>
            </w:pPr>
            <w:r>
              <w:rPr>
                <w:b w:val="false"/>
                <w:bCs w:val="false"/>
                <w:sz w:val="16"/>
                <w:szCs w:val="16"/>
              </w:rPr>
              <w:t xml:space="preserve">37.4</w:t>
            </w:r>
          </w:p>
        </w:tc>
      </w:tr>
      <w:tr>
        <w:trPr>
          <w:cantSplit/>
        </w:trPr>
        <w:tc>
          <w:tcPr>
            <w:tcW w:type="dxa" w:w="1300"/>
            <w:shd w:fill="F2F2F2" w:color="auto" w:val="clear"/>
            <w:tcMar>
              <w:top w:type="dxa" w:w="50"/>
              <w:left w:type="dxa" w:w="90"/>
              <w:bottom w:type="dxa" w:w="50"/>
              <w:right w:type="dxa" w:w="90"/>
            </w:tcMar>
            <w:vAlign w:val="center"/>
          </w:tcPr>
          <w:p>
            <w:pPr>
              <w:spacing w:after="0" w:line="240"/>
              <w:jc w:val="left"/>
            </w:pPr>
            <w:r>
              <w:rPr>
                <w:b/>
                <w:bCs/>
                <w:sz w:val="16"/>
                <w:szCs w:val="16"/>
              </w:rPr>
              <w:t xml:space="preserve">Year</w:t>
            </w:r>
          </w:p>
        </w:tc>
        <w:tc>
          <w:tcPr>
            <w:tcW w:type="dxa" w:w="1300"/>
            <w:shd w:fill="F2F2F2" w:color="auto" w:val="clear"/>
            <w:tcMar>
              <w:top w:type="dxa" w:w="50"/>
              <w:left w:type="dxa" w:w="90"/>
              <w:bottom w:type="dxa" w:w="50"/>
              <w:right w:type="dxa" w:w="90"/>
            </w:tcMar>
            <w:vAlign w:val="center"/>
          </w:tcPr>
          <w:p>
            <w:pPr>
              <w:spacing w:after="0" w:line="240"/>
              <w:jc w:val="left"/>
            </w:pPr>
          </w:p>
        </w:tc>
        <w:tc>
          <w:tcPr>
            <w:tcW w:type="dxa" w:w="1700"/>
            <w:shd w:fill="F2F2F2" w:color="auto" w:val="clear"/>
            <w:tcMar>
              <w:top w:type="dxa" w:w="50"/>
              <w:left w:type="dxa" w:w="90"/>
              <w:bottom w:type="dxa" w:w="50"/>
              <w:right w:type="dxa" w:w="90"/>
            </w:tcMar>
            <w:vAlign w:val="center"/>
          </w:tcPr>
          <w:p>
            <w:pPr>
              <w:spacing w:after="0" w:line="240"/>
              <w:jc w:val="right"/>
            </w:pPr>
            <w:r>
              <w:rPr>
                <w:b/>
                <w:bCs/>
                <w:sz w:val="16"/>
                <w:szCs w:val="16"/>
              </w:rPr>
              <w:t xml:space="preserve">HK$1,140</w:t>
            </w:r>
          </w:p>
        </w:tc>
        <w:tc>
          <w:tcPr>
            <w:tcW w:type="dxa" w:w="1700"/>
            <w:shd w:fill="F2F2F2" w:color="auto" w:val="clear"/>
            <w:tcMar>
              <w:top w:type="dxa" w:w="50"/>
              <w:left w:type="dxa" w:w="90"/>
              <w:bottom w:type="dxa" w:w="50"/>
              <w:right w:type="dxa" w:w="90"/>
            </w:tcMar>
            <w:vAlign w:val="center"/>
          </w:tcPr>
          <w:p>
            <w:pPr>
              <w:spacing w:after="0" w:line="240"/>
              <w:jc w:val="right"/>
            </w:pPr>
            <w:r>
              <w:rPr>
                <w:b/>
                <w:bCs/>
                <w:sz w:val="16"/>
                <w:szCs w:val="16"/>
              </w:rPr>
              <w:t xml:space="preserve">810.8</w:t>
            </w:r>
          </w:p>
        </w:tc>
        <w:tc>
          <w:tcPr>
            <w:tcW w:type="dxa" w:w="1500"/>
            <w:shd w:fill="F2F2F2" w:color="auto" w:val="clear"/>
            <w:tcMar>
              <w:top w:type="dxa" w:w="50"/>
              <w:left w:type="dxa" w:w="90"/>
              <w:bottom w:type="dxa" w:w="50"/>
              <w:right w:type="dxa" w:w="90"/>
            </w:tcMar>
            <w:vAlign w:val="center"/>
          </w:tcPr>
          <w:p>
            <w:pPr>
              <w:spacing w:after="0" w:line="240"/>
              <w:jc w:val="right"/>
            </w:pPr>
            <w:r>
              <w:rPr>
                <w:b/>
                <w:bCs/>
                <w:sz w:val="16"/>
                <w:szCs w:val="16"/>
              </w:rPr>
              <w:t xml:space="preserve">2,932</w:t>
            </w:r>
          </w:p>
        </w:tc>
        <w:tc>
          <w:tcPr>
            <w:tcW w:type="dxa" w:w="1912"/>
            <w:shd w:fill="F2F2F2" w:color="auto" w:val="clear"/>
            <w:tcMar>
              <w:top w:type="dxa" w:w="50"/>
              <w:left w:type="dxa" w:w="90"/>
              <w:bottom w:type="dxa" w:w="50"/>
              <w:right w:type="dxa" w:w="90"/>
            </w:tcMar>
            <w:vAlign w:val="center"/>
          </w:tcPr>
          <w:p>
            <w:pPr>
              <w:spacing w:after="0" w:line="240"/>
              <w:jc w:val="right"/>
            </w:pPr>
            <w:r>
              <w:rPr>
                <w:b/>
                <w:bCs/>
                <w:sz w:val="16"/>
                <w:szCs w:val="16"/>
              </w:rPr>
              <w:t xml:space="preserve">884.5</w:t>
            </w:r>
          </w:p>
        </w:tc>
      </w:tr>
    </w:tbl>
    <w:p>
      <w:pPr>
        <w:keepNext/>
        <w:spacing w:after="40" w:before="120"/>
        <w:jc w:val="center"/>
      </w:pPr>
      <w:r>
        <w:drawing>
          <wp:inline distT="0" distB="0" distL="0" distR="0">
            <wp:extent cx="581025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10250" cy="2809875"/>
                    </a:xfrm>
                    <a:prstGeom prst="rect">
                      <a:avLst/>
                    </a:prstGeom>
                  </pic:spPr>
                </pic:pic>
              </a:graphicData>
            </a:graphic>
          </wp:inline>
        </w:drawing>
      </w:r>
    </w:p>
    <w:p>
      <w:pPr>
        <w:spacing w:after="200" w:before="60"/>
        <w:jc w:val="center"/>
      </w:pPr>
      <w:r>
        <w:rPr>
          <w:b w:val="false"/>
          <w:bCs w:val="false"/>
          <w:i/>
          <w:iCs/>
          <w:color w:val="52514E"/>
          <w:sz w:val="17"/>
          <w:szCs w:val="17"/>
        </w:rPr>
        <w:t xml:space="preserve">Figure 6.1: Monthly room AC energy, top-down vs bottom-up</w:t>
      </w:r>
    </w:p>
    <w:p>
      <w:pPr>
        <w:spacing w:after="40" w:before="0" w:line="276"/>
        <w:jc w:val="both"/>
      </w:pPr>
      <w:r>
        <w:rPr>
          <w:b/>
          <w:bCs/>
        </w:rPr>
        <w:t xml:space="preserve">What the reconciliation shows:</w:t>
      </w:r>
    </w:p>
    <w:p>
      <w:pPr>
        <w:pStyle w:val="ListParagraph"/>
        <w:numPr>
          <w:ilvl w:val="0"/>
          <w:numId w:val="2"/>
        </w:numPr>
        <w:spacing w:after="60" w:line="264"/>
      </w:pPr>
      <w:r>
        <w:rPr>
          <w:b w:val="false"/>
          <w:bCs w:val="false"/>
        </w:rPr>
        <w:t xml:space="preserve">If the bottom-up figure were exact, the implied Octopus rate would be HK$1.29/kWh. That lies between the CUHK hostel rate (HK$1.20) and the CLP average (HK$1.406), consistent with an at-cost charge [25].</w:t>
      </w:r>
    </w:p>
    <w:p>
      <w:pPr>
        <w:pStyle w:val="ListParagraph"/>
        <w:numPr>
          <w:ilvl w:val="0"/>
          <w:numId w:val="2"/>
        </w:numPr>
        <w:spacing w:after="60" w:line="264"/>
      </w:pPr>
      <w:r>
        <w:rPr>
          <w:b w:val="false"/>
          <w:bCs w:val="false"/>
        </w:rPr>
        <w:t xml:space="preserve">Average input while running is only 0.277 kW, 23% of the rated input. This confirms that the inverter mostly runs at part load in a small, lightly loaded room. It is equivalent to 680 full-load hours a year.</w:t>
      </w:r>
    </w:p>
    <w:p>
      <w:pPr>
        <w:pStyle w:val="ListParagraph"/>
        <w:numPr>
          <w:ilvl w:val="0"/>
          <w:numId w:val="2"/>
        </w:numPr>
        <w:spacing w:after="60" w:line="264"/>
      </w:pPr>
      <w:r>
        <w:rPr>
          <w:b w:val="false"/>
          <w:bCs w:val="false"/>
        </w:rPr>
        <w:t xml:space="preserve">73.7% of AC energy falls in May-October, so hot-season measures matter most.</w:t>
      </w:r>
    </w:p>
    <w:p>
      <w:pPr>
        <w:pStyle w:val="ListParagraph"/>
        <w:numPr>
          <w:ilvl w:val="0"/>
          <w:numId w:val="2"/>
        </w:numPr>
        <w:spacing w:after="60" w:line="264"/>
      </w:pPr>
      <w:r>
        <w:rPr>
          <w:b w:val="false"/>
          <w:bCs w:val="false"/>
        </w:rPr>
        <w:t xml:space="preserve">The occupants' first estimate of "about HK$120 a month" would imply 1,024 kWh/yr. It is not consistent with their more specific seasonal figures, so it is treated as an upper bound (+8% in Section 12).</w:t>
      </w:r>
    </w:p>
    <w:p>
      <w:pPr>
        <w:pStyle w:val="Heading2"/>
      </w:pPr>
      <w:r>
        <w:rPr>
          <w:b w:val="false"/>
          <w:bCs w:val="false"/>
        </w:rPr>
        <w:t xml:space="preserve">6.2  Historical consumption since move-in (January-September 2026)</w:t>
      </w:r>
    </w:p>
    <w:p>
      <w:pPr>
        <w:keepNext/>
        <w:spacing w:after="40" w:before="0" w:line="276"/>
        <w:jc w:val="both"/>
      </w:pPr>
      <w:r>
        <w:rPr>
          <w:b w:val="false"/>
          <w:bCs w:val="false"/>
        </w:rPr>
        <w:t xml:space="preserve">The household moved in on 1 January 2026, so the history covers nine months; EAC §8.1(g)(i) allows a shorter history to count back to the first day of occupation [1]. The only metered record is the Octopus pre-payment for the room AC. The occupants report topping up about HK$50 a month in January-April and HK$140 a month from May, </w:t>
      </w:r>
      <w:r>
        <w:rPr>
          <w:b/>
          <w:bCs/>
        </w:rPr>
        <w:t xml:space="preserve">HK$900 in total</w:t>
      </w:r>
      <w:r>
        <w:rPr>
          <w:b w:val="false"/>
          <w:bCs w:val="false"/>
        </w:rPr>
        <w:t xml:space="preserve">. No other load is billed to the room, so each month's other end-uses were estimated with the method of Section 2.2, using that month's number of days and HKO mean temperature (Table 6.2).</w:t>
      </w:r>
    </w:p>
    <w:p>
      <w:pPr>
        <w:pStyle w:val="ListParagraph"/>
        <w:numPr>
          <w:ilvl w:val="0"/>
          <w:numId w:val="2"/>
        </w:numPr>
        <w:spacing w:after="60" w:line="264"/>
      </w:pPr>
      <w:r>
        <w:rPr>
          <w:b w:val="false"/>
          <w:bCs w:val="false"/>
        </w:rPr>
        <w:t xml:space="preserve">The household used about </w:t>
      </w:r>
      <w:r>
        <w:rPr>
          <w:b/>
          <w:bCs/>
        </w:rPr>
        <w:t xml:space="preserve">1,956 kWh</w:t>
      </w:r>
      <w:r>
        <w:rPr>
          <w:b w:val="false"/>
          <w:bCs w:val="false"/>
        </w:rPr>
        <w:t xml:space="preserve"> in the nine months: 194 kWh a month in the cool months (January-April) and 236 kWh a month in the hot months (May-September).</w:t>
      </w:r>
    </w:p>
    <w:p>
      <w:pPr>
        <w:pStyle w:val="ListParagraph"/>
        <w:numPr>
          <w:ilvl w:val="0"/>
          <w:numId w:val="2"/>
        </w:numPr>
        <w:spacing w:after="60" w:line="264"/>
      </w:pPr>
      <w:r>
        <w:rPr>
          <w:b w:val="false"/>
          <w:bCs w:val="false"/>
        </w:rPr>
        <w:t xml:space="preserve">The step up in May is the room AC (35.6 to 99.6 kWh a month), partly offset by shower energy falling from 77.0 kWh in January to 44.9 kWh in May as the mains water warms.</w:t>
      </w:r>
    </w:p>
    <w:p>
      <w:pPr>
        <w:pStyle w:val="ListParagraph"/>
        <w:numPr>
          <w:ilvl w:val="0"/>
          <w:numId w:val="2"/>
        </w:numPr>
        <w:spacing w:after="60" w:line="264"/>
      </w:pPr>
      <w:r>
        <w:rPr>
          <w:b w:val="false"/>
          <w:bCs w:val="false"/>
        </w:rPr>
        <w:t xml:space="preserve">The room's monthly EUI doubled from about 16.6 to 32.1 MJ/m².</w:t>
      </w:r>
    </w:p>
    <w:p>
      <w:pPr>
        <w:pStyle w:val="ListParagraph"/>
        <w:numPr>
          <w:ilvl w:val="0"/>
          <w:numId w:val="2"/>
        </w:numPr>
        <w:spacing w:after="120" w:line="264"/>
      </w:pPr>
      <w:r>
        <w:rPr>
          <w:b w:val="false"/>
          <w:bCs w:val="false"/>
        </w:rPr>
        <w:t xml:space="preserve">Adding the typical October-December months gives the 2,586 kWh baseline year used throughout this report (EE-EAes Part 2, "past 1st 12-month period").</w:t>
      </w:r>
    </w:p>
    <w:p>
      <w:pPr>
        <w:spacing w:after="120" w:before="0" w:line="276"/>
        <w:jc w:val="both"/>
      </w:pPr>
      <w:r>
        <w:rPr>
          <w:b w:val="false"/>
          <w:bCs w:val="false"/>
        </w:rPr>
        <w:t xml:space="preserve">The Octopus amounts are the occupants' typical monthly top-ups rather than individual receipts, so the series is smooth by construction. The reported one-month break would lower the actual total; it is tested in Section 12. Keeping each month's top-up receipt from now on would turn this record into a proper monthly baseline for M&amp;V (Section 11.2).</w:t>
      </w:r>
    </w:p>
    <w:p>
      <w:pPr>
        <w:keepNext/>
        <w:spacing w:after="80" w:before="160"/>
      </w:pPr>
      <w:r>
        <w:rPr>
          <w:b/>
          <w:bCs/>
          <w:color w:val="1F3864"/>
          <w:sz w:val="18"/>
          <w:szCs w:val="18"/>
        </w:rPr>
        <w:t xml:space="preserve">Table 6.2: Household energy since move-in (Octopus AC record and modelled end-uses)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700"/>
        <w:gridCol w:w="1400"/>
        <w:gridCol w:w="1250"/>
        <w:gridCol w:w="1250"/>
        <w:gridCol w:w="1350"/>
        <w:gridCol w:w="1150"/>
        <w:gridCol w:w="1012"/>
      </w:tblGrid>
      <w:tr>
        <w:trPr>
          <w:tblHeader/>
        </w:trPr>
        <w:tc>
          <w:tcPr>
            <w:tcW w:type="dxa" w:w="13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Month</w:t>
            </w:r>
          </w:p>
        </w:tc>
        <w:tc>
          <w:tcPr>
            <w:tcW w:type="dxa" w:w="7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Days</w:t>
            </w:r>
          </w:p>
        </w:tc>
        <w:tc>
          <w:tcPr>
            <w:tcW w:type="dxa" w:w="14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Octopus AC top-up</w:t>
            </w:r>
          </w:p>
        </w:tc>
        <w:tc>
          <w:tcPr>
            <w:tcW w:type="dxa" w:w="125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Room AC kWh</w:t>
            </w:r>
          </w:p>
        </w:tc>
        <w:tc>
          <w:tcPr>
            <w:tcW w:type="dxa" w:w="125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Hot water kWh</w:t>
            </w:r>
          </w:p>
        </w:tc>
        <w:tc>
          <w:tcPr>
            <w:tcW w:type="dxa" w:w="135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Household kWh</w:t>
            </w:r>
          </w:p>
        </w:tc>
        <w:tc>
          <w:tcPr>
            <w:tcW w:type="dxa" w:w="115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Room EUI MJ/m²</w:t>
            </w:r>
          </w:p>
        </w:tc>
        <w:tc>
          <w:tcPr>
            <w:tcW w:type="dxa" w:w="1012"/>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kg </w:t>
            </w:r>
            <w:r>
              <w:rPr>
                <w:b/>
                <w:bCs/>
                <w:color w:val="1F3864"/>
                <w:sz w:val="15"/>
                <w:szCs w:val="15"/>
              </w:rPr>
              <w:t xml:space="preserve">CO</w:t>
            </w:r>
            <w:r>
              <w:rPr>
                <w:b/>
                <w:bCs/>
                <w:color w:val="1F3864"/>
                <w:sz w:val="15"/>
                <w:szCs w:val="15"/>
                <w:vertAlign w:val="subscript"/>
              </w:rPr>
              <w:t xml:space="preserve">2</w:t>
            </w:r>
            <w:r>
              <w:rPr>
                <w:b/>
                <w:bCs/>
                <w:color w:val="1F3864"/>
                <w:sz w:val="15"/>
                <w:szCs w:val="15"/>
              </w:rPr>
              <w:t xml:space="preserve">e (CLP)</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Jan</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HK$50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77.0</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207.2</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16.9</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70.5</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Feb</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28</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HK$50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67.8</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188.8</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16.1</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64.2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Mar</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HK$50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67.5</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197.7</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16.9</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67.2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Apr</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30</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HK$50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53.9</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181.1</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16.6</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61.6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May</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HK$140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44.9</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243.6</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32.2</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82.8</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Jun</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30</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HK$140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37.1</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232.6</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32.0</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79.1</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Jul</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HK$140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36.4</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235.0</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32.2</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79.9</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Aug</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HK$140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37.0</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235.7</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32.2</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80.1</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5"/>
                <w:szCs w:val="15"/>
              </w:rPr>
              <w:t xml:space="preserve">Sep</w:t>
            </w:r>
          </w:p>
        </w:tc>
        <w:tc>
          <w:tcPr>
            <w:tcW w:type="dxa" w:w="700"/>
            <w:tcMar>
              <w:top w:type="dxa" w:w="50"/>
              <w:left w:type="dxa" w:w="90"/>
              <w:bottom w:type="dxa" w:w="50"/>
              <w:right w:type="dxa" w:w="90"/>
            </w:tcMar>
            <w:vAlign w:val="center"/>
          </w:tcPr>
          <w:p>
            <w:pPr>
              <w:spacing w:after="0" w:line="240"/>
              <w:jc w:val="right"/>
            </w:pPr>
            <w:r>
              <w:rPr>
                <w:b w:val="false"/>
                <w:bCs w:val="false"/>
                <w:sz w:val="15"/>
                <w:szCs w:val="15"/>
              </w:rPr>
              <w:t xml:space="preserve">30</w:t>
            </w:r>
          </w:p>
        </w:tc>
        <w:tc>
          <w:tcPr>
            <w:tcW w:type="dxa" w:w="1400"/>
            <w:tcMar>
              <w:top w:type="dxa" w:w="50"/>
              <w:left w:type="dxa" w:w="90"/>
              <w:bottom w:type="dxa" w:w="50"/>
              <w:right w:type="dxa" w:w="90"/>
            </w:tcMar>
            <w:vAlign w:val="center"/>
          </w:tcPr>
          <w:p>
            <w:pPr>
              <w:spacing w:after="0" w:line="240"/>
              <w:jc w:val="right"/>
            </w:pPr>
            <w:r>
              <w:rPr>
                <w:b w:val="false"/>
                <w:bCs w:val="false"/>
                <w:sz w:val="15"/>
                <w:szCs w:val="15"/>
              </w:rPr>
              <w:t xml:space="preserve">HK$140</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1250"/>
            <w:tcMar>
              <w:top w:type="dxa" w:w="50"/>
              <w:left w:type="dxa" w:w="90"/>
              <w:bottom w:type="dxa" w:w="50"/>
              <w:right w:type="dxa" w:w="90"/>
            </w:tcMar>
            <w:vAlign w:val="center"/>
          </w:tcPr>
          <w:p>
            <w:pPr>
              <w:spacing w:after="0" w:line="240"/>
              <w:jc w:val="right"/>
            </w:pPr>
            <w:r>
              <w:rPr>
                <w:b w:val="false"/>
                <w:bCs w:val="false"/>
                <w:sz w:val="15"/>
                <w:szCs w:val="15"/>
              </w:rPr>
              <w:t xml:space="preserve">38.4</w:t>
            </w:r>
          </w:p>
        </w:tc>
        <w:tc>
          <w:tcPr>
            <w:tcW w:type="dxa" w:w="1350"/>
            <w:tcMar>
              <w:top w:type="dxa" w:w="50"/>
              <w:left w:type="dxa" w:w="90"/>
              <w:bottom w:type="dxa" w:w="50"/>
              <w:right w:type="dxa" w:w="90"/>
            </w:tcMar>
            <w:vAlign w:val="center"/>
          </w:tcPr>
          <w:p>
            <w:pPr>
              <w:spacing w:after="0" w:line="240"/>
              <w:jc w:val="right"/>
            </w:pPr>
            <w:r>
              <w:rPr>
                <w:b w:val="false"/>
                <w:bCs w:val="false"/>
                <w:sz w:val="15"/>
                <w:szCs w:val="15"/>
              </w:rPr>
              <w:t xml:space="preserve">233.8</w:t>
            </w:r>
          </w:p>
        </w:tc>
        <w:tc>
          <w:tcPr>
            <w:tcW w:type="dxa" w:w="1150"/>
            <w:tcMar>
              <w:top w:type="dxa" w:w="50"/>
              <w:left w:type="dxa" w:w="90"/>
              <w:bottom w:type="dxa" w:w="50"/>
              <w:right w:type="dxa" w:w="90"/>
            </w:tcMar>
            <w:vAlign w:val="center"/>
          </w:tcPr>
          <w:p>
            <w:pPr>
              <w:spacing w:after="0" w:line="240"/>
              <w:jc w:val="right"/>
            </w:pPr>
            <w:r>
              <w:rPr>
                <w:b w:val="false"/>
                <w:bCs w:val="false"/>
                <w:sz w:val="15"/>
                <w:szCs w:val="15"/>
              </w:rPr>
              <w:t xml:space="preserve">32.0</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79.5</w:t>
            </w:r>
          </w:p>
        </w:tc>
      </w:tr>
      <w:tr>
        <w:trPr>
          <w:cantSplit/>
        </w:trPr>
        <w:tc>
          <w:tcPr>
            <w:tcW w:type="dxa" w:w="1300"/>
            <w:shd w:fill="F2F2F2" w:color="auto" w:val="clear"/>
            <w:tcMar>
              <w:top w:type="dxa" w:w="50"/>
              <w:left w:type="dxa" w:w="90"/>
              <w:bottom w:type="dxa" w:w="50"/>
              <w:right w:type="dxa" w:w="90"/>
            </w:tcMar>
            <w:vAlign w:val="center"/>
          </w:tcPr>
          <w:p>
            <w:pPr>
              <w:spacing w:after="0" w:line="240"/>
              <w:jc w:val="left"/>
            </w:pPr>
            <w:r>
              <w:rPr>
                <w:b/>
                <w:bCs/>
                <w:sz w:val="15"/>
                <w:szCs w:val="15"/>
              </w:rPr>
              <w:t xml:space="preserve">Jan-Sep 2026</w:t>
            </w:r>
          </w:p>
        </w:tc>
        <w:tc>
          <w:tcPr>
            <w:tcW w:type="dxa" w:w="700"/>
            <w:shd w:fill="F2F2F2" w:color="auto" w:val="clear"/>
            <w:tcMar>
              <w:top w:type="dxa" w:w="50"/>
              <w:left w:type="dxa" w:w="90"/>
              <w:bottom w:type="dxa" w:w="50"/>
              <w:right w:type="dxa" w:w="90"/>
            </w:tcMar>
            <w:vAlign w:val="center"/>
          </w:tcPr>
          <w:p>
            <w:pPr>
              <w:spacing w:after="0" w:line="240"/>
              <w:jc w:val="right"/>
            </w:pPr>
            <w:r>
              <w:rPr>
                <w:b/>
                <w:bCs/>
                <w:sz w:val="15"/>
                <w:szCs w:val="15"/>
              </w:rPr>
              <w:t xml:space="preserve">273</w:t>
            </w:r>
          </w:p>
        </w:tc>
        <w:tc>
          <w:tcPr>
            <w:tcW w:type="dxa" w:w="1400"/>
            <w:shd w:fill="F2F2F2" w:color="auto" w:val="clear"/>
            <w:tcMar>
              <w:top w:type="dxa" w:w="50"/>
              <w:left w:type="dxa" w:w="90"/>
              <w:bottom w:type="dxa" w:w="50"/>
              <w:right w:type="dxa" w:w="90"/>
            </w:tcMar>
            <w:vAlign w:val="center"/>
          </w:tcPr>
          <w:p>
            <w:pPr>
              <w:spacing w:after="0" w:line="240"/>
              <w:jc w:val="right"/>
            </w:pPr>
            <w:r>
              <w:rPr>
                <w:b/>
                <w:bCs/>
                <w:sz w:val="15"/>
                <w:szCs w:val="15"/>
              </w:rPr>
              <w:t xml:space="preserve">HK$900</w:t>
            </w:r>
          </w:p>
        </w:tc>
        <w:tc>
          <w:tcPr>
            <w:tcW w:type="dxa" w:w="1250"/>
            <w:shd w:fill="F2F2F2" w:color="auto" w:val="clear"/>
            <w:tcMar>
              <w:top w:type="dxa" w:w="50"/>
              <w:left w:type="dxa" w:w="90"/>
              <w:bottom w:type="dxa" w:w="50"/>
              <w:right w:type="dxa" w:w="90"/>
            </w:tcMar>
            <w:vAlign w:val="center"/>
          </w:tcPr>
          <w:p>
            <w:pPr>
              <w:spacing w:after="0" w:line="240"/>
              <w:jc w:val="right"/>
            </w:pPr>
            <w:r>
              <w:rPr>
                <w:b/>
                <w:bCs/>
                <w:sz w:val="15"/>
                <w:szCs w:val="15"/>
              </w:rPr>
              <w:t xml:space="preserve">640.1</w:t>
            </w:r>
          </w:p>
        </w:tc>
        <w:tc>
          <w:tcPr>
            <w:tcW w:type="dxa" w:w="1250"/>
            <w:shd w:fill="F2F2F2" w:color="auto" w:val="clear"/>
            <w:tcMar>
              <w:top w:type="dxa" w:w="50"/>
              <w:left w:type="dxa" w:w="90"/>
              <w:bottom w:type="dxa" w:w="50"/>
              <w:right w:type="dxa" w:w="90"/>
            </w:tcMar>
            <w:vAlign w:val="center"/>
          </w:tcPr>
          <w:p>
            <w:pPr>
              <w:spacing w:after="0" w:line="240"/>
              <w:jc w:val="right"/>
            </w:pPr>
            <w:r>
              <w:rPr>
                <w:b/>
                <w:bCs/>
                <w:sz w:val="15"/>
                <w:szCs w:val="15"/>
              </w:rPr>
              <w:t xml:space="preserve">460.0</w:t>
            </w:r>
          </w:p>
        </w:tc>
        <w:tc>
          <w:tcPr>
            <w:tcW w:type="dxa" w:w="1350"/>
            <w:shd w:fill="F2F2F2" w:color="auto" w:val="clear"/>
            <w:tcMar>
              <w:top w:type="dxa" w:w="50"/>
              <w:left w:type="dxa" w:w="90"/>
              <w:bottom w:type="dxa" w:w="50"/>
              <w:right w:type="dxa" w:w="90"/>
            </w:tcMar>
            <w:vAlign w:val="center"/>
          </w:tcPr>
          <w:p>
            <w:pPr>
              <w:spacing w:after="0" w:line="240"/>
              <w:jc w:val="right"/>
            </w:pPr>
            <w:r>
              <w:rPr>
                <w:b/>
                <w:bCs/>
                <w:sz w:val="15"/>
                <w:szCs w:val="15"/>
              </w:rPr>
              <w:t xml:space="preserve">1,955.6</w:t>
            </w:r>
          </w:p>
        </w:tc>
        <w:tc>
          <w:tcPr>
            <w:tcW w:type="dxa" w:w="1150"/>
            <w:shd w:fill="F2F2F2" w:color="auto" w:val="clear"/>
            <w:tcMar>
              <w:top w:type="dxa" w:w="50"/>
              <w:left w:type="dxa" w:w="90"/>
              <w:bottom w:type="dxa" w:w="50"/>
              <w:right w:type="dxa" w:w="90"/>
            </w:tcMar>
            <w:vAlign w:val="center"/>
          </w:tcPr>
          <w:p>
            <w:pPr>
              <w:spacing w:after="0" w:line="240"/>
              <w:jc w:val="right"/>
            </w:pPr>
            <w:r>
              <w:rPr>
                <w:b/>
                <w:bCs/>
                <w:sz w:val="15"/>
                <w:szCs w:val="15"/>
              </w:rPr>
              <w:t xml:space="preserve">227.0</w:t>
            </w:r>
          </w:p>
        </w:tc>
        <w:tc>
          <w:tcPr>
            <w:tcW w:type="dxa" w:w="1012"/>
            <w:shd w:fill="F2F2F2" w:color="auto" w:val="clear"/>
            <w:tcMar>
              <w:top w:type="dxa" w:w="50"/>
              <w:left w:type="dxa" w:w="90"/>
              <w:bottom w:type="dxa" w:w="50"/>
              <w:right w:type="dxa" w:w="90"/>
            </w:tcMar>
            <w:vAlign w:val="center"/>
          </w:tcPr>
          <w:p>
            <w:pPr>
              <w:spacing w:after="0" w:line="240"/>
              <w:jc w:val="right"/>
            </w:pPr>
            <w:r>
              <w:rPr>
                <w:b/>
                <w:bCs/>
                <w:sz w:val="15"/>
                <w:szCs w:val="15"/>
              </w:rPr>
              <w:t xml:space="preserve">664.9</w:t>
            </w:r>
          </w:p>
        </w:tc>
      </w:tr>
    </w:tbl>
    <w:p>
      <w:pPr>
        <w:pStyle w:val="Heading2"/>
      </w:pPr>
      <w:r>
        <w:rPr>
          <w:b w:val="false"/>
          <w:bCs w:val="false"/>
        </w:rPr>
        <w:t xml:space="preserve">6.3  Shower hot water</w:t>
      </w:r>
    </w:p>
    <w:p>
      <w:pPr>
        <w:keepNext/>
        <w:spacing w:after="40" w:before="0" w:line="276"/>
        <w:jc w:val="both"/>
      </w:pPr>
      <w:r>
        <w:rPr>
          <w:b w:val="false"/>
          <w:bCs w:val="false"/>
        </w:rPr>
        <w:t xml:space="preserve">Shower energy is not metered, so it was calculated from first principles. Each occupant takes one 5-minute shower a day at an assumed 9 L/min, which is 45 L a day. The water is heated to 40 °C from a mains temperature taken as the HKO monthly mean air temperature, at 99% heater efficiency.</w:t>
      </w:r>
    </w:p>
    <w:p>
      <w:pPr>
        <w:pStyle w:val="ListParagraph"/>
        <w:numPr>
          <w:ilvl w:val="0"/>
          <w:numId w:val="2"/>
        </w:numPr>
        <w:spacing w:after="60" w:line="264"/>
      </w:pPr>
      <w:r>
        <w:rPr>
          <w:b w:val="false"/>
          <w:bCs w:val="false"/>
        </w:rPr>
        <w:t xml:space="preserve">The annual-average temperature rise is 16.5 K.</w:t>
      </w:r>
    </w:p>
    <w:p>
      <w:pPr>
        <w:pStyle w:val="ListParagraph"/>
        <w:numPr>
          <w:ilvl w:val="0"/>
          <w:numId w:val="2"/>
        </w:numPr>
        <w:spacing w:after="60" w:line="264"/>
      </w:pPr>
      <w:r>
        <w:rPr>
          <w:b w:val="false"/>
          <w:bCs w:val="false"/>
        </w:rPr>
        <w:t xml:space="preserve">Household shower energy is </w:t>
      </w:r>
      <w:r>
        <w:rPr>
          <w:b/>
          <w:bCs/>
        </w:rPr>
        <w:t xml:space="preserve">635 kWh/yr</w:t>
      </w:r>
      <w:r>
        <w:rPr>
          <w:b w:val="false"/>
          <w:bCs w:val="false"/>
        </w:rPr>
        <w:t xml:space="preserve">, 0.87 kWh per person per day.</w:t>
      </w:r>
    </w:p>
    <w:p>
      <w:pPr>
        <w:pStyle w:val="ListParagraph"/>
        <w:numPr>
          <w:ilvl w:val="0"/>
          <w:numId w:val="2"/>
        </w:numPr>
        <w:spacing w:after="60" w:line="264"/>
      </w:pPr>
      <w:r>
        <w:rPr>
          <w:b w:val="false"/>
          <w:bCs w:val="false"/>
        </w:rPr>
        <w:t xml:space="preserve">January uses 2.12 times as much energy as July (Figure 6.2). The cool months therefore partly offset the hot-season AC peak, which flattens the monthly profile.</w:t>
      </w:r>
    </w:p>
    <w:p>
      <w:pPr>
        <w:keepNext/>
        <w:spacing w:after="40" w:before="120"/>
        <w:jc w:val="center"/>
      </w:pPr>
      <w:r>
        <w:drawing>
          <wp:inline distT="0" distB="0" distL="0" distR="0">
            <wp:extent cx="58102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10250" cy="2600325"/>
                    </a:xfrm>
                    <a:prstGeom prst="rect">
                      <a:avLst/>
                    </a:prstGeom>
                  </pic:spPr>
                </pic:pic>
              </a:graphicData>
            </a:graphic>
          </wp:inline>
        </w:drawing>
      </w:r>
    </w:p>
    <w:p>
      <w:pPr>
        <w:spacing w:after="200" w:before="60"/>
        <w:jc w:val="center"/>
      </w:pPr>
      <w:r>
        <w:rPr>
          <w:b w:val="false"/>
          <w:bCs w:val="false"/>
          <w:i/>
          <w:iCs/>
          <w:color w:val="52514E"/>
          <w:sz w:val="17"/>
          <w:szCs w:val="17"/>
        </w:rPr>
        <w:t xml:space="preserve">Figure 6.2: Monthly household shower energy and cold-water inlet temperature</w:t>
      </w:r>
    </w:p>
    <w:p>
      <w:pPr>
        <w:pStyle w:val="Heading2"/>
      </w:pPr>
      <w:r>
        <w:rPr>
          <w:b w:val="false"/>
          <w:bCs w:val="false"/>
        </w:rPr>
        <w:t xml:space="preserve">6.4  Annual consumption and end-use breakdown</w:t>
      </w:r>
    </w:p>
    <w:p>
      <w:pPr>
        <w:keepNext/>
        <w:spacing w:after="40" w:before="0" w:line="276"/>
        <w:jc w:val="both"/>
      </w:pPr>
      <w:r>
        <w:rPr>
          <w:b w:val="false"/>
          <w:bCs w:val="false"/>
        </w:rPr>
        <w:t xml:space="preserve">The household uses </w:t>
      </w:r>
      <w:r>
        <w:rPr>
          <w:b/>
          <w:bCs/>
        </w:rPr>
        <w:t xml:space="preserve">2,586 kWh a year</w:t>
      </w:r>
      <w:r>
        <w:rPr>
          <w:b w:val="false"/>
          <w:bCs w:val="false"/>
        </w:rPr>
        <w:t xml:space="preserve"> (1,293 kWh per person).</w:t>
      </w:r>
    </w:p>
    <w:p>
      <w:pPr>
        <w:pStyle w:val="ListParagraph"/>
        <w:numPr>
          <w:ilvl w:val="0"/>
          <w:numId w:val="2"/>
        </w:numPr>
        <w:spacing w:after="60" w:line="264"/>
      </w:pPr>
      <w:r>
        <w:rPr>
          <w:b/>
          <w:bCs/>
        </w:rPr>
        <w:t xml:space="preserve">Air-conditioning</w:t>
      </w:r>
      <w:r>
        <w:rPr>
          <w:b w:val="false"/>
          <w:bCs w:val="false"/>
        </w:rPr>
        <w:t xml:space="preserve"> is the largest end-use at 34.4%: the room AC plus the household's share of the kitchen AC.</w:t>
      </w:r>
    </w:p>
    <w:p>
      <w:pPr>
        <w:pStyle w:val="ListParagraph"/>
        <w:numPr>
          <w:ilvl w:val="0"/>
          <w:numId w:val="2"/>
        </w:numPr>
        <w:spacing w:after="60" w:line="264"/>
      </w:pPr>
      <w:r>
        <w:rPr>
          <w:b/>
          <w:bCs/>
        </w:rPr>
        <w:t xml:space="preserve">Shower hot water</w:t>
      </w:r>
      <w:r>
        <w:rPr>
          <w:b w:val="false"/>
          <w:bCs w:val="false"/>
        </w:rPr>
        <w:t xml:space="preserve"> is next at 24.5%, then </w:t>
      </w:r>
      <w:r>
        <w:rPr>
          <w:b/>
          <w:bCs/>
        </w:rPr>
        <w:t xml:space="preserve">cooking</w:t>
      </w:r>
      <w:r>
        <w:rPr>
          <w:b w:val="false"/>
          <w:bCs w:val="false"/>
        </w:rPr>
        <w:t xml:space="preserve"> at 12.1%.</w:t>
      </w:r>
    </w:p>
    <w:p>
      <w:pPr>
        <w:pStyle w:val="ListParagraph"/>
        <w:numPr>
          <w:ilvl w:val="0"/>
          <w:numId w:val="2"/>
        </w:numPr>
        <w:spacing w:after="60" w:line="264"/>
      </w:pPr>
      <w:r>
        <w:rPr>
          <w:b w:val="false"/>
          <w:bCs w:val="false"/>
        </w:rPr>
        <w:t xml:space="preserve">Lighting is only 6.4%.</w:t>
      </w:r>
    </w:p>
    <w:p>
      <w:pPr>
        <w:pStyle w:val="ListParagraph"/>
        <w:numPr>
          <w:ilvl w:val="0"/>
          <w:numId w:val="2"/>
        </w:numPr>
        <w:spacing w:after="60" w:line="264"/>
      </w:pPr>
      <w:r>
        <w:rPr>
          <w:b w:val="false"/>
          <w:bCs w:val="false"/>
        </w:rPr>
        <w:t xml:space="preserve">The washroom exhaust fan's share (5.1%) is larger than all the room's lighting together, even though it is only half of one fan.</w:t>
      </w:r>
    </w:p>
    <w:p>
      <w:pPr>
        <w:keepNext/>
        <w:spacing w:after="80" w:before="160"/>
      </w:pPr>
      <w:r>
        <w:rPr>
          <w:b/>
          <w:bCs/>
          <w:color w:val="1F3864"/>
          <w:sz w:val="18"/>
          <w:szCs w:val="18"/>
        </w:rPr>
        <w:t xml:space="preserve">Table 6.3: Household electricity by end-use</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412"/>
        <w:gridCol w:w="1300"/>
        <w:gridCol w:w="1100"/>
        <w:gridCol w:w="1500"/>
        <w:gridCol w:w="1550"/>
        <w:gridCol w:w="1550"/>
      </w:tblGrid>
      <w:tr>
        <w:trPr>
          <w:tblHeader/>
        </w:trPr>
        <w:tc>
          <w:tcPr>
            <w:tcW w:type="dxa" w:w="24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End-use</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kWh/yr</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Share</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kWh/person/yr</w:t>
            </w:r>
          </w:p>
        </w:tc>
        <w:tc>
          <w:tcPr>
            <w:tcW w:type="dxa" w:w="155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e/yr (CLP)</w:t>
            </w:r>
          </w:p>
        </w:tc>
        <w:tc>
          <w:tcPr>
            <w:tcW w:type="dxa" w:w="155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e/yr (0.7)</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Air-conditioning</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889.5</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34.4%</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444.8</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302.4</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622.7</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Hot water</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634.7</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24.5%</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317.4</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215.8</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444.3</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Cooking</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312.0</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12.1%</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156.0</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106.1</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218.4</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Plug loads</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204.4</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7.9%</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102.2</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69.5</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143.1</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Lighting</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166.1</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6.4%</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83.0</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56.5</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116.3</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Ventilation</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131.4</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5.1%</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65.7</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44.7</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92.0</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Air movement (fan)</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87.6</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3.4%</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43.8</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29.8</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61.3</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Laundry</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93.6</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3.6%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46.8</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31.8</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65.5</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Drinking water</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34.2</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1.3%</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17.1</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11.6</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24.0</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Refrigeration</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32.9</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1.3%</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16.4</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11.2</w:t>
            </w:r>
          </w:p>
        </w:tc>
        <w:tc>
          <w:tcPr>
            <w:tcW w:type="dxa" w:w="1550"/>
            <w:tcMar>
              <w:top w:type="dxa" w:w="50"/>
              <w:left w:type="dxa" w:w="90"/>
              <w:bottom w:type="dxa" w:w="50"/>
              <w:right w:type="dxa" w:w="90"/>
            </w:tcMar>
            <w:vAlign w:val="center"/>
          </w:tcPr>
          <w:p>
            <w:pPr>
              <w:spacing w:after="0" w:line="240"/>
              <w:jc w:val="right"/>
            </w:pPr>
            <w:r>
              <w:rPr>
                <w:b w:val="false"/>
                <w:bCs w:val="false"/>
                <w:sz w:val="16"/>
                <w:szCs w:val="16"/>
              </w:rPr>
              <w:t xml:space="preserve">23.0</w:t>
            </w:r>
          </w:p>
        </w:tc>
      </w:tr>
      <w:tr>
        <w:trPr>
          <w:cantSplit/>
        </w:trPr>
        <w:tc>
          <w:tcPr>
            <w:tcW w:type="dxa" w:w="2412"/>
            <w:shd w:fill="F2F2F2" w:color="auto" w:val="clear"/>
            <w:tcMar>
              <w:top w:type="dxa" w:w="50"/>
              <w:left w:type="dxa" w:w="90"/>
              <w:bottom w:type="dxa" w:w="50"/>
              <w:right w:type="dxa" w:w="90"/>
            </w:tcMar>
            <w:vAlign w:val="center"/>
          </w:tcPr>
          <w:p>
            <w:pPr>
              <w:spacing w:after="0" w:line="240"/>
              <w:jc w:val="left"/>
            </w:pPr>
            <w:r>
              <w:rPr>
                <w:b/>
                <w:bCs/>
                <w:sz w:val="16"/>
                <w:szCs w:val="16"/>
              </w:rPr>
              <w:t xml:space="preserve">Total</w:t>
            </w:r>
          </w:p>
        </w:tc>
        <w:tc>
          <w:tcPr>
            <w:tcW w:type="dxa" w:w="1300"/>
            <w:shd w:fill="F2F2F2" w:color="auto" w:val="clear"/>
            <w:tcMar>
              <w:top w:type="dxa" w:w="50"/>
              <w:left w:type="dxa" w:w="90"/>
              <w:bottom w:type="dxa" w:w="50"/>
              <w:right w:type="dxa" w:w="90"/>
            </w:tcMar>
            <w:vAlign w:val="center"/>
          </w:tcPr>
          <w:p>
            <w:pPr>
              <w:spacing w:after="0" w:line="240"/>
              <w:jc w:val="right"/>
            </w:pPr>
            <w:r>
              <w:rPr>
                <w:b/>
                <w:bCs/>
                <w:sz w:val="16"/>
                <w:szCs w:val="16"/>
              </w:rPr>
              <w:t xml:space="preserve">2,586.4</w:t>
            </w:r>
          </w:p>
        </w:tc>
        <w:tc>
          <w:tcPr>
            <w:tcW w:type="dxa" w:w="11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100.0%</w:t>
            </w:r>
          </w:p>
        </w:tc>
        <w:tc>
          <w:tcPr>
            <w:tcW w:type="dxa" w:w="15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1,293.2</w:t>
            </w:r>
          </w:p>
        </w:tc>
        <w:tc>
          <w:tcPr>
            <w:tcW w:type="dxa" w:w="1550"/>
            <w:shd w:fill="F2F2F2" w:color="auto" w:val="clear"/>
            <w:tcMar>
              <w:top w:type="dxa" w:w="50"/>
              <w:left w:type="dxa" w:w="90"/>
              <w:bottom w:type="dxa" w:w="50"/>
              <w:right w:type="dxa" w:w="90"/>
            </w:tcMar>
            <w:vAlign w:val="center"/>
          </w:tcPr>
          <w:p>
            <w:pPr>
              <w:spacing w:after="0" w:line="240"/>
              <w:jc w:val="right"/>
            </w:pPr>
            <w:r>
              <w:rPr>
                <w:b/>
                <w:bCs/>
                <w:sz w:val="16"/>
                <w:szCs w:val="16"/>
              </w:rPr>
              <w:t xml:space="preserve">879.4</w:t>
            </w:r>
          </w:p>
        </w:tc>
        <w:tc>
          <w:tcPr>
            <w:tcW w:type="dxa" w:w="1550"/>
            <w:shd w:fill="F2F2F2" w:color="auto" w:val="clear"/>
            <w:tcMar>
              <w:top w:type="dxa" w:w="50"/>
              <w:left w:type="dxa" w:w="90"/>
              <w:bottom w:type="dxa" w:w="50"/>
              <w:right w:type="dxa" w:w="90"/>
            </w:tcMar>
            <w:vAlign w:val="center"/>
          </w:tcPr>
          <w:p>
            <w:pPr>
              <w:spacing w:after="0" w:line="240"/>
              <w:jc w:val="right"/>
            </w:pPr>
            <w:r>
              <w:rPr>
                <w:b/>
                <w:bCs/>
                <w:sz w:val="16"/>
                <w:szCs w:val="16"/>
              </w:rPr>
              <w:t xml:space="preserve">1,810.5</w:t>
            </w:r>
          </w:p>
        </w:tc>
      </w:tr>
    </w:tbl>
    <w:p>
      <w:pPr>
        <w:keepNext/>
        <w:spacing w:after="40" w:before="120"/>
        <w:jc w:val="center"/>
      </w:pPr>
      <w:r>
        <w:drawing>
          <wp:inline distT="0" distB="0" distL="0" distR="0">
            <wp:extent cx="581025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2657475"/>
                    </a:xfrm>
                    <a:prstGeom prst="rect">
                      <a:avLst/>
                    </a:prstGeom>
                  </pic:spPr>
                </pic:pic>
              </a:graphicData>
            </a:graphic>
          </wp:inline>
        </w:drawing>
      </w:r>
    </w:p>
    <w:p>
      <w:pPr>
        <w:spacing w:after="200" w:before="60"/>
        <w:jc w:val="center"/>
      </w:pPr>
      <w:r>
        <w:rPr>
          <w:b w:val="false"/>
          <w:bCs w:val="false"/>
          <w:i/>
          <w:iCs/>
          <w:color w:val="52514E"/>
          <w:sz w:val="17"/>
          <w:szCs w:val="17"/>
        </w:rPr>
        <w:t xml:space="preserve">Figure 6.3: Household electricity by end-use (kWh/yr and share)</w:t>
      </w:r>
    </w:p>
    <w:p>
      <w:pPr>
        <w:pStyle w:val="Heading2"/>
      </w:pPr>
      <w:r>
        <w:rPr>
          <w:b w:val="false"/>
          <w:bCs w:val="false"/>
        </w:rPr>
        <w:t xml:space="preserve">6.5  Breakdown by EAC installation category (EAC §8.1(g)(iv))</w:t>
      </w:r>
    </w:p>
    <w:p>
      <w:pPr>
        <w:keepNext/>
        <w:spacing w:after="40" w:before="0" w:line="276"/>
        <w:jc w:val="both"/>
      </w:pPr>
      <w:r>
        <w:rPr>
          <w:b w:val="false"/>
          <w:bCs w:val="false"/>
        </w:rPr>
        <w:t xml:space="preserve">EAC §8.1(g)(iv) asks for the breakdown by installation: air-conditioning, lighting, lift and escalator, and others. The EE-EAes form notes that air-conditioning "includes central mechanical ventilation" [3]. Following that convention, the desk fan and the washroom exhaust fan are counted as air-conditioning.</w:t>
      </w:r>
    </w:p>
    <w:p>
      <w:pPr>
        <w:pStyle w:val="ListParagraph"/>
        <w:numPr>
          <w:ilvl w:val="0"/>
          <w:numId w:val="2"/>
        </w:numPr>
        <w:spacing w:after="60" w:line="264"/>
      </w:pPr>
      <w:r>
        <w:rPr>
          <w:b/>
          <w:bCs/>
        </w:rPr>
        <w:t xml:space="preserve">Inside the room:</w:t>
      </w:r>
      <w:r>
        <w:rPr>
          <w:b w:val="false"/>
          <w:bCs w:val="false"/>
        </w:rPr>
        <w:t xml:space="preserve"> air-conditioning is 73.7% of energy.</w:t>
      </w:r>
    </w:p>
    <w:p>
      <w:pPr>
        <w:pStyle w:val="ListParagraph"/>
        <w:numPr>
          <w:ilvl w:val="0"/>
          <w:numId w:val="2"/>
        </w:numPr>
        <w:spacing w:after="60" w:line="264"/>
      </w:pPr>
      <w:r>
        <w:rPr>
          <w:b/>
          <w:bCs/>
        </w:rPr>
        <w:t xml:space="preserve">For the whole household:</w:t>
      </w:r>
      <w:r>
        <w:rPr>
          <w:b w:val="false"/>
          <w:bCs w:val="false"/>
        </w:rPr>
        <w:t xml:space="preserve"> air-conditioning is 42.9%, and "others" grows to 50.7% because of water heating and cooking. Lifts and escalators are outside the boundary.</w:t>
      </w:r>
    </w:p>
    <w:p>
      <w:pPr>
        <w:keepNext/>
        <w:spacing w:after="80" w:before="160"/>
      </w:pPr>
      <w:r>
        <w:rPr>
          <w:b/>
          <w:bCs/>
          <w:color w:val="1F3864"/>
          <w:sz w:val="18"/>
          <w:szCs w:val="18"/>
        </w:rPr>
        <w:t xml:space="preserve">Table 6.4: EAC categories - room vs household</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212"/>
        <w:gridCol w:w="1400"/>
        <w:gridCol w:w="1300"/>
        <w:gridCol w:w="1400"/>
        <w:gridCol w:w="1700"/>
        <w:gridCol w:w="1400"/>
      </w:tblGrid>
      <w:tr>
        <w:trPr>
          <w:tblHeader/>
        </w:trPr>
        <w:tc>
          <w:tcPr>
            <w:tcW w:type="dxa" w:w="22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Category</w:t>
            </w:r>
          </w:p>
        </w:tc>
        <w:tc>
          <w:tcPr>
            <w:tcW w:type="dxa" w:w="14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Room kWh/yr</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Room share</w:t>
            </w:r>
          </w:p>
        </w:tc>
        <w:tc>
          <w:tcPr>
            <w:tcW w:type="dxa" w:w="14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Room MJ/yr</w:t>
            </w:r>
          </w:p>
        </w:tc>
        <w:tc>
          <w:tcPr>
            <w:tcW w:type="dxa" w:w="17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Household kWh/yr</w:t>
            </w:r>
          </w:p>
        </w:tc>
        <w:tc>
          <w:tcPr>
            <w:tcW w:type="dxa" w:w="14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Household share</w:t>
            </w:r>
          </w:p>
        </w:tc>
      </w:tr>
      <w:tr>
        <w:trPr>
          <w:cantSplit/>
        </w:trPr>
        <w:tc>
          <w:tcPr>
            <w:tcW w:type="dxa" w:w="2212"/>
            <w:tcMar>
              <w:top w:type="dxa" w:w="50"/>
              <w:left w:type="dxa" w:w="90"/>
              <w:bottom w:type="dxa" w:w="50"/>
              <w:right w:type="dxa" w:w="90"/>
            </w:tcMar>
            <w:vAlign w:val="center"/>
          </w:tcPr>
          <w:p>
            <w:pPr>
              <w:spacing w:after="0" w:line="240"/>
              <w:jc w:val="left"/>
            </w:pPr>
            <w:r>
              <w:rPr>
                <w:b w:val="false"/>
                <w:bCs w:val="false"/>
                <w:sz w:val="16"/>
                <w:szCs w:val="16"/>
              </w:rPr>
              <w:t xml:space="preserve">Air-conditioning</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898.4</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73.7%</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3,234</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1,108.5</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42.9%</w:t>
            </w:r>
          </w:p>
        </w:tc>
      </w:tr>
      <w:tr>
        <w:trPr>
          <w:cantSplit/>
        </w:trPr>
        <w:tc>
          <w:tcPr>
            <w:tcW w:type="dxa" w:w="2212"/>
            <w:tcMar>
              <w:top w:type="dxa" w:w="50"/>
              <w:left w:type="dxa" w:w="90"/>
              <w:bottom w:type="dxa" w:w="50"/>
              <w:right w:type="dxa" w:w="90"/>
            </w:tcMar>
            <w:vAlign w:val="center"/>
          </w:tcPr>
          <w:p>
            <w:pPr>
              <w:spacing w:after="0" w:line="240"/>
              <w:jc w:val="left"/>
            </w:pPr>
            <w:r>
              <w:rPr>
                <w:b w:val="false"/>
                <w:bCs w:val="false"/>
                <w:sz w:val="16"/>
                <w:szCs w:val="16"/>
              </w:rPr>
              <w:t xml:space="preserve">Lighting</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116.8</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9.6%</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420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166.1</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6.4%</w:t>
            </w:r>
          </w:p>
        </w:tc>
      </w:tr>
      <w:tr>
        <w:trPr>
          <w:cantSplit/>
        </w:trPr>
        <w:tc>
          <w:tcPr>
            <w:tcW w:type="dxa" w:w="2212"/>
            <w:tcMar>
              <w:top w:type="dxa" w:w="50"/>
              <w:left w:type="dxa" w:w="90"/>
              <w:bottom w:type="dxa" w:w="50"/>
              <w:right w:type="dxa" w:w="90"/>
            </w:tcMar>
            <w:vAlign w:val="center"/>
          </w:tcPr>
          <w:p>
            <w:pPr>
              <w:spacing w:after="0" w:line="240"/>
              <w:jc w:val="left"/>
            </w:pPr>
            <w:r>
              <w:rPr>
                <w:b w:val="false"/>
                <w:bCs w:val="false"/>
                <w:sz w:val="16"/>
                <w:szCs w:val="16"/>
              </w:rPr>
              <w:t xml:space="preserve">Others</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204.4</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16.8%</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736</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1,311.8</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50.7%</w:t>
            </w:r>
          </w:p>
        </w:tc>
      </w:tr>
      <w:tr>
        <w:trPr>
          <w:cantSplit/>
        </w:trPr>
        <w:tc>
          <w:tcPr>
            <w:tcW w:type="dxa" w:w="2212"/>
            <w:tcMar>
              <w:top w:type="dxa" w:w="50"/>
              <w:left w:type="dxa" w:w="90"/>
              <w:bottom w:type="dxa" w:w="50"/>
              <w:right w:type="dxa" w:w="90"/>
            </w:tcMar>
            <w:vAlign w:val="center"/>
          </w:tcPr>
          <w:p>
            <w:pPr>
              <w:spacing w:after="0" w:line="240"/>
              <w:jc w:val="left"/>
            </w:pPr>
            <w:r>
              <w:rPr>
                <w:b w:val="false"/>
                <w:bCs w:val="false"/>
                <w:sz w:val="16"/>
                <w:szCs w:val="16"/>
              </w:rPr>
              <w:t xml:space="preserve">Lift &amp; escalator</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0.0</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0.0%</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0.0</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0.0%</w:t>
            </w:r>
          </w:p>
        </w:tc>
      </w:tr>
      <w:tr>
        <w:trPr>
          <w:cantSplit/>
        </w:trPr>
        <w:tc>
          <w:tcPr>
            <w:tcW w:type="dxa" w:w="2212"/>
            <w:shd w:fill="F2F2F2" w:color="auto" w:val="clear"/>
            <w:tcMar>
              <w:top w:type="dxa" w:w="50"/>
              <w:left w:type="dxa" w:w="90"/>
              <w:bottom w:type="dxa" w:w="50"/>
              <w:right w:type="dxa" w:w="90"/>
            </w:tcMar>
            <w:vAlign w:val="center"/>
          </w:tcPr>
          <w:p>
            <w:pPr>
              <w:spacing w:after="0" w:line="240"/>
              <w:jc w:val="left"/>
            </w:pPr>
            <w:r>
              <w:rPr>
                <w:b/>
                <w:bCs/>
                <w:sz w:val="16"/>
                <w:szCs w:val="16"/>
              </w:rPr>
              <w:t xml:space="preserve">Total</w:t>
            </w:r>
          </w:p>
        </w:tc>
        <w:tc>
          <w:tcPr>
            <w:tcW w:type="dxa" w:w="14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1,219.6</w:t>
            </w:r>
          </w:p>
        </w:tc>
        <w:tc>
          <w:tcPr>
            <w:tcW w:type="dxa" w:w="13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100.0%</w:t>
            </w:r>
          </w:p>
        </w:tc>
        <w:tc>
          <w:tcPr>
            <w:tcW w:type="dxa" w:w="1400"/>
            <w:shd w:fill="F2F2F2" w:color="auto" w:val="clear"/>
            <w:tcMar>
              <w:top w:type="dxa" w:w="50"/>
              <w:left w:type="dxa" w:w="90"/>
              <w:bottom w:type="dxa" w:w="50"/>
              <w:right w:type="dxa" w:w="90"/>
            </w:tcMar>
            <w:vAlign w:val="center"/>
          </w:tcPr>
          <w:p>
            <w:pPr>
              <w:spacing w:after="0" w:line="240"/>
              <w:jc w:val="right"/>
            </w:pPr>
            <w:r>
              <w:rPr>
                <w:b/>
                <w:bCs/>
                <w:sz w:val="16"/>
                <w:szCs w:val="16"/>
              </w:rPr>
              <w:t xml:space="preserve">4,391</w:t>
            </w:r>
          </w:p>
        </w:tc>
        <w:tc>
          <w:tcPr>
            <w:tcW w:type="dxa" w:w="1700"/>
            <w:shd w:fill="F2F2F2" w:color="auto" w:val="clear"/>
            <w:tcMar>
              <w:top w:type="dxa" w:w="50"/>
              <w:left w:type="dxa" w:w="90"/>
              <w:bottom w:type="dxa" w:w="50"/>
              <w:right w:type="dxa" w:w="90"/>
            </w:tcMar>
            <w:vAlign w:val="center"/>
          </w:tcPr>
          <w:p>
            <w:pPr>
              <w:spacing w:after="0" w:line="240"/>
              <w:jc w:val="right"/>
            </w:pPr>
            <w:r>
              <w:rPr>
                <w:b/>
                <w:bCs/>
                <w:sz w:val="16"/>
                <w:szCs w:val="16"/>
              </w:rPr>
              <w:t xml:space="preserve">2,586.4</w:t>
            </w:r>
          </w:p>
        </w:tc>
        <w:tc>
          <w:tcPr>
            <w:tcW w:type="dxa" w:w="14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100.0%</w:t>
            </w:r>
          </w:p>
        </w:tc>
      </w:tr>
    </w:tbl>
    <w:p>
      <w:pPr>
        <w:keepNext/>
        <w:spacing w:after="40" w:before="120"/>
        <w:jc w:val="center"/>
      </w:pPr>
      <w:r>
        <w:drawing>
          <wp:inline distT="0" distB="0" distL="0" distR="0">
            <wp:extent cx="581025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1685925"/>
                    </a:xfrm>
                    <a:prstGeom prst="rect">
                      <a:avLst/>
                    </a:prstGeom>
                  </pic:spPr>
                </pic:pic>
              </a:graphicData>
            </a:graphic>
          </wp:inline>
        </w:drawing>
      </w:r>
    </w:p>
    <w:p>
      <w:pPr>
        <w:spacing w:after="200" w:before="60"/>
        <w:jc w:val="center"/>
      </w:pPr>
      <w:r>
        <w:rPr>
          <w:b w:val="false"/>
          <w:bCs w:val="false"/>
          <w:i/>
          <w:iCs/>
          <w:color w:val="52514E"/>
          <w:sz w:val="17"/>
          <w:szCs w:val="17"/>
        </w:rPr>
        <w:t xml:space="preserve">Figure 6.4: EAC installation categories - room vs household</w:t>
      </w:r>
    </w:p>
    <w:p>
      <w:pPr>
        <w:pStyle w:val="Heading2"/>
      </w:pPr>
      <w:r>
        <w:rPr>
          <w:b w:val="false"/>
          <w:bCs w:val="false"/>
        </w:rPr>
        <w:t xml:space="preserve">6.6  Monthly profile and monthly EUI (EAC §8.1(g)(iii))</w:t>
      </w:r>
    </w:p>
    <w:p>
      <w:pPr>
        <w:spacing w:after="120" w:before="0" w:line="276"/>
        <w:jc w:val="both"/>
      </w:pPr>
      <w:r>
        <w:rPr>
          <w:b w:val="false"/>
          <w:bCs w:val="false"/>
        </w:rPr>
        <w:t xml:space="preserve">The monthly profile (Table 6.5) is presented graphically in Figures 6.5 and 6.6, as EAC §8.1(g)(v) requires. It is flatter than the AC alone would suggest. In winter, shower energy rises as AC use falls. Household use ranges from 181 kWh in April to 246 kWh in October. Because the room's own loads are dominated by the AC, the monthly EUI of the room roughly doubles between the cool months (about 16.1 MJ/m²) and the hot months (about 32.2 MJ/m²).</w:t>
      </w:r>
    </w:p>
    <w:p>
      <w:pPr>
        <w:keepNext/>
        <w:spacing w:after="80" w:before="160"/>
      </w:pPr>
      <w:r>
        <w:rPr>
          <w:b/>
          <w:bCs/>
          <w:color w:val="1F3864"/>
          <w:sz w:val="18"/>
          <w:szCs w:val="18"/>
        </w:rPr>
        <w:t xml:space="preserve">Table 6.5: Monthly energy, room EUI and emissions (typical year)</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700"/>
        <w:gridCol w:w="600"/>
        <w:gridCol w:w="760"/>
        <w:gridCol w:w="900"/>
        <w:gridCol w:w="900"/>
        <w:gridCol w:w="900"/>
        <w:gridCol w:w="900"/>
        <w:gridCol w:w="1100"/>
        <w:gridCol w:w="1100"/>
        <w:gridCol w:w="1552"/>
      </w:tblGrid>
      <w:tr>
        <w:trPr>
          <w:tblHeader/>
        </w:trPr>
        <w:tc>
          <w:tcPr>
            <w:tcW w:type="dxa" w:w="7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Month</w:t>
            </w:r>
          </w:p>
        </w:tc>
        <w:tc>
          <w:tcPr>
            <w:tcW w:type="dxa" w:w="6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Days</w:t>
            </w:r>
          </w:p>
        </w:tc>
        <w:tc>
          <w:tcPr>
            <w:tcW w:type="dxa" w:w="76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Season</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Room AC</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Hot water</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Cooking</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Other</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Household kWh</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Room EUI MJ/m²</w:t>
            </w:r>
          </w:p>
        </w:tc>
        <w:tc>
          <w:tcPr>
            <w:tcW w:type="dxa" w:w="1552"/>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kg </w:t>
            </w:r>
            <w:r>
              <w:rPr>
                <w:b/>
                <w:bCs/>
                <w:color w:val="1F3864"/>
                <w:sz w:val="15"/>
                <w:szCs w:val="15"/>
              </w:rPr>
              <w:t xml:space="preserve">CO</w:t>
            </w:r>
            <w:r>
              <w:rPr>
                <w:b/>
                <w:bCs/>
                <w:color w:val="1F3864"/>
                <w:sz w:val="15"/>
                <w:szCs w:val="15"/>
                <w:vertAlign w:val="subscript"/>
              </w:rPr>
              <w:t xml:space="preserve">2</w:t>
            </w:r>
            <w:r>
              <w:rPr>
                <w:b/>
                <w:bCs/>
                <w:color w:val="1F3864"/>
                <w:sz w:val="15"/>
                <w:szCs w:val="15"/>
              </w:rPr>
              <w:t xml:space="preserve">e (CLP)</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Jan</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Cool</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77.0</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26.5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68.2</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207.2</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16.87</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70.5</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Feb</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28</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Cool</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67.8</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23.9</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61.6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188.8</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16.06</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64.2</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Mar</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Cool</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67.5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26.5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68.2</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197.7</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16.87</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67.2</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Apr</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30</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Cool</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53.9</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66.0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181.1</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16.60</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61.6</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May</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Hot</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44.9</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26.5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72.6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243.6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32.23</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82.8</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Jun</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30</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Hot</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37.1</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70.3</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232.6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31.96</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79.1</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Jul</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Hot</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36.4</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26.5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72.6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235.0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32.23</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79.9</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Aug</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Hot</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37.0</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26.5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72.6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235.7</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32.23</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80.1</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Sep</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30</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Hot</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38.4</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70.3</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233.8</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31.96</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79.5</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Oct</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Hot</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99.6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46.9</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26.5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72.6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245.5</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32.23</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83.5</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Nov</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30</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Cool</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56.4</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66.0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183.6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16.60</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62.4</w:t>
            </w:r>
          </w:p>
        </w:tc>
      </w:tr>
      <w:tr>
        <w:trPr>
          <w:cantSplit/>
        </w:trPr>
        <w:tc>
          <w:tcPr>
            <w:tcW w:type="dxa" w:w="700"/>
            <w:tcMar>
              <w:top w:type="dxa" w:w="50"/>
              <w:left w:type="dxa" w:w="90"/>
              <w:bottom w:type="dxa" w:w="50"/>
              <w:right w:type="dxa" w:w="90"/>
            </w:tcMar>
            <w:vAlign w:val="center"/>
          </w:tcPr>
          <w:p>
            <w:pPr>
              <w:spacing w:after="0" w:line="240"/>
              <w:jc w:val="left"/>
            </w:pPr>
            <w:r>
              <w:rPr>
                <w:b w:val="false"/>
                <w:bCs w:val="false"/>
                <w:sz w:val="15"/>
                <w:szCs w:val="15"/>
              </w:rPr>
              <w:t xml:space="preserve">Dec</w:t>
            </w:r>
          </w:p>
        </w:tc>
        <w:tc>
          <w:tcPr>
            <w:tcW w:type="dxa" w:w="600"/>
            <w:tcMar>
              <w:top w:type="dxa" w:w="50"/>
              <w:left w:type="dxa" w:w="90"/>
              <w:bottom w:type="dxa" w:w="50"/>
              <w:right w:type="dxa" w:w="90"/>
            </w:tcMar>
            <w:vAlign w:val="center"/>
          </w:tcPr>
          <w:p>
            <w:pPr>
              <w:spacing w:after="0" w:line="240"/>
              <w:jc w:val="right"/>
            </w:pPr>
            <w:r>
              <w:rPr>
                <w:b w:val="false"/>
                <w:bCs w:val="false"/>
                <w:sz w:val="15"/>
                <w:szCs w:val="15"/>
              </w:rPr>
              <w:t xml:space="preserve">31</w:t>
            </w:r>
          </w:p>
        </w:tc>
        <w:tc>
          <w:tcPr>
            <w:tcW w:type="dxa" w:w="760"/>
            <w:tcMar>
              <w:top w:type="dxa" w:w="50"/>
              <w:left w:type="dxa" w:w="90"/>
              <w:bottom w:type="dxa" w:w="50"/>
              <w:right w:type="dxa" w:w="90"/>
            </w:tcMar>
            <w:vAlign w:val="center"/>
          </w:tcPr>
          <w:p>
            <w:pPr>
              <w:spacing w:after="0" w:line="240"/>
              <w:jc w:val="left"/>
            </w:pPr>
            <w:r>
              <w:rPr>
                <w:b w:val="false"/>
                <w:bCs w:val="false"/>
                <w:sz w:val="15"/>
                <w:szCs w:val="15"/>
              </w:rPr>
              <w:t xml:space="preserve">Cool</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35.6</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71.4</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26.5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68.2</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201.7</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16.87</w:t>
            </w:r>
          </w:p>
        </w:tc>
        <w:tc>
          <w:tcPr>
            <w:tcW w:type="dxa" w:w="1552"/>
            <w:tcMar>
              <w:top w:type="dxa" w:w="50"/>
              <w:left w:type="dxa" w:w="90"/>
              <w:bottom w:type="dxa" w:w="50"/>
              <w:right w:type="dxa" w:w="90"/>
            </w:tcMar>
            <w:vAlign w:val="center"/>
          </w:tcPr>
          <w:p>
            <w:pPr>
              <w:spacing w:after="0" w:line="240"/>
              <w:jc w:val="right"/>
            </w:pPr>
            <w:r>
              <w:rPr>
                <w:b w:val="false"/>
                <w:bCs w:val="false"/>
                <w:sz w:val="15"/>
                <w:szCs w:val="15"/>
              </w:rPr>
              <w:t xml:space="preserve">68.6</w:t>
            </w:r>
          </w:p>
        </w:tc>
      </w:tr>
      <w:tr>
        <w:trPr>
          <w:cantSplit/>
        </w:trPr>
        <w:tc>
          <w:tcPr>
            <w:tcW w:type="dxa" w:w="700"/>
            <w:shd w:fill="F2F2F2" w:color="auto" w:val="clear"/>
            <w:tcMar>
              <w:top w:type="dxa" w:w="50"/>
              <w:left w:type="dxa" w:w="90"/>
              <w:bottom w:type="dxa" w:w="50"/>
              <w:right w:type="dxa" w:w="90"/>
            </w:tcMar>
            <w:vAlign w:val="center"/>
          </w:tcPr>
          <w:p>
            <w:pPr>
              <w:spacing w:after="0" w:line="240"/>
              <w:jc w:val="left"/>
            </w:pPr>
            <w:r>
              <w:rPr>
                <w:b/>
                <w:bCs/>
                <w:sz w:val="15"/>
                <w:szCs w:val="15"/>
              </w:rPr>
              <w:t xml:space="preserve">Year</w:t>
            </w:r>
          </w:p>
        </w:tc>
        <w:tc>
          <w:tcPr>
            <w:tcW w:type="dxa" w:w="600"/>
            <w:shd w:fill="F2F2F2" w:color="auto" w:val="clear"/>
            <w:tcMar>
              <w:top w:type="dxa" w:w="50"/>
              <w:left w:type="dxa" w:w="90"/>
              <w:bottom w:type="dxa" w:w="50"/>
              <w:right w:type="dxa" w:w="90"/>
            </w:tcMar>
            <w:vAlign w:val="center"/>
          </w:tcPr>
          <w:p>
            <w:pPr>
              <w:spacing w:after="0" w:line="240"/>
              <w:jc w:val="right"/>
            </w:pPr>
            <w:r>
              <w:rPr>
                <w:b/>
                <w:bCs/>
                <w:sz w:val="15"/>
                <w:szCs w:val="15"/>
              </w:rPr>
              <w:t xml:space="preserve">365</w:t>
            </w:r>
          </w:p>
        </w:tc>
        <w:tc>
          <w:tcPr>
            <w:tcW w:type="dxa" w:w="760"/>
            <w:shd w:fill="F2F2F2" w:color="auto" w:val="clear"/>
            <w:tcMar>
              <w:top w:type="dxa" w:w="50"/>
              <w:left w:type="dxa" w:w="90"/>
              <w:bottom w:type="dxa" w:w="50"/>
              <w:right w:type="dxa" w:w="90"/>
            </w:tcMar>
            <w:vAlign w:val="center"/>
          </w:tcPr>
          <w:p>
            <w:pPr>
              <w:spacing w:after="0" w:line="240"/>
              <w:jc w:val="left"/>
            </w:pPr>
          </w:p>
        </w:tc>
        <w:tc>
          <w:tcPr>
            <w:tcW w:type="dxa" w:w="900"/>
            <w:shd w:fill="F2F2F2" w:color="auto" w:val="clear"/>
            <w:tcMar>
              <w:top w:type="dxa" w:w="50"/>
              <w:left w:type="dxa" w:w="90"/>
              <w:bottom w:type="dxa" w:w="50"/>
              <w:right w:type="dxa" w:w="90"/>
            </w:tcMar>
            <w:vAlign w:val="center"/>
          </w:tcPr>
          <w:p>
            <w:pPr>
              <w:spacing w:after="0" w:line="240"/>
              <w:jc w:val="right"/>
            </w:pPr>
            <w:r>
              <w:rPr>
                <w:b/>
                <w:bCs/>
                <w:sz w:val="15"/>
                <w:szCs w:val="15"/>
              </w:rPr>
              <w:t xml:space="preserve">810.8</w:t>
            </w:r>
          </w:p>
        </w:tc>
        <w:tc>
          <w:tcPr>
            <w:tcW w:type="dxa" w:w="900"/>
            <w:shd w:fill="F2F2F2" w:color="auto" w:val="clear"/>
            <w:tcMar>
              <w:top w:type="dxa" w:w="50"/>
              <w:left w:type="dxa" w:w="90"/>
              <w:bottom w:type="dxa" w:w="50"/>
              <w:right w:type="dxa" w:w="90"/>
            </w:tcMar>
            <w:vAlign w:val="center"/>
          </w:tcPr>
          <w:p>
            <w:pPr>
              <w:spacing w:after="0" w:line="240"/>
              <w:jc w:val="right"/>
            </w:pPr>
            <w:r>
              <w:rPr>
                <w:b/>
                <w:bCs/>
                <w:sz w:val="15"/>
                <w:szCs w:val="15"/>
              </w:rPr>
              <w:t xml:space="preserve">634.7</w:t>
            </w:r>
          </w:p>
        </w:tc>
        <w:tc>
          <w:tcPr>
            <w:tcW w:type="dxa" w:w="900"/>
            <w:shd w:fill="F2F2F2" w:color="auto" w:val="clear"/>
            <w:tcMar>
              <w:top w:type="dxa" w:w="50"/>
              <w:left w:type="dxa" w:w="90"/>
              <w:bottom w:type="dxa" w:w="50"/>
              <w:right w:type="dxa" w:w="90"/>
            </w:tcMar>
            <w:vAlign w:val="center"/>
          </w:tcPr>
          <w:p>
            <w:pPr>
              <w:spacing w:after="0" w:line="240"/>
              <w:jc w:val="right"/>
            </w:pPr>
            <w:r>
              <w:rPr>
                <w:b/>
                <w:bCs/>
                <w:sz w:val="15"/>
                <w:szCs w:val="15"/>
              </w:rPr>
              <w:t xml:space="preserve">312.0</w:t>
            </w:r>
          </w:p>
        </w:tc>
        <w:tc>
          <w:tcPr>
            <w:tcW w:type="dxa" w:w="900"/>
            <w:shd w:fill="F2F2F2" w:color="auto" w:val="clear"/>
            <w:tcMar>
              <w:top w:type="dxa" w:w="50"/>
              <w:left w:type="dxa" w:w="90"/>
              <w:bottom w:type="dxa" w:w="50"/>
              <w:right w:type="dxa" w:w="90"/>
            </w:tcMar>
            <w:vAlign w:val="center"/>
          </w:tcPr>
          <w:p>
            <w:pPr>
              <w:spacing w:after="0" w:line="240"/>
              <w:jc w:val="right"/>
            </w:pPr>
            <w:r>
              <w:rPr>
                <w:b/>
                <w:bCs/>
                <w:sz w:val="15"/>
                <w:szCs w:val="15"/>
              </w:rPr>
              <w:t xml:space="preserve">828.9</w:t>
            </w:r>
          </w:p>
        </w:tc>
        <w:tc>
          <w:tcPr>
            <w:tcW w:type="dxa" w:w="1100"/>
            <w:shd w:fill="F2F2F2" w:color="auto" w:val="clear"/>
            <w:tcMar>
              <w:top w:type="dxa" w:w="50"/>
              <w:left w:type="dxa" w:w="90"/>
              <w:bottom w:type="dxa" w:w="50"/>
              <w:right w:type="dxa" w:w="90"/>
            </w:tcMar>
            <w:vAlign w:val="center"/>
          </w:tcPr>
          <w:p>
            <w:pPr>
              <w:spacing w:after="0" w:line="240"/>
              <w:jc w:val="right"/>
            </w:pPr>
            <w:r>
              <w:rPr>
                <w:b/>
                <w:bCs/>
                <w:sz w:val="15"/>
                <w:szCs w:val="15"/>
              </w:rPr>
              <w:t xml:space="preserve">2,586.4</w:t>
            </w:r>
          </w:p>
        </w:tc>
        <w:tc>
          <w:tcPr>
            <w:tcW w:type="dxa" w:w="1100"/>
            <w:shd w:fill="F2F2F2" w:color="auto" w:val="clear"/>
            <w:tcMar>
              <w:top w:type="dxa" w:w="50"/>
              <w:left w:type="dxa" w:w="90"/>
              <w:bottom w:type="dxa" w:w="50"/>
              <w:right w:type="dxa" w:w="90"/>
            </w:tcMar>
            <w:vAlign w:val="center"/>
          </w:tcPr>
          <w:p>
            <w:pPr>
              <w:spacing w:after="0" w:line="240"/>
              <w:jc w:val="right"/>
            </w:pPr>
            <w:r>
              <w:rPr>
                <w:b/>
                <w:bCs/>
                <w:sz w:val="15"/>
                <w:szCs w:val="15"/>
              </w:rPr>
              <w:t xml:space="preserve">292.7</w:t>
            </w:r>
          </w:p>
        </w:tc>
        <w:tc>
          <w:tcPr>
            <w:tcW w:type="dxa" w:w="1552"/>
            <w:shd w:fill="F2F2F2" w:color="auto" w:val="clear"/>
            <w:tcMar>
              <w:top w:type="dxa" w:w="50"/>
              <w:left w:type="dxa" w:w="90"/>
              <w:bottom w:type="dxa" w:w="50"/>
              <w:right w:type="dxa" w:w="90"/>
            </w:tcMar>
            <w:vAlign w:val="center"/>
          </w:tcPr>
          <w:p>
            <w:pPr>
              <w:spacing w:after="0" w:line="240"/>
              <w:jc w:val="right"/>
            </w:pPr>
            <w:r>
              <w:rPr>
                <w:b/>
                <w:bCs/>
                <w:sz w:val="15"/>
                <w:szCs w:val="15"/>
              </w:rPr>
              <w:t xml:space="preserve">879.4</w:t>
            </w:r>
          </w:p>
        </w:tc>
      </w:tr>
    </w:tbl>
    <w:p>
      <w:pPr>
        <w:keepNext/>
        <w:spacing w:after="40" w:before="120"/>
        <w:jc w:val="center"/>
      </w:pPr>
      <w:r>
        <w:drawing>
          <wp:inline distT="0" distB="0" distL="0" distR="0">
            <wp:extent cx="58102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3409950"/>
                    </a:xfrm>
                    <a:prstGeom prst="rect">
                      <a:avLst/>
                    </a:prstGeom>
                  </pic:spPr>
                </pic:pic>
              </a:graphicData>
            </a:graphic>
          </wp:inline>
        </w:drawing>
      </w:r>
    </w:p>
    <w:p>
      <w:pPr>
        <w:spacing w:after="200" w:before="60"/>
        <w:jc w:val="center"/>
      </w:pPr>
      <w:r>
        <w:rPr>
          <w:b w:val="false"/>
          <w:bCs w:val="false"/>
          <w:i/>
          <w:iCs/>
          <w:color w:val="52514E"/>
          <w:sz w:val="17"/>
          <w:szCs w:val="17"/>
        </w:rPr>
        <w:t xml:space="preserve">Figure 6.5: Household electricity by month and end-use group</w:t>
      </w:r>
    </w:p>
    <w:p>
      <w:pPr>
        <w:keepNext/>
        <w:spacing w:after="40" w:before="120"/>
        <w:jc w:val="center"/>
      </w:pPr>
      <w:r>
        <w:drawing>
          <wp:inline distT="0" distB="0" distL="0" distR="0">
            <wp:extent cx="58102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2238375"/>
                    </a:xfrm>
                    <a:prstGeom prst="rect">
                      <a:avLst/>
                    </a:prstGeom>
                  </pic:spPr>
                </pic:pic>
              </a:graphicData>
            </a:graphic>
          </wp:inline>
        </w:drawing>
      </w:r>
    </w:p>
    <w:p>
      <w:pPr>
        <w:spacing w:after="200" w:before="60"/>
        <w:jc w:val="center"/>
      </w:pPr>
      <w:r>
        <w:rPr>
          <w:b w:val="false"/>
          <w:bCs w:val="false"/>
          <w:i/>
          <w:iCs/>
          <w:color w:val="52514E"/>
          <w:sz w:val="17"/>
          <w:szCs w:val="17"/>
        </w:rPr>
        <w:t xml:space="preserve">Figure 6.6: Monthly EUI of Room 1003B (MJ/m² per month)</w:t>
      </w:r>
    </w:p>
    <w:p>
      <w:pPr>
        <w:pStyle w:val="Heading2"/>
      </w:pPr>
      <w:r>
        <w:rPr>
          <w:b w:val="false"/>
          <w:bCs w:val="false"/>
        </w:rPr>
        <w:t xml:space="preserve">6.7  Energy Utilisation Index and benchmarks</w:t>
      </w:r>
    </w:p>
    <w:p>
      <w:pPr>
        <w:spacing w:after="120" w:before="0" w:line="276"/>
        <w:jc w:val="both"/>
      </w:pPr>
      <w:r>
        <w:rPr>
          <w:b w:val="false"/>
          <w:bCs w:val="false"/>
        </w:rPr>
        <w:t xml:space="preserve">The room's EUI is </w:t>
      </w:r>
      <w:r>
        <w:rPr>
          <w:b/>
          <w:bCs/>
        </w:rPr>
        <w:t xml:space="preserve">292.7 MJ/m²/yr (81.3 kWh/m²/yr)</w:t>
      </w:r>
      <w:r>
        <w:rPr>
          <w:b w:val="false"/>
          <w:bCs w:val="false"/>
        </w:rPr>
        <w:t xml:space="preserve">. Hong Kong does not publish a statutory residential EUI benchmark, so one was derived from public statistics. A typical three-person household uses 275 kWh a month [7], and the median floor area per person is about 16 m² [23]. Together these give about 68.8 kWh/m²/yr (248 MJ/m²/yr).</w:t>
      </w:r>
    </w:p>
    <w:p>
      <w:pPr>
        <w:keepNext/>
        <w:spacing w:after="40" w:before="0" w:line="276"/>
        <w:jc w:val="both"/>
      </w:pPr>
      <w:r>
        <w:rPr>
          <w:b w:val="false"/>
          <w:bCs w:val="false"/>
        </w:rPr>
        <w:t xml:space="preserve">The room is 1.18 × this benchmark, and household electricity per person is 1.18 × the typical 1,100 kWh. Two caveats apply:</w:t>
      </w:r>
    </w:p>
    <w:p>
      <w:pPr>
        <w:pStyle w:val="ListParagraph"/>
        <w:numPr>
          <w:ilvl w:val="0"/>
          <w:numId w:val="2"/>
        </w:numPr>
        <w:spacing w:after="60" w:line="264"/>
      </w:pPr>
      <w:r>
        <w:rPr>
          <w:b w:val="false"/>
          <w:bCs w:val="false"/>
        </w:rPr>
        <w:t xml:space="preserve">typical homes often cook and heat water with Towngas, whereas this household is all-electric, so the electricity comparison is conservative;</w:t>
      </w:r>
    </w:p>
    <w:p>
      <w:pPr>
        <w:pStyle w:val="ListParagraph"/>
        <w:numPr>
          <w:ilvl w:val="0"/>
          <w:numId w:val="2"/>
        </w:numPr>
        <w:spacing w:after="120" w:line="264"/>
      </w:pPr>
      <w:r>
        <w:rPr>
          <w:b w:val="false"/>
          <w:bCs w:val="false"/>
        </w:rPr>
        <w:t xml:space="preserve">the room has half the median floor area per person, so the same AC use is concentrated over fewer square metres.</w:t>
      </w:r>
    </w:p>
    <w:p>
      <w:pPr>
        <w:spacing w:after="120" w:before="0" w:line="276"/>
        <w:jc w:val="both"/>
      </w:pPr>
      <w:r>
        <w:rPr>
          <w:b w:val="false"/>
          <w:bCs w:val="false"/>
        </w:rPr>
        <w:t xml:space="preserve">Water use is well below average (70.6 vs 120.9 L/person/day [13]), and lighting power density is well below the BEC limit (Figure 6.7).</w:t>
      </w:r>
    </w:p>
    <w:p>
      <w:pPr>
        <w:keepNext/>
        <w:spacing w:after="80" w:before="160"/>
      </w:pPr>
      <w:r>
        <w:rPr>
          <w:b/>
          <w:bCs/>
          <w:color w:val="1F3864"/>
          <w:sz w:val="18"/>
          <w:szCs w:val="18"/>
        </w:rPr>
        <w:t xml:space="preserve">Table 6.6: Key performance indicators vs Hong Kong benchmarks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1400"/>
        <w:gridCol w:w="1300"/>
        <w:gridCol w:w="900"/>
        <w:gridCol w:w="3112"/>
      </w:tblGrid>
      <w:tr>
        <w:trPr>
          <w:tblHeader/>
        </w:trPr>
        <w:tc>
          <w:tcPr>
            <w:tcW w:type="dxa" w:w="27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Indicator</w:t>
            </w:r>
          </w:p>
        </w:tc>
        <w:tc>
          <w:tcPr>
            <w:tcW w:type="dxa" w:w="14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This household</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Benchmark</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Ratio</w:t>
            </w:r>
          </w:p>
        </w:tc>
        <w:tc>
          <w:tcPr>
            <w:tcW w:type="dxa" w:w="31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Benchmark source</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Room EUI (kWh/m²/yr)</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81.3</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68.8</w:t>
            </w:r>
          </w:p>
        </w:tc>
        <w:tc>
          <w:tcPr>
            <w:tcW w:type="dxa" w:w="900"/>
            <w:tcMar>
              <w:top w:type="dxa" w:w="50"/>
              <w:left w:type="dxa" w:w="90"/>
              <w:bottom w:type="dxa" w:w="50"/>
              <w:right w:type="dxa" w:w="90"/>
            </w:tcMar>
            <w:vAlign w:val="center"/>
          </w:tcPr>
          <w:p>
            <w:pPr>
              <w:spacing w:after="0" w:line="240"/>
              <w:jc w:val="right"/>
            </w:pPr>
            <w:r>
              <w:rPr>
                <w:b w:val="false"/>
                <w:bCs w:val="false"/>
                <w:sz w:val="16"/>
                <w:szCs w:val="16"/>
              </w:rPr>
              <w:t xml:space="preserve">1.18</w:t>
            </w:r>
          </w:p>
        </w:tc>
        <w:tc>
          <w:tcPr>
            <w:tcW w:type="dxa" w:w="3112"/>
            <w:tcMar>
              <w:top w:type="dxa" w:w="50"/>
              <w:left w:type="dxa" w:w="90"/>
              <w:bottom w:type="dxa" w:w="50"/>
              <w:right w:type="dxa" w:w="90"/>
            </w:tcMar>
            <w:vAlign w:val="center"/>
          </w:tcPr>
          <w:p>
            <w:pPr>
              <w:spacing w:after="0" w:line="240"/>
              <w:jc w:val="left"/>
            </w:pPr>
            <w:r>
              <w:rPr>
                <w:b w:val="false"/>
                <w:bCs w:val="false"/>
                <w:sz w:val="16"/>
                <w:szCs w:val="16"/>
              </w:rPr>
              <w:t xml:space="preserve">275 kWh/month ÷ 3 persons ÷ 16 m² [7], [23]</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Electricity per person (kWh/yr)</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1,293</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1,100</w:t>
            </w:r>
          </w:p>
        </w:tc>
        <w:tc>
          <w:tcPr>
            <w:tcW w:type="dxa" w:w="900"/>
            <w:tcMar>
              <w:top w:type="dxa" w:w="50"/>
              <w:left w:type="dxa" w:w="90"/>
              <w:bottom w:type="dxa" w:w="50"/>
              <w:right w:type="dxa" w:w="90"/>
            </w:tcMar>
            <w:vAlign w:val="center"/>
          </w:tcPr>
          <w:p>
            <w:pPr>
              <w:spacing w:after="0" w:line="240"/>
              <w:jc w:val="right"/>
            </w:pPr>
            <w:r>
              <w:rPr>
                <w:b w:val="false"/>
                <w:bCs w:val="false"/>
                <w:sz w:val="16"/>
                <w:szCs w:val="16"/>
              </w:rPr>
              <w:t xml:space="preserve">1.18</w:t>
            </w:r>
          </w:p>
        </w:tc>
        <w:tc>
          <w:tcPr>
            <w:tcW w:type="dxa" w:w="3112"/>
            <w:tcMar>
              <w:top w:type="dxa" w:w="50"/>
              <w:left w:type="dxa" w:w="90"/>
              <w:bottom w:type="dxa" w:w="50"/>
              <w:right w:type="dxa" w:w="90"/>
            </w:tcMar>
            <w:vAlign w:val="center"/>
          </w:tcPr>
          <w:p>
            <w:pPr>
              <w:spacing w:after="0" w:line="240"/>
              <w:jc w:val="left"/>
            </w:pPr>
            <w:r>
              <w:rPr>
                <w:b w:val="false"/>
                <w:bCs w:val="false"/>
                <w:sz w:val="16"/>
                <w:szCs w:val="16"/>
              </w:rPr>
              <w:t xml:space="preserve">Typical 3-person household [7]</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Fresh water (L/person/day)</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70.6</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120.9</w:t>
            </w:r>
          </w:p>
        </w:tc>
        <w:tc>
          <w:tcPr>
            <w:tcW w:type="dxa" w:w="900"/>
            <w:tcMar>
              <w:top w:type="dxa" w:w="50"/>
              <w:left w:type="dxa" w:w="90"/>
              <w:bottom w:type="dxa" w:w="50"/>
              <w:right w:type="dxa" w:w="90"/>
            </w:tcMar>
            <w:vAlign w:val="center"/>
          </w:tcPr>
          <w:p>
            <w:pPr>
              <w:spacing w:after="0" w:line="240"/>
              <w:jc w:val="right"/>
            </w:pPr>
            <w:r>
              <w:rPr>
                <w:b w:val="false"/>
                <w:bCs w:val="false"/>
                <w:sz w:val="16"/>
                <w:szCs w:val="16"/>
              </w:rPr>
              <w:t xml:space="preserve">0.58</w:t>
            </w:r>
          </w:p>
        </w:tc>
        <w:tc>
          <w:tcPr>
            <w:tcW w:type="dxa" w:w="3112"/>
            <w:tcMar>
              <w:top w:type="dxa" w:w="50"/>
              <w:left w:type="dxa" w:w="90"/>
              <w:bottom w:type="dxa" w:w="50"/>
              <w:right w:type="dxa" w:w="90"/>
            </w:tcMar>
            <w:vAlign w:val="center"/>
          </w:tcPr>
          <w:p>
            <w:pPr>
              <w:spacing w:after="0" w:line="240"/>
              <w:jc w:val="left"/>
            </w:pPr>
            <w:r>
              <w:rPr>
                <w:b w:val="false"/>
                <w:bCs w:val="false"/>
                <w:sz w:val="16"/>
                <w:szCs w:val="16"/>
              </w:rPr>
              <w:t xml:space="preserve">HK domestic 2023/24 [13]</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Floor area per person (m²)</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7.5</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16.0</w:t>
            </w:r>
          </w:p>
        </w:tc>
        <w:tc>
          <w:tcPr>
            <w:tcW w:type="dxa" w:w="900"/>
            <w:tcMar>
              <w:top w:type="dxa" w:w="50"/>
              <w:left w:type="dxa" w:w="90"/>
              <w:bottom w:type="dxa" w:w="50"/>
              <w:right w:type="dxa" w:w="90"/>
            </w:tcMar>
            <w:vAlign w:val="center"/>
          </w:tcPr>
          <w:p>
            <w:pPr>
              <w:spacing w:after="0" w:line="240"/>
              <w:jc w:val="right"/>
            </w:pPr>
            <w:r>
              <w:rPr>
                <w:b w:val="false"/>
                <w:bCs w:val="false"/>
                <w:sz w:val="16"/>
                <w:szCs w:val="16"/>
              </w:rPr>
              <w:t xml:space="preserve">0.47</w:t>
            </w:r>
          </w:p>
        </w:tc>
        <w:tc>
          <w:tcPr>
            <w:tcW w:type="dxa" w:w="3112"/>
            <w:tcMar>
              <w:top w:type="dxa" w:w="50"/>
              <w:left w:type="dxa" w:w="90"/>
              <w:bottom w:type="dxa" w:w="50"/>
              <w:right w:type="dxa" w:w="90"/>
            </w:tcMar>
            <w:vAlign w:val="center"/>
          </w:tcPr>
          <w:p>
            <w:pPr>
              <w:spacing w:after="0" w:line="240"/>
              <w:jc w:val="left"/>
            </w:pPr>
            <w:r>
              <w:rPr>
                <w:b w:val="false"/>
                <w:bCs w:val="false"/>
                <w:sz w:val="16"/>
                <w:szCs w:val="16"/>
              </w:rPr>
              <w:t xml:space="preserve">2021 Census median [23]</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Lighting power density (W/m²)</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4.0</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6.2</w:t>
            </w:r>
          </w:p>
        </w:tc>
        <w:tc>
          <w:tcPr>
            <w:tcW w:type="dxa" w:w="900"/>
            <w:tcMar>
              <w:top w:type="dxa" w:w="50"/>
              <w:left w:type="dxa" w:w="90"/>
              <w:bottom w:type="dxa" w:w="50"/>
              <w:right w:type="dxa" w:w="90"/>
            </w:tcMar>
            <w:vAlign w:val="center"/>
          </w:tcPr>
          <w:p>
            <w:pPr>
              <w:spacing w:after="0" w:line="240"/>
              <w:jc w:val="right"/>
            </w:pPr>
            <w:r>
              <w:rPr>
                <w:b w:val="false"/>
                <w:bCs w:val="false"/>
                <w:sz w:val="16"/>
                <w:szCs w:val="16"/>
              </w:rPr>
              <w:t xml:space="preserve">0.65</w:t>
            </w:r>
          </w:p>
        </w:tc>
        <w:tc>
          <w:tcPr>
            <w:tcW w:type="dxa" w:w="3112"/>
            <w:tcMar>
              <w:top w:type="dxa" w:w="50"/>
              <w:left w:type="dxa" w:w="90"/>
              <w:bottom w:type="dxa" w:w="50"/>
              <w:right w:type="dxa" w:w="90"/>
            </w:tcMar>
            <w:vAlign w:val="center"/>
          </w:tcPr>
          <w:p>
            <w:pPr>
              <w:spacing w:after="0" w:line="240"/>
              <w:jc w:val="left"/>
            </w:pPr>
            <w:r>
              <w:rPr>
                <w:b w:val="false"/>
                <w:bCs w:val="false"/>
                <w:sz w:val="16"/>
                <w:szCs w:val="16"/>
              </w:rPr>
              <w:t xml:space="preserve">BEC 2021 dormitory [24]</w:t>
            </w:r>
          </w:p>
        </w:tc>
      </w:tr>
    </w:tbl>
    <w:p>
      <w:pPr>
        <w:keepNext/>
        <w:spacing w:after="40" w:before="120"/>
        <w:jc w:val="center"/>
      </w:pPr>
      <w:r>
        <w:drawing>
          <wp:inline distT="0" distB="0" distL="0" distR="0">
            <wp:extent cx="58102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2143125"/>
                    </a:xfrm>
                    <a:prstGeom prst="rect">
                      <a:avLst/>
                    </a:prstGeom>
                  </pic:spPr>
                </pic:pic>
              </a:graphicData>
            </a:graphic>
          </wp:inline>
        </w:drawing>
      </w:r>
    </w:p>
    <w:p>
      <w:pPr>
        <w:spacing w:after="200" w:before="60"/>
        <w:jc w:val="center"/>
      </w:pPr>
      <w:r>
        <w:rPr>
          <w:b w:val="false"/>
          <w:bCs w:val="false"/>
          <w:i/>
          <w:iCs/>
          <w:color w:val="52514E"/>
          <w:sz w:val="17"/>
          <w:szCs w:val="17"/>
        </w:rPr>
        <w:t xml:space="preserve">Figure 6.7: Household indicators as a ratio of Hong Kong benchmarks</w:t>
      </w:r>
    </w:p>
    <w:p>
      <w:pPr>
        <w:pStyle w:val="Heading2"/>
      </w:pPr>
      <w:r>
        <w:rPr>
          <w:b w:val="false"/>
          <w:bCs w:val="false"/>
        </w:rPr>
        <w:t xml:space="preserve">6.8  Energy used outside the room (EAC §8.1(h))</w:t>
      </w:r>
    </w:p>
    <w:p>
      <w:pPr>
        <w:spacing w:after="120" w:before="0" w:line="276"/>
        <w:jc w:val="both"/>
      </w:pPr>
      <w:r>
        <w:rPr>
          <w:b w:val="false"/>
          <w:bCs w:val="false"/>
        </w:rPr>
        <w:t xml:space="preserve">EAC §8.1(h) asks how much energy central services supply to the building's units. The equivalent here is the share of household energy used in shared facilities: </w:t>
      </w:r>
      <w:r>
        <w:rPr>
          <w:b/>
          <w:bCs/>
        </w:rPr>
        <w:t xml:space="preserve">52.8%</w:t>
      </w:r>
      <w:r>
        <w:rPr>
          <w:b w:val="false"/>
          <w:bCs w:val="false"/>
        </w:rPr>
        <w:t xml:space="preserve">, or 1,367 kWh/yr. It splits into the washroom (783 kWh), the kitchen (491 kWh) and the laundry (94 kWh).</w:t>
      </w:r>
    </w:p>
    <w:p>
      <w:pPr>
        <w:spacing w:after="120" w:before="0" w:line="276"/>
        <w:jc w:val="both"/>
      </w:pPr>
      <w:r>
        <w:rPr>
          <w:b w:val="false"/>
          <w:bCs w:val="false"/>
        </w:rPr>
        <w:t xml:space="preserve">This is the most important structural finding of the audit. A resident who changed only in-room habits could reach less than half of the household's footprint. EAC §7.4.3 allows EMOs that depend on other responsible persons to be recorded and conveyed to them for follow-up [1]. Here the roles are reversed: the audited unit is the room, and the person responsible for the shared services is the hall management. Many EMOs therefore have to be conveyed to the hall management.</w:t>
      </w:r>
    </w:p>
    <w:p>
      <w:pPr>
        <w:pStyle w:val="Heading1"/>
        <w:pageBreakBefore/>
      </w:pPr>
      <w:r>
        <w:rPr>
          <w:b w:val="false"/>
          <w:bCs w:val="false"/>
        </w:rPr>
        <w:t xml:space="preserve">7  Greenhouse-gas inventory</w:t>
      </w:r>
    </w:p>
    <w:p>
      <w:pPr>
        <w:pStyle w:val="Heading2"/>
      </w:pPr>
      <w:r>
        <w:rPr>
          <w:b w:val="false"/>
          <w:bCs w:val="false"/>
        </w:rPr>
        <w:t xml:space="preserve">7.1  Emission factors</w:t>
      </w:r>
    </w:p>
    <w:p>
      <w:pPr>
        <w:keepNext/>
        <w:spacing w:after="80" w:before="160"/>
      </w:pPr>
      <w:r>
        <w:rPr>
          <w:b/>
          <w:bCs/>
          <w:color w:val="1F3864"/>
          <w:sz w:val="18"/>
          <w:szCs w:val="18"/>
        </w:rPr>
        <w:t xml:space="preserve">Table 7.1: Emission factors used (Hong Kong-specific where available)</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2100"/>
        <w:gridCol w:w="4612"/>
      </w:tblGrid>
      <w:tr>
        <w:trPr>
          <w:tblHeader/>
        </w:trPr>
        <w:tc>
          <w:tcPr>
            <w:tcW w:type="dxa" w:w="27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Activity</w:t>
            </w:r>
          </w:p>
        </w:tc>
        <w:tc>
          <w:tcPr>
            <w:tcW w:type="dxa" w:w="21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Factor</w:t>
            </w:r>
          </w:p>
        </w:tc>
        <w:tc>
          <w:tcPr>
            <w:tcW w:type="dxa" w:w="46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Basis and source</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Electricity - CLP Power (headline)</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0.34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e/kWh</w:t>
            </w:r>
          </w:p>
        </w:tc>
        <w:tc>
          <w:tcPr>
            <w:tcW w:type="dxa" w:w="4612"/>
            <w:tcMar>
              <w:top w:type="dxa" w:w="50"/>
              <w:left w:type="dxa" w:w="90"/>
              <w:bottom w:type="dxa" w:w="50"/>
              <w:right w:type="dxa" w:w="90"/>
            </w:tcMar>
            <w:vAlign w:val="center"/>
          </w:tcPr>
          <w:p>
            <w:pPr>
              <w:spacing w:after="0" w:line="240"/>
              <w:jc w:val="left"/>
            </w:pPr>
            <w:r>
              <w:rPr>
                <w:b w:val="false"/>
                <w:bCs w:val="false"/>
                <w:sz w:val="16"/>
                <w:szCs w:val="16"/>
              </w:rPr>
              <w:t xml:space="preserve">CLP Power HK, electricity sold, 2025 (0.38 in 2024; 0.39 in 2023) [5]</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Electricity - territory-wide default</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0.70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e/kWh</w:t>
            </w:r>
          </w:p>
        </w:tc>
        <w:tc>
          <w:tcPr>
            <w:tcW w:type="dxa" w:w="4612"/>
            <w:tcMar>
              <w:top w:type="dxa" w:w="50"/>
              <w:left w:type="dxa" w:w="90"/>
              <w:bottom w:type="dxa" w:w="50"/>
              <w:right w:type="dxa" w:w="90"/>
            </w:tcMar>
            <w:vAlign w:val="center"/>
          </w:tcPr>
          <w:p>
            <w:pPr>
              <w:spacing w:after="0" w:line="240"/>
              <w:jc w:val="left"/>
            </w:pPr>
            <w:r>
              <w:rPr>
                <w:b w:val="false"/>
                <w:bCs w:val="false"/>
                <w:sz w:val="16"/>
                <w:szCs w:val="16"/>
              </w:rPr>
              <w:t xml:space="preserve">Guideline Table 5; must also be reported [2]</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Fresh water (WSD)</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0.437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e/m³</w:t>
            </w:r>
          </w:p>
        </w:tc>
        <w:tc>
          <w:tcPr>
            <w:tcW w:type="dxa" w:w="4612"/>
            <w:tcMar>
              <w:top w:type="dxa" w:w="50"/>
              <w:left w:type="dxa" w:w="90"/>
              <w:bottom w:type="dxa" w:w="50"/>
              <w:right w:type="dxa" w:w="90"/>
            </w:tcMar>
            <w:vAlign w:val="center"/>
          </w:tcPr>
          <w:p>
            <w:pPr>
              <w:spacing w:after="0" w:line="240"/>
              <w:jc w:val="left"/>
            </w:pPr>
            <w:r>
              <w:rPr>
                <w:b w:val="false"/>
                <w:bCs w:val="false"/>
                <w:sz w:val="16"/>
                <w:szCs w:val="16"/>
              </w:rPr>
              <w:t xml:space="preserve">0.624 kWh/m³ (WSD 2023/24) × 0.7 - Guideline Table 8 method [11]</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Sewage (DSD)</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0.203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e/m³</w:t>
            </w:r>
          </w:p>
        </w:tc>
        <w:tc>
          <w:tcPr>
            <w:tcW w:type="dxa" w:w="4612"/>
            <w:tcMar>
              <w:top w:type="dxa" w:w="50"/>
              <w:left w:type="dxa" w:w="90"/>
              <w:bottom w:type="dxa" w:w="50"/>
              <w:right w:type="dxa" w:w="90"/>
            </w:tcMar>
            <w:vAlign w:val="center"/>
          </w:tcPr>
          <w:p>
            <w:pPr>
              <w:spacing w:after="0" w:line="240"/>
              <w:jc w:val="left"/>
            </w:pPr>
            <w:r>
              <w:rPr>
                <w:b w:val="false"/>
                <w:bCs w:val="false"/>
                <w:sz w:val="16"/>
                <w:szCs w:val="16"/>
              </w:rPr>
              <w:t xml:space="preserve">0.29 kWh/m³ (DSD 2021/22) × 0.7 - Guideline Table 9 method [12]</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Seawater for flushing (WSD)</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0.253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e/m³</w:t>
            </w:r>
          </w:p>
        </w:tc>
        <w:tc>
          <w:tcPr>
            <w:tcW w:type="dxa" w:w="4612"/>
            <w:tcMar>
              <w:top w:type="dxa" w:w="50"/>
              <w:left w:type="dxa" w:w="90"/>
              <w:bottom w:type="dxa" w:w="50"/>
              <w:right w:type="dxa" w:w="90"/>
            </w:tcMar>
            <w:vAlign w:val="center"/>
          </w:tcPr>
          <w:p>
            <w:pPr>
              <w:spacing w:after="0" w:line="240"/>
              <w:jc w:val="left"/>
            </w:pPr>
            <w:r>
              <w:rPr>
                <w:b w:val="false"/>
                <w:bCs w:val="false"/>
                <w:sz w:val="16"/>
                <w:szCs w:val="16"/>
              </w:rPr>
              <w:t xml:space="preserve">0.362 kWh/m³ × 0.7 (optional item) [11]</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Paper to landfill</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4.8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e/kg</w:t>
            </w:r>
          </w:p>
        </w:tc>
        <w:tc>
          <w:tcPr>
            <w:tcW w:type="dxa" w:w="4612"/>
            <w:tcMar>
              <w:top w:type="dxa" w:w="50"/>
              <w:left w:type="dxa" w:w="90"/>
              <w:bottom w:type="dxa" w:w="50"/>
              <w:right w:type="dxa" w:w="90"/>
            </w:tcMar>
            <w:vAlign w:val="center"/>
          </w:tcPr>
          <w:p>
            <w:pPr>
              <w:spacing w:after="0" w:line="240"/>
              <w:jc w:val="left"/>
            </w:pPr>
            <w:r>
              <w:rPr>
                <w:b w:val="false"/>
                <w:bCs w:val="false"/>
                <w:sz w:val="16"/>
                <w:szCs w:val="16"/>
              </w:rPr>
              <w:t xml:space="preserve">Guideline Table 7 [2]</w:t>
            </w:r>
          </w:p>
        </w:tc>
      </w:tr>
      <w:tr>
        <w:trPr>
          <w:cantSplit/>
        </w:trPr>
        <w:tc>
          <w:tcPr>
            <w:tcW w:type="dxa" w:w="2700"/>
            <w:tcMar>
              <w:top w:type="dxa" w:w="50"/>
              <w:left w:type="dxa" w:w="90"/>
              <w:bottom w:type="dxa" w:w="50"/>
              <w:right w:type="dxa" w:w="90"/>
            </w:tcMar>
            <w:vAlign w:val="center"/>
          </w:tcPr>
          <w:p>
            <w:pPr>
              <w:spacing w:after="0" w:line="240"/>
              <w:jc w:val="left"/>
            </w:pPr>
            <w:r>
              <w:rPr>
                <w:b w:val="false"/>
                <w:bCs w:val="false"/>
                <w:sz w:val="16"/>
                <w:szCs w:val="16"/>
              </w:rPr>
              <w:t xml:space="preserve">Refrigerants (GWP)</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HFC-32: 650; R-410A: 1,725</w:t>
            </w:r>
          </w:p>
        </w:tc>
        <w:tc>
          <w:tcPr>
            <w:tcW w:type="dxa" w:w="4612"/>
            <w:tcMar>
              <w:top w:type="dxa" w:w="50"/>
              <w:left w:type="dxa" w:w="90"/>
              <w:bottom w:type="dxa" w:w="50"/>
              <w:right w:type="dxa" w:w="90"/>
            </w:tcMar>
            <w:vAlign w:val="center"/>
          </w:tcPr>
          <w:p>
            <w:pPr>
              <w:spacing w:after="0" w:line="240"/>
              <w:jc w:val="left"/>
            </w:pPr>
            <w:r>
              <w:rPr>
                <w:b w:val="false"/>
                <w:bCs w:val="false"/>
                <w:sz w:val="16"/>
                <w:szCs w:val="16"/>
              </w:rPr>
              <w:t xml:space="preserve">Guideline Table 3-1 [2]</w:t>
            </w:r>
          </w:p>
        </w:tc>
      </w:tr>
    </w:tbl>
    <w:p>
      <w:pPr>
        <w:spacing w:after="120" w:before="0" w:line="276"/>
        <w:jc w:val="both"/>
      </w:pPr>
      <w:r>
        <w:rPr>
          <w:b w:val="false"/>
          <w:bCs w:val="false"/>
        </w:rPr>
        <w:t xml:space="preserve">The Guidelines date from 2010, and their tabulated factors (e.g. CLP 0.54 kg/kWh in 2008, water 0.424 kg/m³) are out of date. As the Guidelines themselves instruct, the latest published factors have been used with the Guidelines' methods [2]. CLP's factor has fallen from 0.39 (2023) to 0.34 kg </w:t>
      </w:r>
      <w:r>
        <w:rPr>
          <w:b w:val="false"/>
          <w:bCs w:val="false"/>
        </w:rPr>
        <w:t xml:space="preserve">CO</w:t>
      </w:r>
      <w:r>
        <w:rPr>
          <w:b w:val="false"/>
          <w:bCs w:val="false"/>
          <w:vertAlign w:val="subscript"/>
        </w:rPr>
        <w:t xml:space="preserve">2</w:t>
      </w:r>
      <w:r>
        <w:rPr>
          <w:b w:val="false"/>
          <w:bCs w:val="false"/>
        </w:rPr>
        <w:t xml:space="preserve">e/kWh (2025) as its fuel mix has shifted towards natural gas and non-carbon sources [5].</w:t>
      </w:r>
    </w:p>
    <w:p>
      <w:pPr>
        <w:pStyle w:val="Heading2"/>
      </w:pPr>
      <w:r>
        <w:rPr>
          <w:b w:val="false"/>
          <w:bCs w:val="false"/>
        </w:rPr>
        <w:t xml:space="preserve">7.2  Scope 1 - direct emissions</w:t>
      </w:r>
    </w:p>
    <w:p>
      <w:pPr>
        <w:spacing w:after="120" w:before="0" w:line="276"/>
        <w:jc w:val="both"/>
      </w:pPr>
      <w:r>
        <w:rPr>
          <w:b/>
          <w:bCs/>
        </w:rPr>
        <w:t xml:space="preserve">Combustion (Guideline Table 1):</w:t>
      </w:r>
      <w:r>
        <w:rPr>
          <w:b w:val="false"/>
          <w:bCs w:val="false"/>
        </w:rPr>
        <w:t xml:space="preserve"> nil. There is no Towngas, LPG or other fuel, because cooking (induction) and water heating (electric) are all-electric.</w:t>
      </w:r>
    </w:p>
    <w:p>
      <w:pPr>
        <w:spacing w:after="120" w:before="0" w:line="276"/>
        <w:jc w:val="both"/>
      </w:pPr>
      <w:r>
        <w:rPr>
          <w:b/>
          <w:bCs/>
        </w:rPr>
        <w:t xml:space="preserve">Refrigerant (Guideline Table 3):</w:t>
      </w:r>
      <w:r>
        <w:rPr>
          <w:b w:val="false"/>
          <w:bCs w:val="false"/>
        </w:rPr>
        <w:t xml:space="preserve"> the mass-balance method uses the change in refrigerant stock (purchases, disposals, inventory). The occupants hold no refrigerant, so this method gives zero. That would understate reality, so a screening estimate (IPCC operating leak rate of 4% of charge per year [21]) is added to Scope 1. The charges are assumed, because neither was on the photographed labels (Table 7.2).</w:t>
      </w:r>
    </w:p>
    <w:p>
      <w:pPr>
        <w:keepNext/>
        <w:spacing w:after="80" w:before="160"/>
      </w:pPr>
      <w:r>
        <w:rPr>
          <w:b/>
          <w:bCs/>
          <w:color w:val="1F3864"/>
          <w:sz w:val="18"/>
          <w:szCs w:val="18"/>
        </w:rPr>
        <w:t xml:space="preserve">Table 7.2: Scope 1 screening estimate of fugitive refrigerant</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1912"/>
        <w:gridCol w:w="1300"/>
        <w:gridCol w:w="1200"/>
        <w:gridCol w:w="1100"/>
        <w:gridCol w:w="1000"/>
        <w:gridCol w:w="1400"/>
        <w:gridCol w:w="1500"/>
      </w:tblGrid>
      <w:tr>
        <w:trPr>
          <w:tblHeader/>
        </w:trPr>
        <w:tc>
          <w:tcPr>
            <w:tcW w:type="dxa" w:w="19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Equipment</w:t>
            </w:r>
          </w:p>
        </w:tc>
        <w:tc>
          <w:tcPr>
            <w:tcW w:type="dxa" w:w="13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Refrigerant</w:t>
            </w:r>
          </w:p>
        </w:tc>
        <w:tc>
          <w:tcPr>
            <w:tcW w:type="dxa" w:w="12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Charge (kg)</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Leak rate</w:t>
            </w:r>
          </w:p>
        </w:tc>
        <w:tc>
          <w:tcPr>
            <w:tcW w:type="dxa" w:w="10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GWP</w:t>
            </w:r>
          </w:p>
        </w:tc>
        <w:tc>
          <w:tcPr>
            <w:tcW w:type="dxa" w:w="14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Household share</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e/yr</w:t>
            </w:r>
          </w:p>
        </w:tc>
      </w:tr>
      <w:tr>
        <w:trPr>
          <w:cantSplit/>
        </w:trPr>
        <w:tc>
          <w:tcPr>
            <w:tcW w:type="dxa" w:w="1912"/>
            <w:tcMar>
              <w:top w:type="dxa" w:w="50"/>
              <w:left w:type="dxa" w:w="90"/>
              <w:bottom w:type="dxa" w:w="50"/>
              <w:right w:type="dxa" w:w="90"/>
            </w:tcMar>
            <w:vAlign w:val="center"/>
          </w:tcPr>
          <w:p>
            <w:pPr>
              <w:spacing w:after="0" w:line="240"/>
              <w:jc w:val="left"/>
            </w:pPr>
            <w:r>
              <w:rPr>
                <w:b w:val="false"/>
                <w:bCs w:val="false"/>
                <w:sz w:val="16"/>
                <w:szCs w:val="16"/>
              </w:rPr>
              <w:t xml:space="preserve">Room window AC</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R32</w:t>
            </w:r>
          </w:p>
        </w:tc>
        <w:tc>
          <w:tcPr>
            <w:tcW w:type="dxa" w:w="1200"/>
            <w:tcMar>
              <w:top w:type="dxa" w:w="50"/>
              <w:left w:type="dxa" w:w="90"/>
              <w:bottom w:type="dxa" w:w="50"/>
              <w:right w:type="dxa" w:w="90"/>
            </w:tcMar>
            <w:vAlign w:val="center"/>
          </w:tcPr>
          <w:p>
            <w:pPr>
              <w:spacing w:after="0" w:line="240"/>
              <w:jc w:val="right"/>
            </w:pPr>
            <w:r>
              <w:rPr>
                <w:b w:val="false"/>
                <w:bCs w:val="false"/>
                <w:sz w:val="16"/>
                <w:szCs w:val="16"/>
              </w:rPr>
              <w:t xml:space="preserve">0.40</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4%</w:t>
            </w:r>
          </w:p>
        </w:tc>
        <w:tc>
          <w:tcPr>
            <w:tcW w:type="dxa" w:w="1000"/>
            <w:tcMar>
              <w:top w:type="dxa" w:w="50"/>
              <w:left w:type="dxa" w:w="90"/>
              <w:bottom w:type="dxa" w:w="50"/>
              <w:right w:type="dxa" w:w="90"/>
            </w:tcMar>
            <w:vAlign w:val="center"/>
          </w:tcPr>
          <w:p>
            <w:pPr>
              <w:spacing w:after="0" w:line="240"/>
              <w:jc w:val="right"/>
            </w:pPr>
            <w:r>
              <w:rPr>
                <w:b w:val="false"/>
                <w:bCs w:val="false"/>
                <w:sz w:val="16"/>
                <w:szCs w:val="16"/>
              </w:rPr>
              <w:t xml:space="preserve">650</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1</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10.4</w:t>
            </w:r>
          </w:p>
        </w:tc>
      </w:tr>
      <w:tr>
        <w:trPr>
          <w:cantSplit/>
        </w:trPr>
        <w:tc>
          <w:tcPr>
            <w:tcW w:type="dxa" w:w="1912"/>
            <w:tcMar>
              <w:top w:type="dxa" w:w="50"/>
              <w:left w:type="dxa" w:w="90"/>
              <w:bottom w:type="dxa" w:w="50"/>
              <w:right w:type="dxa" w:w="90"/>
            </w:tcMar>
            <w:vAlign w:val="center"/>
          </w:tcPr>
          <w:p>
            <w:pPr>
              <w:spacing w:after="0" w:line="240"/>
              <w:jc w:val="left"/>
            </w:pPr>
            <w:r>
              <w:rPr>
                <w:b w:val="false"/>
                <w:bCs w:val="false"/>
                <w:sz w:val="16"/>
                <w:szCs w:val="16"/>
              </w:rPr>
              <w:t xml:space="preserve">Kitchen split AC</w:t>
            </w:r>
          </w:p>
        </w:tc>
        <w:tc>
          <w:tcPr>
            <w:tcW w:type="dxa" w:w="1300"/>
            <w:tcMar>
              <w:top w:type="dxa" w:w="50"/>
              <w:left w:type="dxa" w:w="90"/>
              <w:bottom w:type="dxa" w:w="50"/>
              <w:right w:type="dxa" w:w="90"/>
            </w:tcMar>
            <w:vAlign w:val="center"/>
          </w:tcPr>
          <w:p>
            <w:pPr>
              <w:spacing w:after="0" w:line="240"/>
              <w:jc w:val="left"/>
            </w:pPr>
            <w:r>
              <w:rPr>
                <w:b w:val="false"/>
                <w:bCs w:val="false"/>
                <w:sz w:val="16"/>
                <w:szCs w:val="16"/>
              </w:rPr>
              <w:t xml:space="preserve">R-410A</w:t>
            </w:r>
          </w:p>
        </w:tc>
        <w:tc>
          <w:tcPr>
            <w:tcW w:type="dxa" w:w="1200"/>
            <w:tcMar>
              <w:top w:type="dxa" w:w="50"/>
              <w:left w:type="dxa" w:w="90"/>
              <w:bottom w:type="dxa" w:w="50"/>
              <w:right w:type="dxa" w:w="90"/>
            </w:tcMar>
            <w:vAlign w:val="center"/>
          </w:tcPr>
          <w:p>
            <w:pPr>
              <w:spacing w:after="0" w:line="240"/>
              <w:jc w:val="right"/>
            </w:pPr>
            <w:r>
              <w:rPr>
                <w:b w:val="false"/>
                <w:bCs w:val="false"/>
                <w:sz w:val="16"/>
                <w:szCs w:val="16"/>
              </w:rPr>
              <w:t xml:space="preserve">1.40</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4%</w:t>
            </w:r>
          </w:p>
        </w:tc>
        <w:tc>
          <w:tcPr>
            <w:tcW w:type="dxa" w:w="1000"/>
            <w:tcMar>
              <w:top w:type="dxa" w:w="50"/>
              <w:left w:type="dxa" w:w="90"/>
              <w:bottom w:type="dxa" w:w="50"/>
              <w:right w:type="dxa" w:w="90"/>
            </w:tcMar>
            <w:vAlign w:val="center"/>
          </w:tcPr>
          <w:p>
            <w:pPr>
              <w:spacing w:after="0" w:line="240"/>
              <w:jc w:val="right"/>
            </w:pPr>
            <w:r>
              <w:rPr>
                <w:b w:val="false"/>
                <w:bCs w:val="false"/>
                <w:sz w:val="16"/>
                <w:szCs w:val="16"/>
              </w:rPr>
              <w:t xml:space="preserve">1,725</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2/32</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6.0</w:t>
            </w:r>
          </w:p>
        </w:tc>
      </w:tr>
      <w:tr>
        <w:trPr>
          <w:cantSplit/>
        </w:trPr>
        <w:tc>
          <w:tcPr>
            <w:tcW w:type="dxa" w:w="1912"/>
            <w:shd w:fill="F2F2F2" w:color="auto" w:val="clear"/>
            <w:tcMar>
              <w:top w:type="dxa" w:w="50"/>
              <w:left w:type="dxa" w:w="90"/>
              <w:bottom w:type="dxa" w:w="50"/>
              <w:right w:type="dxa" w:w="90"/>
            </w:tcMar>
            <w:vAlign w:val="center"/>
          </w:tcPr>
          <w:p>
            <w:pPr>
              <w:spacing w:after="0" w:line="240"/>
              <w:jc w:val="left"/>
            </w:pPr>
            <w:r>
              <w:rPr>
                <w:b/>
                <w:bCs/>
                <w:sz w:val="16"/>
                <w:szCs w:val="16"/>
              </w:rPr>
              <w:t xml:space="preserve">Scope 1 total</w:t>
            </w:r>
          </w:p>
        </w:tc>
        <w:tc>
          <w:tcPr>
            <w:tcW w:type="dxa" w:w="1300"/>
            <w:shd w:fill="F2F2F2" w:color="auto" w:val="clear"/>
            <w:tcMar>
              <w:top w:type="dxa" w:w="50"/>
              <w:left w:type="dxa" w:w="90"/>
              <w:bottom w:type="dxa" w:w="50"/>
              <w:right w:type="dxa" w:w="90"/>
            </w:tcMar>
            <w:vAlign w:val="center"/>
          </w:tcPr>
          <w:p>
            <w:pPr>
              <w:spacing w:after="0" w:line="240"/>
              <w:jc w:val="left"/>
            </w:pPr>
          </w:p>
        </w:tc>
        <w:tc>
          <w:tcPr>
            <w:tcW w:type="dxa" w:w="1200"/>
            <w:shd w:fill="F2F2F2" w:color="auto" w:val="clear"/>
            <w:tcMar>
              <w:top w:type="dxa" w:w="50"/>
              <w:left w:type="dxa" w:w="90"/>
              <w:bottom w:type="dxa" w:w="50"/>
              <w:right w:type="dxa" w:w="90"/>
            </w:tcMar>
            <w:vAlign w:val="center"/>
          </w:tcPr>
          <w:p>
            <w:pPr>
              <w:spacing w:after="0" w:line="240"/>
              <w:jc w:val="right"/>
            </w:pPr>
          </w:p>
        </w:tc>
        <w:tc>
          <w:tcPr>
            <w:tcW w:type="dxa" w:w="1100"/>
            <w:shd w:fill="F2F2F2" w:color="auto" w:val="clear"/>
            <w:tcMar>
              <w:top w:type="dxa" w:w="50"/>
              <w:left w:type="dxa" w:w="90"/>
              <w:bottom w:type="dxa" w:w="50"/>
              <w:right w:type="dxa" w:w="90"/>
            </w:tcMar>
            <w:vAlign w:val="center"/>
          </w:tcPr>
          <w:p>
            <w:pPr>
              <w:spacing w:after="0" w:line="240"/>
              <w:jc w:val="right"/>
            </w:pPr>
          </w:p>
        </w:tc>
        <w:tc>
          <w:tcPr>
            <w:tcW w:type="dxa" w:w="1000"/>
            <w:shd w:fill="F2F2F2" w:color="auto" w:val="clear"/>
            <w:tcMar>
              <w:top w:type="dxa" w:w="50"/>
              <w:left w:type="dxa" w:w="90"/>
              <w:bottom w:type="dxa" w:w="50"/>
              <w:right w:type="dxa" w:w="90"/>
            </w:tcMar>
            <w:vAlign w:val="center"/>
          </w:tcPr>
          <w:p>
            <w:pPr>
              <w:spacing w:after="0" w:line="240"/>
              <w:jc w:val="right"/>
            </w:pPr>
          </w:p>
        </w:tc>
        <w:tc>
          <w:tcPr>
            <w:tcW w:type="dxa" w:w="1400"/>
            <w:shd w:fill="F2F2F2" w:color="auto" w:val="clear"/>
            <w:tcMar>
              <w:top w:type="dxa" w:w="50"/>
              <w:left w:type="dxa" w:w="90"/>
              <w:bottom w:type="dxa" w:w="50"/>
              <w:right w:type="dxa" w:w="90"/>
            </w:tcMar>
            <w:vAlign w:val="center"/>
          </w:tcPr>
          <w:p>
            <w:pPr>
              <w:spacing w:after="0" w:line="240"/>
              <w:jc w:val="right"/>
            </w:pPr>
          </w:p>
        </w:tc>
        <w:tc>
          <w:tcPr>
            <w:tcW w:type="dxa" w:w="15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16.4</w:t>
            </w:r>
          </w:p>
        </w:tc>
      </w:tr>
    </w:tbl>
    <w:p>
      <w:pPr>
        <w:pStyle w:val="Heading2"/>
      </w:pPr>
      <w:r>
        <w:rPr>
          <w:b w:val="false"/>
          <w:bCs w:val="false"/>
        </w:rPr>
        <w:t xml:space="preserve">7.3  Scope 2 - purchased electricity</w:t>
      </w:r>
    </w:p>
    <w:p>
      <w:pPr>
        <w:keepNext/>
        <w:spacing w:after="80" w:before="160"/>
      </w:pPr>
      <w:r>
        <w:rPr>
          <w:b/>
          <w:bCs/>
          <w:color w:val="1F3864"/>
          <w:sz w:val="18"/>
          <w:szCs w:val="18"/>
        </w:rPr>
        <w:t xml:space="preserve">Table 7.3: Scope 2 by facility (Guideline Table 5 format)</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4212"/>
        <w:gridCol w:w="1500"/>
        <w:gridCol w:w="1850"/>
        <w:gridCol w:w="1850"/>
      </w:tblGrid>
      <w:tr>
        <w:trPr>
          <w:tblHeader/>
        </w:trPr>
        <w:tc>
          <w:tcPr>
            <w:tcW w:type="dxa" w:w="42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Facility / source</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kWh/yr</w:t>
            </w:r>
          </w:p>
        </w:tc>
        <w:tc>
          <w:tcPr>
            <w:tcW w:type="dxa" w:w="185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e/yr (CLP 0.34)</w:t>
            </w:r>
          </w:p>
        </w:tc>
        <w:tc>
          <w:tcPr>
            <w:tcW w:type="dxa" w:w="185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e/yr (default 0.7)</w:t>
            </w:r>
          </w:p>
        </w:tc>
      </w:tr>
      <w:tr>
        <w:trPr>
          <w:cantSplit/>
        </w:trPr>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Room 1003B (incl. Octopus-metered AC)</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1,219.6</w:t>
            </w:r>
          </w:p>
        </w:tc>
        <w:tc>
          <w:tcPr>
            <w:tcW w:type="dxa" w:w="1850"/>
            <w:tcMar>
              <w:top w:type="dxa" w:w="50"/>
              <w:left w:type="dxa" w:w="90"/>
              <w:bottom w:type="dxa" w:w="50"/>
              <w:right w:type="dxa" w:w="90"/>
            </w:tcMar>
            <w:vAlign w:val="center"/>
          </w:tcPr>
          <w:p>
            <w:pPr>
              <w:spacing w:after="0" w:line="240"/>
              <w:jc w:val="right"/>
            </w:pPr>
            <w:r>
              <w:rPr>
                <w:b w:val="false"/>
                <w:bCs w:val="false"/>
                <w:sz w:val="16"/>
                <w:szCs w:val="16"/>
              </w:rPr>
              <w:t xml:space="preserve">414.7</w:t>
            </w:r>
          </w:p>
        </w:tc>
        <w:tc>
          <w:tcPr>
            <w:tcW w:type="dxa" w:w="1850"/>
            <w:tcMar>
              <w:top w:type="dxa" w:w="50"/>
              <w:left w:type="dxa" w:w="90"/>
              <w:bottom w:type="dxa" w:w="50"/>
              <w:right w:type="dxa" w:w="90"/>
            </w:tcMar>
            <w:vAlign w:val="center"/>
          </w:tcPr>
          <w:p>
            <w:pPr>
              <w:spacing w:after="0" w:line="240"/>
              <w:jc w:val="right"/>
            </w:pPr>
            <w:r>
              <w:rPr>
                <w:b w:val="false"/>
                <w:bCs w:val="false"/>
                <w:sz w:val="16"/>
                <w:szCs w:val="16"/>
              </w:rPr>
              <w:t xml:space="preserve">853.7</w:t>
            </w:r>
          </w:p>
        </w:tc>
      </w:tr>
      <w:tr>
        <w:trPr>
          <w:cantSplit/>
        </w:trPr>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Shared washroom (own showers + 2/4 of fan &amp; lights)</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782.5</w:t>
            </w:r>
          </w:p>
        </w:tc>
        <w:tc>
          <w:tcPr>
            <w:tcW w:type="dxa" w:w="1850"/>
            <w:tcMar>
              <w:top w:type="dxa" w:w="50"/>
              <w:left w:type="dxa" w:w="90"/>
              <w:bottom w:type="dxa" w:w="50"/>
              <w:right w:type="dxa" w:w="90"/>
            </w:tcMar>
            <w:vAlign w:val="center"/>
          </w:tcPr>
          <w:p>
            <w:pPr>
              <w:spacing w:after="0" w:line="240"/>
              <w:jc w:val="right"/>
            </w:pPr>
            <w:r>
              <w:rPr>
                <w:b w:val="false"/>
                <w:bCs w:val="false"/>
                <w:sz w:val="16"/>
                <w:szCs w:val="16"/>
              </w:rPr>
              <w:t xml:space="preserve">266.1</w:t>
            </w:r>
          </w:p>
        </w:tc>
        <w:tc>
          <w:tcPr>
            <w:tcW w:type="dxa" w:w="1850"/>
            <w:tcMar>
              <w:top w:type="dxa" w:w="50"/>
              <w:left w:type="dxa" w:w="90"/>
              <w:bottom w:type="dxa" w:w="50"/>
              <w:right w:type="dxa" w:w="90"/>
            </w:tcMar>
            <w:vAlign w:val="center"/>
          </w:tcPr>
          <w:p>
            <w:pPr>
              <w:spacing w:after="0" w:line="240"/>
              <w:jc w:val="right"/>
            </w:pPr>
            <w:r>
              <w:rPr>
                <w:b w:val="false"/>
                <w:bCs w:val="false"/>
                <w:sz w:val="16"/>
                <w:szCs w:val="16"/>
              </w:rPr>
              <w:t xml:space="preserve">547.8</w:t>
            </w:r>
          </w:p>
        </w:tc>
      </w:tr>
      <w:tr>
        <w:trPr>
          <w:cantSplit/>
        </w:trPr>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Shared kitchen (own cooking + 2/32 of fixed loads)</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490.6</w:t>
            </w:r>
          </w:p>
        </w:tc>
        <w:tc>
          <w:tcPr>
            <w:tcW w:type="dxa" w:w="1850"/>
            <w:tcMar>
              <w:top w:type="dxa" w:w="50"/>
              <w:left w:type="dxa" w:w="90"/>
              <w:bottom w:type="dxa" w:w="50"/>
              <w:right w:type="dxa" w:w="90"/>
            </w:tcMar>
            <w:vAlign w:val="center"/>
          </w:tcPr>
          <w:p>
            <w:pPr>
              <w:spacing w:after="0" w:line="240"/>
              <w:jc w:val="right"/>
            </w:pPr>
            <w:r>
              <w:rPr>
                <w:b w:val="false"/>
                <w:bCs w:val="false"/>
                <w:sz w:val="16"/>
                <w:szCs w:val="16"/>
              </w:rPr>
              <w:t xml:space="preserve">166.8</w:t>
            </w:r>
          </w:p>
        </w:tc>
        <w:tc>
          <w:tcPr>
            <w:tcW w:type="dxa" w:w="1850"/>
            <w:tcMar>
              <w:top w:type="dxa" w:w="50"/>
              <w:left w:type="dxa" w:w="90"/>
              <w:bottom w:type="dxa" w:w="50"/>
              <w:right w:type="dxa" w:w="90"/>
            </w:tcMar>
            <w:vAlign w:val="center"/>
          </w:tcPr>
          <w:p>
            <w:pPr>
              <w:spacing w:after="0" w:line="240"/>
              <w:jc w:val="right"/>
            </w:pPr>
            <w:r>
              <w:rPr>
                <w:b w:val="false"/>
                <w:bCs w:val="false"/>
                <w:sz w:val="16"/>
                <w:szCs w:val="16"/>
              </w:rPr>
              <w:t xml:space="preserve">343.4</w:t>
            </w:r>
          </w:p>
        </w:tc>
      </w:tr>
      <w:tr>
        <w:trPr>
          <w:cantSplit/>
        </w:trPr>
        <w:tc>
          <w:tcPr>
            <w:tcW w:type="dxa" w:w="4212"/>
            <w:tcMar>
              <w:top w:type="dxa" w:w="50"/>
              <w:left w:type="dxa" w:w="90"/>
              <w:bottom w:type="dxa" w:w="50"/>
              <w:right w:type="dxa" w:w="90"/>
            </w:tcMar>
            <w:vAlign w:val="center"/>
          </w:tcPr>
          <w:p>
            <w:pPr>
              <w:spacing w:after="0" w:line="240"/>
              <w:jc w:val="left"/>
            </w:pPr>
            <w:r>
              <w:rPr>
                <w:b w:val="false"/>
                <w:bCs w:val="false"/>
                <w:sz w:val="16"/>
                <w:szCs w:val="16"/>
              </w:rPr>
              <w:t xml:space="preserve">Hall laundry (own use)</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93.6</w:t>
            </w:r>
          </w:p>
        </w:tc>
        <w:tc>
          <w:tcPr>
            <w:tcW w:type="dxa" w:w="1850"/>
            <w:tcMar>
              <w:top w:type="dxa" w:w="50"/>
              <w:left w:type="dxa" w:w="90"/>
              <w:bottom w:type="dxa" w:w="50"/>
              <w:right w:type="dxa" w:w="90"/>
            </w:tcMar>
            <w:vAlign w:val="center"/>
          </w:tcPr>
          <w:p>
            <w:pPr>
              <w:spacing w:after="0" w:line="240"/>
              <w:jc w:val="right"/>
            </w:pPr>
            <w:r>
              <w:rPr>
                <w:b w:val="false"/>
                <w:bCs w:val="false"/>
                <w:sz w:val="16"/>
                <w:szCs w:val="16"/>
              </w:rPr>
              <w:t xml:space="preserve">31.8</w:t>
            </w:r>
          </w:p>
        </w:tc>
        <w:tc>
          <w:tcPr>
            <w:tcW w:type="dxa" w:w="1850"/>
            <w:tcMar>
              <w:top w:type="dxa" w:w="50"/>
              <w:left w:type="dxa" w:w="90"/>
              <w:bottom w:type="dxa" w:w="50"/>
              <w:right w:type="dxa" w:w="90"/>
            </w:tcMar>
            <w:vAlign w:val="center"/>
          </w:tcPr>
          <w:p>
            <w:pPr>
              <w:spacing w:after="0" w:line="240"/>
              <w:jc w:val="right"/>
            </w:pPr>
            <w:r>
              <w:rPr>
                <w:b w:val="false"/>
                <w:bCs w:val="false"/>
                <w:sz w:val="16"/>
                <w:szCs w:val="16"/>
              </w:rPr>
              <w:t xml:space="preserve">65.5</w:t>
            </w:r>
          </w:p>
        </w:tc>
      </w:tr>
      <w:tr>
        <w:trPr>
          <w:cantSplit/>
        </w:trPr>
        <w:tc>
          <w:tcPr>
            <w:tcW w:type="dxa" w:w="4212"/>
            <w:shd w:fill="F2F2F2" w:color="auto" w:val="clear"/>
            <w:tcMar>
              <w:top w:type="dxa" w:w="50"/>
              <w:left w:type="dxa" w:w="90"/>
              <w:bottom w:type="dxa" w:w="50"/>
              <w:right w:type="dxa" w:w="90"/>
            </w:tcMar>
            <w:vAlign w:val="center"/>
          </w:tcPr>
          <w:p>
            <w:pPr>
              <w:spacing w:after="0" w:line="240"/>
              <w:jc w:val="left"/>
            </w:pPr>
            <w:r>
              <w:rPr>
                <w:b/>
                <w:bCs/>
                <w:sz w:val="16"/>
                <w:szCs w:val="16"/>
              </w:rPr>
              <w:t xml:space="preserve">Scope 2 total</w:t>
            </w:r>
          </w:p>
        </w:tc>
        <w:tc>
          <w:tcPr>
            <w:tcW w:type="dxa" w:w="1500"/>
            <w:shd w:fill="F2F2F2" w:color="auto" w:val="clear"/>
            <w:tcMar>
              <w:top w:type="dxa" w:w="50"/>
              <w:left w:type="dxa" w:w="90"/>
              <w:bottom w:type="dxa" w:w="50"/>
              <w:right w:type="dxa" w:w="90"/>
            </w:tcMar>
            <w:vAlign w:val="center"/>
          </w:tcPr>
          <w:p>
            <w:pPr>
              <w:spacing w:after="0" w:line="240"/>
              <w:jc w:val="right"/>
            </w:pPr>
            <w:r>
              <w:rPr>
                <w:b/>
                <w:bCs/>
                <w:sz w:val="16"/>
                <w:szCs w:val="16"/>
              </w:rPr>
              <w:t xml:space="preserve">2,586.4</w:t>
            </w:r>
          </w:p>
        </w:tc>
        <w:tc>
          <w:tcPr>
            <w:tcW w:type="dxa" w:w="1850"/>
            <w:shd w:fill="F2F2F2" w:color="auto" w:val="clear"/>
            <w:tcMar>
              <w:top w:type="dxa" w:w="50"/>
              <w:left w:type="dxa" w:w="90"/>
              <w:bottom w:type="dxa" w:w="50"/>
              <w:right w:type="dxa" w:w="90"/>
            </w:tcMar>
            <w:vAlign w:val="center"/>
          </w:tcPr>
          <w:p>
            <w:pPr>
              <w:spacing w:after="0" w:line="240"/>
              <w:jc w:val="right"/>
            </w:pPr>
            <w:r>
              <w:rPr>
                <w:b/>
                <w:bCs/>
                <w:sz w:val="16"/>
                <w:szCs w:val="16"/>
              </w:rPr>
              <w:t xml:space="preserve">879.4</w:t>
            </w:r>
          </w:p>
        </w:tc>
        <w:tc>
          <w:tcPr>
            <w:tcW w:type="dxa" w:w="1850"/>
            <w:shd w:fill="F2F2F2" w:color="auto" w:val="clear"/>
            <w:tcMar>
              <w:top w:type="dxa" w:w="50"/>
              <w:left w:type="dxa" w:w="90"/>
              <w:bottom w:type="dxa" w:w="50"/>
              <w:right w:type="dxa" w:w="90"/>
            </w:tcMar>
            <w:vAlign w:val="center"/>
          </w:tcPr>
          <w:p>
            <w:pPr>
              <w:spacing w:after="0" w:line="240"/>
              <w:jc w:val="right"/>
            </w:pPr>
            <w:r>
              <w:rPr>
                <w:b/>
                <w:bCs/>
                <w:sz w:val="16"/>
                <w:szCs w:val="16"/>
              </w:rPr>
              <w:t xml:space="preserve">1,810.5</w:t>
            </w:r>
          </w:p>
        </w:tc>
      </w:tr>
    </w:tbl>
    <w:p>
      <w:pPr>
        <w:keepNext/>
        <w:spacing w:after="40" w:before="120"/>
        <w:jc w:val="center"/>
      </w:pPr>
      <w:r>
        <w:drawing>
          <wp:inline distT="0" distB="0" distL="0" distR="0">
            <wp:extent cx="581025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2162175"/>
                    </a:xfrm>
                    <a:prstGeom prst="rect">
                      <a:avLst/>
                    </a:prstGeom>
                  </pic:spPr>
                </pic:pic>
              </a:graphicData>
            </a:graphic>
          </wp:inline>
        </w:drawing>
      </w:r>
    </w:p>
    <w:p>
      <w:pPr>
        <w:spacing w:after="200" w:before="60"/>
        <w:jc w:val="center"/>
      </w:pPr>
      <w:r>
        <w:rPr>
          <w:b w:val="false"/>
          <w:bCs w:val="false"/>
          <w:i/>
          <w:iCs/>
          <w:color w:val="52514E"/>
          <w:sz w:val="17"/>
          <w:szCs w:val="17"/>
        </w:rPr>
        <w:t xml:space="preserve">Figure 7.1: Scope 2 emissions by facility under the two required factors</w:t>
      </w:r>
    </w:p>
    <w:p>
      <w:pPr>
        <w:pStyle w:val="Heading2"/>
      </w:pPr>
      <w:r>
        <w:rPr>
          <w:b w:val="false"/>
          <w:bCs w:val="false"/>
        </w:rPr>
        <w:t xml:space="preserve">7.4  Scope 3 - water, sewage and paper</w:t>
      </w:r>
    </w:p>
    <w:p>
      <w:pPr>
        <w:spacing w:after="120" w:before="0" w:line="276"/>
        <w:jc w:val="both"/>
      </w:pPr>
      <w:r>
        <w:rPr>
          <w:b/>
          <w:bCs/>
        </w:rPr>
        <w:t xml:space="preserve">Fresh water</w:t>
      </w:r>
      <w:r>
        <w:rPr>
          <w:b w:val="false"/>
          <w:bCs w:val="false"/>
        </w:rPr>
        <w:t xml:space="preserve"> is estimated bottom-up at 70.6 L per person per day: showers 45 L, drinking water from the dispenser 2 L, basin, cooking and dish-washing about 15 L, and laundry about 8.6 L. The household total is 51.5 m³/yr; all of it is assumed to go to the public sewer.</w:t>
      </w:r>
    </w:p>
    <w:p>
      <w:pPr>
        <w:spacing w:after="120" w:before="0" w:line="276"/>
        <w:jc w:val="both"/>
      </w:pPr>
      <w:r>
        <w:rPr>
          <w:b/>
          <w:bCs/>
        </w:rPr>
        <w:t xml:space="preserve">Toilet flushing</w:t>
      </w:r>
      <w:r>
        <w:rPr>
          <w:b w:val="false"/>
          <w:bCs w:val="false"/>
        </w:rPr>
        <w:t xml:space="preserve"> uses seawater, which serves about 85% of Hong Kong's population [13]. It is reported separately at 21.9 m³/yr.</w:t>
      </w:r>
    </w:p>
    <w:p>
      <w:pPr>
        <w:spacing w:after="120" w:before="0" w:line="276"/>
        <w:jc w:val="both"/>
      </w:pPr>
      <w:r>
        <w:rPr>
          <w:b/>
          <w:bCs/>
        </w:rPr>
        <w:t xml:space="preserve">Paper:</w:t>
      </w:r>
      <w:r>
        <w:rPr>
          <w:b w:val="false"/>
          <w:bCs w:val="false"/>
        </w:rPr>
        <w:t xml:space="preserve"> the household uses about 2.0 kg a year. The auditor recycles, and half of the paper is assumed to be recycled. The remainder is counted to landfill at the Guideline factor.</w:t>
      </w:r>
    </w:p>
    <w:p>
      <w:pPr>
        <w:keepNext/>
        <w:spacing w:after="80" w:before="160"/>
      </w:pPr>
      <w:r>
        <w:rPr>
          <w:b/>
          <w:bCs/>
          <w:color w:val="1F3864"/>
          <w:sz w:val="18"/>
          <w:szCs w:val="18"/>
        </w:rPr>
        <w:t xml:space="preserve">Table 7.4: Scope 3 items (Guideline Tables 7-9 format)</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612"/>
        <w:gridCol w:w="1300"/>
        <w:gridCol w:w="900"/>
        <w:gridCol w:w="2100"/>
        <w:gridCol w:w="1500"/>
      </w:tblGrid>
      <w:tr>
        <w:trPr>
          <w:tblHeader/>
        </w:trPr>
        <w:tc>
          <w:tcPr>
            <w:tcW w:type="dxa" w:w="36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Guideline item</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Quantity</w:t>
            </w:r>
          </w:p>
        </w:tc>
        <w:tc>
          <w:tcPr>
            <w:tcW w:type="dxa" w:w="9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Unit</w:t>
            </w:r>
          </w:p>
        </w:tc>
        <w:tc>
          <w:tcPr>
            <w:tcW w:type="dxa" w:w="21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Factor</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e/yr</w:t>
            </w:r>
          </w:p>
        </w:tc>
      </w:tr>
      <w:tr>
        <w:trPr>
          <w:cantSplit/>
        </w:trPr>
        <w:tc>
          <w:tcPr>
            <w:tcW w:type="dxa" w:w="3612"/>
            <w:tcMar>
              <w:top w:type="dxa" w:w="50"/>
              <w:left w:type="dxa" w:w="90"/>
              <w:bottom w:type="dxa" w:w="50"/>
              <w:right w:type="dxa" w:w="90"/>
            </w:tcMar>
            <w:vAlign w:val="center"/>
          </w:tcPr>
          <w:p>
            <w:pPr>
              <w:spacing w:after="0" w:line="240"/>
              <w:jc w:val="left"/>
            </w:pPr>
            <w:r>
              <w:rPr>
                <w:b w:val="false"/>
                <w:bCs w:val="false"/>
                <w:sz w:val="16"/>
                <w:szCs w:val="16"/>
              </w:rPr>
              <w:t xml:space="preserve">Table 7 - Paper waste to landfill</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1.00</w:t>
            </w:r>
          </w:p>
        </w:tc>
        <w:tc>
          <w:tcPr>
            <w:tcW w:type="dxa" w:w="900"/>
            <w:tcMar>
              <w:top w:type="dxa" w:w="50"/>
              <w:left w:type="dxa" w:w="90"/>
              <w:bottom w:type="dxa" w:w="50"/>
              <w:right w:type="dxa" w:w="90"/>
            </w:tcMar>
            <w:vAlign w:val="center"/>
          </w:tcPr>
          <w:p>
            <w:pPr>
              <w:spacing w:after="0" w:line="240"/>
              <w:jc w:val="left"/>
            </w:pPr>
            <w:r>
              <w:rPr>
                <w:b w:val="false"/>
                <w:bCs w:val="false"/>
                <w:sz w:val="16"/>
                <w:szCs w:val="16"/>
              </w:rPr>
              <w:t xml:space="preserve">kg</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4.800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e/kg</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4.80</w:t>
            </w:r>
          </w:p>
        </w:tc>
      </w:tr>
      <w:tr>
        <w:trPr>
          <w:cantSplit/>
        </w:trPr>
        <w:tc>
          <w:tcPr>
            <w:tcW w:type="dxa" w:w="3612"/>
            <w:tcMar>
              <w:top w:type="dxa" w:w="50"/>
              <w:left w:type="dxa" w:w="90"/>
              <w:bottom w:type="dxa" w:w="50"/>
              <w:right w:type="dxa" w:w="90"/>
            </w:tcMar>
            <w:vAlign w:val="center"/>
          </w:tcPr>
          <w:p>
            <w:pPr>
              <w:spacing w:after="0" w:line="240"/>
              <w:jc w:val="left"/>
            </w:pPr>
            <w:r>
              <w:rPr>
                <w:b w:val="false"/>
                <w:bCs w:val="false"/>
                <w:sz w:val="16"/>
                <w:szCs w:val="16"/>
              </w:rPr>
              <w:t xml:space="preserve">Table 8 - Fresh water (WSD)</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51.52</w:t>
            </w:r>
          </w:p>
        </w:tc>
        <w:tc>
          <w:tcPr>
            <w:tcW w:type="dxa" w:w="900"/>
            <w:tcMar>
              <w:top w:type="dxa" w:w="50"/>
              <w:left w:type="dxa" w:w="90"/>
              <w:bottom w:type="dxa" w:w="50"/>
              <w:right w:type="dxa" w:w="90"/>
            </w:tcMar>
            <w:vAlign w:val="center"/>
          </w:tcPr>
          <w:p>
            <w:pPr>
              <w:spacing w:after="0" w:line="240"/>
              <w:jc w:val="left"/>
            </w:pPr>
            <w:r>
              <w:rPr>
                <w:b w:val="false"/>
                <w:bCs w:val="false"/>
                <w:sz w:val="16"/>
                <w:szCs w:val="16"/>
              </w:rPr>
              <w:t xml:space="preserve">m3</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0.437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e/m3</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22.50</w:t>
            </w:r>
          </w:p>
        </w:tc>
      </w:tr>
      <w:tr>
        <w:trPr>
          <w:cantSplit/>
        </w:trPr>
        <w:tc>
          <w:tcPr>
            <w:tcW w:type="dxa" w:w="3612"/>
            <w:tcMar>
              <w:top w:type="dxa" w:w="50"/>
              <w:left w:type="dxa" w:w="90"/>
              <w:bottom w:type="dxa" w:w="50"/>
              <w:right w:type="dxa" w:w="90"/>
            </w:tcMar>
            <w:vAlign w:val="center"/>
          </w:tcPr>
          <w:p>
            <w:pPr>
              <w:spacing w:after="0" w:line="240"/>
              <w:jc w:val="left"/>
            </w:pPr>
            <w:r>
              <w:rPr>
                <w:b w:val="false"/>
                <w:bCs w:val="false"/>
                <w:sz w:val="16"/>
                <w:szCs w:val="16"/>
              </w:rPr>
              <w:t xml:space="preserve">Table 9 - Sewage (DSD)</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51.52</w:t>
            </w:r>
          </w:p>
        </w:tc>
        <w:tc>
          <w:tcPr>
            <w:tcW w:type="dxa" w:w="900"/>
            <w:tcMar>
              <w:top w:type="dxa" w:w="50"/>
              <w:left w:type="dxa" w:w="90"/>
              <w:bottom w:type="dxa" w:w="50"/>
              <w:right w:type="dxa" w:w="90"/>
            </w:tcMar>
            <w:vAlign w:val="center"/>
          </w:tcPr>
          <w:p>
            <w:pPr>
              <w:spacing w:after="0" w:line="240"/>
              <w:jc w:val="left"/>
            </w:pPr>
            <w:r>
              <w:rPr>
                <w:b w:val="false"/>
                <w:bCs w:val="false"/>
                <w:sz w:val="16"/>
                <w:szCs w:val="16"/>
              </w:rPr>
              <w:t xml:space="preserve">m3</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0.203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e/m3</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10.46</w:t>
            </w:r>
          </w:p>
        </w:tc>
      </w:tr>
      <w:tr>
        <w:trPr>
          <w:cantSplit/>
        </w:trPr>
        <w:tc>
          <w:tcPr>
            <w:tcW w:type="dxa" w:w="3612"/>
            <w:tcMar>
              <w:top w:type="dxa" w:w="50"/>
              <w:left w:type="dxa" w:w="90"/>
              <w:bottom w:type="dxa" w:w="50"/>
              <w:right w:type="dxa" w:w="90"/>
            </w:tcMar>
            <w:vAlign w:val="center"/>
          </w:tcPr>
          <w:p>
            <w:pPr>
              <w:spacing w:after="0" w:line="240"/>
              <w:jc w:val="left"/>
            </w:pPr>
            <w:r>
              <w:rPr>
                <w:b w:val="false"/>
                <w:bCs w:val="false"/>
                <w:sz w:val="16"/>
                <w:szCs w:val="16"/>
              </w:rPr>
              <w:t xml:space="preserve">Seawater for flushing (WSD, optional)</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21.90</w:t>
            </w:r>
          </w:p>
        </w:tc>
        <w:tc>
          <w:tcPr>
            <w:tcW w:type="dxa" w:w="900"/>
            <w:tcMar>
              <w:top w:type="dxa" w:w="50"/>
              <w:left w:type="dxa" w:w="90"/>
              <w:bottom w:type="dxa" w:w="50"/>
              <w:right w:type="dxa" w:w="90"/>
            </w:tcMar>
            <w:vAlign w:val="center"/>
          </w:tcPr>
          <w:p>
            <w:pPr>
              <w:spacing w:after="0" w:line="240"/>
              <w:jc w:val="left"/>
            </w:pPr>
            <w:r>
              <w:rPr>
                <w:b w:val="false"/>
                <w:bCs w:val="false"/>
                <w:sz w:val="16"/>
                <w:szCs w:val="16"/>
              </w:rPr>
              <w:t xml:space="preserve">m3</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0.253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e/m3</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5.55</w:t>
            </w:r>
          </w:p>
        </w:tc>
      </w:tr>
      <w:tr>
        <w:trPr>
          <w:cantSplit/>
        </w:trPr>
        <w:tc>
          <w:tcPr>
            <w:tcW w:type="dxa" w:w="3612"/>
            <w:shd w:fill="F2F2F2" w:color="auto" w:val="clear"/>
            <w:tcMar>
              <w:top w:type="dxa" w:w="50"/>
              <w:left w:type="dxa" w:w="90"/>
              <w:bottom w:type="dxa" w:w="50"/>
              <w:right w:type="dxa" w:w="90"/>
            </w:tcMar>
            <w:vAlign w:val="center"/>
          </w:tcPr>
          <w:p>
            <w:pPr>
              <w:spacing w:after="0" w:line="240"/>
              <w:jc w:val="left"/>
            </w:pPr>
            <w:r>
              <w:rPr>
                <w:b/>
                <w:bCs/>
                <w:sz w:val="16"/>
                <w:szCs w:val="16"/>
              </w:rPr>
              <w:t xml:space="preserve">Scope 3 total</w:t>
            </w:r>
          </w:p>
        </w:tc>
        <w:tc>
          <w:tcPr>
            <w:tcW w:type="dxa" w:w="1300"/>
            <w:shd w:fill="F2F2F2" w:color="auto" w:val="clear"/>
            <w:tcMar>
              <w:top w:type="dxa" w:w="50"/>
              <w:left w:type="dxa" w:w="90"/>
              <w:bottom w:type="dxa" w:w="50"/>
              <w:right w:type="dxa" w:w="90"/>
            </w:tcMar>
            <w:vAlign w:val="center"/>
          </w:tcPr>
          <w:p>
            <w:pPr>
              <w:spacing w:after="0" w:line="240"/>
              <w:jc w:val="right"/>
            </w:pPr>
          </w:p>
        </w:tc>
        <w:tc>
          <w:tcPr>
            <w:tcW w:type="dxa" w:w="900"/>
            <w:shd w:fill="F2F2F2" w:color="auto" w:val="clear"/>
            <w:tcMar>
              <w:top w:type="dxa" w:w="50"/>
              <w:left w:type="dxa" w:w="90"/>
              <w:bottom w:type="dxa" w:w="50"/>
              <w:right w:type="dxa" w:w="90"/>
            </w:tcMar>
            <w:vAlign w:val="center"/>
          </w:tcPr>
          <w:p>
            <w:pPr>
              <w:spacing w:after="0" w:line="240"/>
              <w:jc w:val="left"/>
            </w:pPr>
          </w:p>
        </w:tc>
        <w:tc>
          <w:tcPr>
            <w:tcW w:type="dxa" w:w="2100"/>
            <w:shd w:fill="F2F2F2" w:color="auto" w:val="clear"/>
            <w:tcMar>
              <w:top w:type="dxa" w:w="50"/>
              <w:left w:type="dxa" w:w="90"/>
              <w:bottom w:type="dxa" w:w="50"/>
              <w:right w:type="dxa" w:w="90"/>
            </w:tcMar>
            <w:vAlign w:val="center"/>
          </w:tcPr>
          <w:p>
            <w:pPr>
              <w:spacing w:after="0" w:line="240"/>
              <w:jc w:val="left"/>
            </w:pPr>
          </w:p>
        </w:tc>
        <w:tc>
          <w:tcPr>
            <w:tcW w:type="dxa" w:w="1500"/>
            <w:shd w:fill="F2F2F2" w:color="auto" w:val="clear"/>
            <w:tcMar>
              <w:top w:type="dxa" w:w="50"/>
              <w:left w:type="dxa" w:w="90"/>
              <w:bottom w:type="dxa" w:w="50"/>
              <w:right w:type="dxa" w:w="90"/>
            </w:tcMar>
            <w:vAlign w:val="center"/>
          </w:tcPr>
          <w:p>
            <w:pPr>
              <w:spacing w:after="0" w:line="240"/>
              <w:jc w:val="right"/>
            </w:pPr>
            <w:r>
              <w:rPr>
                <w:b/>
                <w:bCs/>
                <w:sz w:val="16"/>
                <w:szCs w:val="16"/>
              </w:rPr>
              <w:t xml:space="preserve">43.31</w:t>
            </w:r>
          </w:p>
        </w:tc>
      </w:tr>
    </w:tbl>
    <w:p>
      <w:pPr>
        <w:pStyle w:val="Heading2"/>
      </w:pPr>
      <w:r>
        <w:rPr>
          <w:b w:val="false"/>
          <w:bCs w:val="false"/>
        </w:rPr>
        <w:t xml:space="preserve">7.5  Inventory summary</w:t>
      </w:r>
    </w:p>
    <w:p>
      <w:pPr>
        <w:keepNext/>
        <w:spacing w:after="80" w:before="160"/>
      </w:pPr>
      <w:r>
        <w:rPr>
          <w:b/>
          <w:bCs/>
          <w:color w:val="1F3864"/>
          <w:sz w:val="18"/>
          <w:szCs w:val="18"/>
        </w:rPr>
        <w:t xml:space="preserve">Table 7.5: GHG inventory of the household (kg </w:t>
      </w:r>
      <w:r>
        <w:rPr>
          <w:b/>
          <w:bCs/>
          <w:color w:val="1F3864"/>
          <w:sz w:val="18"/>
          <w:szCs w:val="18"/>
        </w:rPr>
        <w:t xml:space="preserve">CO</w:t>
      </w:r>
      <w:r>
        <w:rPr>
          <w:b/>
          <w:bCs/>
          <w:color w:val="1F3864"/>
          <w:sz w:val="18"/>
          <w:szCs w:val="18"/>
          <w:vertAlign w:val="subscript"/>
        </w:rPr>
        <w:t xml:space="preserve">2</w:t>
      </w:r>
      <w:r>
        <w:rPr>
          <w:b/>
          <w:bCs/>
          <w:color w:val="1F3864"/>
          <w:sz w:val="18"/>
          <w:szCs w:val="18"/>
        </w:rPr>
        <w:t xml:space="preserve">e/yr)</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812"/>
        <w:gridCol w:w="1400"/>
        <w:gridCol w:w="1500"/>
        <w:gridCol w:w="1100"/>
        <w:gridCol w:w="1300"/>
        <w:gridCol w:w="1300"/>
      </w:tblGrid>
      <w:tr>
        <w:trPr>
          <w:tblHeader/>
        </w:trPr>
        <w:tc>
          <w:tcPr>
            <w:tcW w:type="dxa" w:w="28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Scope</w:t>
            </w:r>
          </w:p>
        </w:tc>
        <w:tc>
          <w:tcPr>
            <w:tcW w:type="dxa" w:w="14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CLP-specific basis</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Territory default basis</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Share (CLP)</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Per person (CLP)</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Per person (default)</w:t>
            </w:r>
          </w:p>
        </w:tc>
      </w:tr>
      <w:tr>
        <w:trPr>
          <w:cantSplit/>
        </w:trPr>
        <w:tc>
          <w:tcPr>
            <w:tcW w:type="dxa" w:w="2812"/>
            <w:tcMar>
              <w:top w:type="dxa" w:w="50"/>
              <w:left w:type="dxa" w:w="90"/>
              <w:bottom w:type="dxa" w:w="50"/>
              <w:right w:type="dxa" w:w="90"/>
            </w:tcMar>
            <w:vAlign w:val="center"/>
          </w:tcPr>
          <w:p>
            <w:pPr>
              <w:spacing w:after="0" w:line="240"/>
              <w:jc w:val="left"/>
            </w:pPr>
            <w:r>
              <w:rPr>
                <w:b w:val="false"/>
                <w:bCs w:val="false"/>
                <w:sz w:val="16"/>
                <w:szCs w:val="16"/>
              </w:rPr>
              <w:t xml:space="preserve">Scope 1 - direct (refrigerant screening)</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16.4</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16.4</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1.8%</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8.2</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8.2</w:t>
            </w:r>
          </w:p>
        </w:tc>
      </w:tr>
      <w:tr>
        <w:trPr>
          <w:cantSplit/>
        </w:trPr>
        <w:tc>
          <w:tcPr>
            <w:tcW w:type="dxa" w:w="2812"/>
            <w:tcMar>
              <w:top w:type="dxa" w:w="50"/>
              <w:left w:type="dxa" w:w="90"/>
              <w:bottom w:type="dxa" w:w="50"/>
              <w:right w:type="dxa" w:w="90"/>
            </w:tcMar>
            <w:vAlign w:val="center"/>
          </w:tcPr>
          <w:p>
            <w:pPr>
              <w:spacing w:after="0" w:line="240"/>
              <w:jc w:val="left"/>
            </w:pPr>
            <w:r>
              <w:rPr>
                <w:b w:val="false"/>
                <w:bCs w:val="false"/>
                <w:sz w:val="16"/>
                <w:szCs w:val="16"/>
              </w:rPr>
              <w:t xml:space="preserve">Scope 2 - purchased electricity</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879.4</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1,810.5</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93.6%</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439.7</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905.2</w:t>
            </w:r>
          </w:p>
        </w:tc>
      </w:tr>
      <w:tr>
        <w:trPr>
          <w:cantSplit/>
        </w:trPr>
        <w:tc>
          <w:tcPr>
            <w:tcW w:type="dxa" w:w="2812"/>
            <w:tcMar>
              <w:top w:type="dxa" w:w="50"/>
              <w:left w:type="dxa" w:w="90"/>
              <w:bottom w:type="dxa" w:w="50"/>
              <w:right w:type="dxa" w:w="90"/>
            </w:tcMar>
            <w:vAlign w:val="center"/>
          </w:tcPr>
          <w:p>
            <w:pPr>
              <w:spacing w:after="0" w:line="240"/>
              <w:jc w:val="left"/>
            </w:pPr>
            <w:r>
              <w:rPr>
                <w:b w:val="false"/>
                <w:bCs w:val="false"/>
                <w:sz w:val="16"/>
                <w:szCs w:val="16"/>
              </w:rPr>
              <w:t xml:space="preserve">Scope 3 - water, sewage, paper</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43.3</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43.3</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4.6%</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21.7</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21.7</w:t>
            </w:r>
          </w:p>
        </w:tc>
      </w:tr>
      <w:tr>
        <w:trPr>
          <w:cantSplit/>
        </w:trPr>
        <w:tc>
          <w:tcPr>
            <w:tcW w:type="dxa" w:w="2812"/>
            <w:shd w:fill="F2F2F2" w:color="auto" w:val="clear"/>
            <w:tcMar>
              <w:top w:type="dxa" w:w="50"/>
              <w:left w:type="dxa" w:w="90"/>
              <w:bottom w:type="dxa" w:w="50"/>
              <w:right w:type="dxa" w:w="90"/>
            </w:tcMar>
            <w:vAlign w:val="center"/>
          </w:tcPr>
          <w:p>
            <w:pPr>
              <w:spacing w:after="0" w:line="240"/>
              <w:jc w:val="left"/>
            </w:pPr>
            <w:r>
              <w:rPr>
                <w:b/>
                <w:bCs/>
                <w:sz w:val="16"/>
                <w:szCs w:val="16"/>
              </w:rPr>
              <w:t xml:space="preserve">TOTAL</w:t>
            </w:r>
          </w:p>
        </w:tc>
        <w:tc>
          <w:tcPr>
            <w:tcW w:type="dxa" w:w="1400"/>
            <w:shd w:fill="F2F2F2" w:color="auto" w:val="clear"/>
            <w:tcMar>
              <w:top w:type="dxa" w:w="50"/>
              <w:left w:type="dxa" w:w="90"/>
              <w:bottom w:type="dxa" w:w="50"/>
              <w:right w:type="dxa" w:w="90"/>
            </w:tcMar>
            <w:vAlign w:val="center"/>
          </w:tcPr>
          <w:p>
            <w:pPr>
              <w:spacing w:after="0" w:line="240"/>
              <w:jc w:val="right"/>
            </w:pPr>
            <w:r>
              <w:rPr>
                <w:b/>
                <w:bCs/>
                <w:sz w:val="16"/>
                <w:szCs w:val="16"/>
              </w:rPr>
              <w:t xml:space="preserve">939.1</w:t>
            </w:r>
          </w:p>
        </w:tc>
        <w:tc>
          <w:tcPr>
            <w:tcW w:type="dxa" w:w="15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1,870.2</w:t>
            </w:r>
          </w:p>
        </w:tc>
        <w:tc>
          <w:tcPr>
            <w:tcW w:type="dxa" w:w="11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100.0%</w:t>
            </w:r>
          </w:p>
        </w:tc>
        <w:tc>
          <w:tcPr>
            <w:tcW w:type="dxa" w:w="1300"/>
            <w:shd w:fill="F2F2F2" w:color="auto" w:val="clear"/>
            <w:tcMar>
              <w:top w:type="dxa" w:w="50"/>
              <w:left w:type="dxa" w:w="90"/>
              <w:bottom w:type="dxa" w:w="50"/>
              <w:right w:type="dxa" w:w="90"/>
            </w:tcMar>
            <w:vAlign w:val="center"/>
          </w:tcPr>
          <w:p>
            <w:pPr>
              <w:spacing w:after="0" w:line="240"/>
              <w:jc w:val="right"/>
            </w:pPr>
            <w:r>
              <w:rPr>
                <w:b/>
                <w:bCs/>
                <w:sz w:val="16"/>
                <w:szCs w:val="16"/>
              </w:rPr>
              <w:t xml:space="preserve">469.6</w:t>
            </w:r>
          </w:p>
        </w:tc>
        <w:tc>
          <w:tcPr>
            <w:tcW w:type="dxa" w:w="1300"/>
            <w:shd w:fill="F2F2F2" w:color="auto" w:val="clear"/>
            <w:tcMar>
              <w:top w:type="dxa" w:w="50"/>
              <w:left w:type="dxa" w:w="90"/>
              <w:bottom w:type="dxa" w:w="50"/>
              <w:right w:type="dxa" w:w="90"/>
            </w:tcMar>
            <w:vAlign w:val="center"/>
          </w:tcPr>
          <w:p>
            <w:pPr>
              <w:spacing w:after="0" w:line="240"/>
              <w:jc w:val="right"/>
            </w:pPr>
            <w:r>
              <w:rPr>
                <w:b/>
                <w:bCs/>
                <w:sz w:val="16"/>
                <w:szCs w:val="16"/>
              </w:rPr>
              <w:t xml:space="preserve">935.1</w:t>
            </w:r>
          </w:p>
        </w:tc>
      </w:tr>
    </w:tbl>
    <w:p>
      <w:pPr>
        <w:spacing w:after="60"/>
      </w:pPr>
    </w:p>
    <w:p>
      <w:pPr>
        <w:keepNext/>
        <w:spacing w:after="40" w:before="0" w:line="276"/>
        <w:jc w:val="both"/>
      </w:pPr>
      <w:r>
        <w:rPr>
          <w:b w:val="false"/>
          <w:bCs w:val="false"/>
        </w:rPr>
        <w:t xml:space="preserve">The household emits </w:t>
      </w:r>
      <w:r>
        <w:rPr>
          <w:b/>
          <w:bCs/>
        </w:rPr>
        <w:t xml:space="preserve">939 kg </w:t>
      </w:r>
      <w:r>
        <w:rPr>
          <w:b/>
          <w:bCs/>
        </w:rPr>
        <w:t xml:space="preserve">CO</w:t>
      </w:r>
      <w:r>
        <w:rPr>
          <w:b/>
          <w:bCs/>
          <w:vertAlign w:val="subscript"/>
        </w:rPr>
        <w:t xml:space="preserve">2</w:t>
      </w:r>
      <w:r>
        <w:rPr>
          <w:b/>
          <w:bCs/>
        </w:rPr>
        <w:t xml:space="preserve">e a year</w:t>
      </w:r>
      <w:r>
        <w:rPr>
          <w:b w:val="false"/>
          <w:bCs w:val="false"/>
        </w:rPr>
        <w:t xml:space="preserve"> on the CLP-specific basis (470 kg per person), or 1,870 kg on the territory-wide default. Scope 2 electricity is 93.6% of the total; the room's own Scope 2 intensity is 27.6 kg </w:t>
      </w:r>
      <w:r>
        <w:rPr>
          <w:b w:val="false"/>
          <w:bCs w:val="false"/>
        </w:rPr>
        <w:t xml:space="preserve">CO</w:t>
      </w:r>
      <w:r>
        <w:rPr>
          <w:b w:val="false"/>
          <w:bCs w:val="false"/>
          <w:vertAlign w:val="subscript"/>
        </w:rPr>
        <w:t xml:space="preserve">2</w:t>
      </w:r>
      <w:r>
        <w:rPr>
          <w:b w:val="false"/>
          <w:bCs w:val="false"/>
        </w:rPr>
        <w:t xml:space="preserve">e/m²/yr. Because Scope 2 dominates, the choice of factor matters more than any single item of equipment.</w:t>
      </w:r>
    </w:p>
    <w:p>
      <w:pPr>
        <w:pStyle w:val="ListParagraph"/>
        <w:numPr>
          <w:ilvl w:val="0"/>
          <w:numId w:val="2"/>
        </w:numPr>
        <w:spacing w:after="60" w:line="264"/>
      </w:pPr>
      <w:r>
        <w:rPr>
          <w:b w:val="false"/>
          <w:bCs w:val="false"/>
        </w:rPr>
        <w:t xml:space="preserve">The 0.7 default reflects a coal-heavy grid of the 2000s.</w:t>
      </w:r>
    </w:p>
    <w:p>
      <w:pPr>
        <w:pStyle w:val="ListParagraph"/>
        <w:numPr>
          <w:ilvl w:val="0"/>
          <w:numId w:val="2"/>
        </w:numPr>
        <w:spacing w:after="120" w:line="264"/>
      </w:pPr>
      <w:r>
        <w:rPr>
          <w:b w:val="false"/>
          <w:bCs w:val="false"/>
        </w:rPr>
        <w:t xml:space="preserve">CLP's 2025 factor reflects today's gas and non-carbon mix and is the better estimate of this household's actual emissions.</w:t>
      </w:r>
    </w:p>
    <w:p>
      <w:pPr>
        <w:spacing w:after="120" w:before="0" w:line="276"/>
        <w:jc w:val="both"/>
      </w:pPr>
      <w:r>
        <w:rPr>
          <w:b w:val="false"/>
          <w:bCs w:val="false"/>
        </w:rPr>
        <w:t xml:space="preserve">Reporting both, as required, makes the results comparable with older Hong Kong building inventories.</w:t>
      </w:r>
    </w:p>
    <w:p>
      <w:pPr>
        <w:pStyle w:val="Heading2"/>
      </w:pPr>
      <w:r>
        <w:rPr>
          <w:b w:val="false"/>
          <w:bCs w:val="false"/>
        </w:rPr>
        <w:t xml:space="preserve">7.6  Daily-activity extension (reported separately)</w:t>
      </w:r>
    </w:p>
    <w:p>
      <w:pPr>
        <w:keepNext/>
        <w:spacing w:after="40" w:before="0" w:line="276"/>
        <w:jc w:val="both"/>
      </w:pPr>
      <w:r>
        <w:rPr>
          <w:b w:val="false"/>
          <w:bCs w:val="false"/>
        </w:rPr>
        <w:t xml:space="preserve">The assignment calls this a carbon audit of daily activity, so the auditor's personal travel and diet were also estimated. They are kept outside the building inventory because they fall outside the Guidelines' building boundary. They correspond to Scope 3 categories in the GHG Protocol and ISO 14064-1.</w:t>
      </w:r>
    </w:p>
    <w:p>
      <w:pPr>
        <w:pStyle w:val="ListParagraph"/>
        <w:numPr>
          <w:ilvl w:val="0"/>
          <w:numId w:val="2"/>
        </w:numPr>
        <w:spacing w:after="60" w:line="264"/>
      </w:pPr>
      <w:r>
        <w:rPr>
          <w:b/>
          <w:bCs/>
        </w:rPr>
        <w:t xml:space="preserve">MTR:</w:t>
      </w:r>
      <w:r>
        <w:rPr>
          <w:b w:val="false"/>
          <w:bCs w:val="false"/>
        </w:rPr>
        <w:t xml:space="preserve"> 11,820 p-km/yr. This covers an 18 km commute each way, six days a week for 48 weeks, plus three other trips a month of 22 km each way. The factor is MTR's reported rail intensity of 0.0723 kg </w:t>
      </w:r>
      <w:r>
        <w:rPr>
          <w:b w:val="false"/>
          <w:bCs w:val="false"/>
        </w:rPr>
        <w:t xml:space="preserve">CO</w:t>
      </w:r>
      <w:r>
        <w:rPr>
          <w:b w:val="false"/>
          <w:bCs w:val="false"/>
          <w:vertAlign w:val="subscript"/>
        </w:rPr>
        <w:t xml:space="preserve">2</w:t>
      </w:r>
      <w:r>
        <w:rPr>
          <w:b w:val="false"/>
          <w:bCs w:val="false"/>
        </w:rPr>
        <w:t xml:space="preserve">e/p-km [17].</w:t>
      </w:r>
    </w:p>
    <w:p>
      <w:pPr>
        <w:pStyle w:val="ListParagraph"/>
        <w:numPr>
          <w:ilvl w:val="0"/>
          <w:numId w:val="2"/>
        </w:numPr>
        <w:spacing w:after="60" w:line="264"/>
      </w:pPr>
      <w:r>
        <w:rPr>
          <w:b/>
          <w:bCs/>
        </w:rPr>
        <w:t xml:space="preserve">Flights:</w:t>
      </w:r>
      <w:r>
        <w:rPr>
          <w:b w:val="false"/>
          <w:bCs w:val="false"/>
        </w:rPr>
        <w:t xml:space="preserve"> four flights in the last 12 months (Hong Kong-Delhi, Delhi-Hong Kong, Delhi-Goa, Goa-Hong Kong). Each uses its great-circle distance + 8%, with UK DESNZ 2025 economy factors including radiative forcing [18].</w:t>
      </w:r>
    </w:p>
    <w:p>
      <w:pPr>
        <w:pStyle w:val="ListParagraph"/>
        <w:numPr>
          <w:ilvl w:val="0"/>
          <w:numId w:val="2"/>
        </w:numPr>
        <w:spacing w:after="60" w:line="264"/>
      </w:pPr>
      <w:r>
        <w:rPr>
          <w:b/>
          <w:bCs/>
        </w:rPr>
        <w:t xml:space="preserve">Diet:</w:t>
      </w:r>
      <w:r>
        <w:rPr>
          <w:b w:val="false"/>
          <w:bCs w:val="false"/>
        </w:rPr>
        <w:t xml:space="preserve"> mixed (medium meat-eater), taken from Scarborough et al. at 5.63 kg </w:t>
      </w:r>
      <w:r>
        <w:rPr>
          <w:b w:val="false"/>
          <w:bCs w:val="false"/>
        </w:rPr>
        <w:t xml:space="preserve">CO</w:t>
      </w:r>
      <w:r>
        <w:rPr>
          <w:b w:val="false"/>
          <w:bCs w:val="false"/>
          <w:vertAlign w:val="subscript"/>
        </w:rPr>
        <w:t xml:space="preserve">2</w:t>
      </w:r>
      <w:r>
        <w:rPr>
          <w:b w:val="false"/>
          <w:bCs w:val="false"/>
        </w:rPr>
        <w:t xml:space="preserve">e/day [19].</w:t>
      </w:r>
    </w:p>
    <w:p>
      <w:pPr>
        <w:keepNext/>
        <w:spacing w:after="80" w:before="160"/>
      </w:pPr>
      <w:r>
        <w:rPr>
          <w:b/>
          <w:bCs/>
          <w:color w:val="1F3864"/>
          <w:sz w:val="18"/>
          <w:szCs w:val="18"/>
        </w:rPr>
        <w:t xml:space="preserve">Table 7.6: Auditor's daily-activity footprint</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612"/>
        <w:gridCol w:w="1300"/>
        <w:gridCol w:w="900"/>
        <w:gridCol w:w="2100"/>
        <w:gridCol w:w="1500"/>
      </w:tblGrid>
      <w:tr>
        <w:trPr>
          <w:tblHeader/>
        </w:trPr>
        <w:tc>
          <w:tcPr>
            <w:tcW w:type="dxa" w:w="36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Activity</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Quantity</w:t>
            </w:r>
          </w:p>
        </w:tc>
        <w:tc>
          <w:tcPr>
            <w:tcW w:type="dxa" w:w="9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Unit</w:t>
            </w:r>
          </w:p>
        </w:tc>
        <w:tc>
          <w:tcPr>
            <w:tcW w:type="dxa" w:w="21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Factor</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e/yr</w:t>
            </w:r>
          </w:p>
        </w:tc>
      </w:tr>
      <w:tr>
        <w:trPr>
          <w:cantSplit/>
        </w:trPr>
        <w:tc>
          <w:tcPr>
            <w:tcW w:type="dxa" w:w="3612"/>
            <w:tcMar>
              <w:top w:type="dxa" w:w="50"/>
              <w:left w:type="dxa" w:w="90"/>
              <w:bottom w:type="dxa" w:w="50"/>
              <w:right w:type="dxa" w:w="90"/>
            </w:tcMar>
            <w:vAlign w:val="center"/>
          </w:tcPr>
          <w:p>
            <w:pPr>
              <w:spacing w:after="0" w:line="240"/>
              <w:jc w:val="left"/>
            </w:pPr>
            <w:r>
              <w:rPr>
                <w:b w:val="false"/>
                <w:bCs w:val="false"/>
                <w:sz w:val="16"/>
                <w:szCs w:val="16"/>
              </w:rPr>
              <w:t xml:space="preserve">MTR commute (18 km x 2 x 6 days/week)</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10,368</w:t>
            </w:r>
          </w:p>
        </w:tc>
        <w:tc>
          <w:tcPr>
            <w:tcW w:type="dxa" w:w="900"/>
            <w:tcMar>
              <w:top w:type="dxa" w:w="50"/>
              <w:left w:type="dxa" w:w="90"/>
              <w:bottom w:type="dxa" w:w="50"/>
              <w:right w:type="dxa" w:w="90"/>
            </w:tcMar>
            <w:vAlign w:val="center"/>
          </w:tcPr>
          <w:p>
            <w:pPr>
              <w:spacing w:after="0" w:line="240"/>
              <w:jc w:val="left"/>
            </w:pPr>
            <w:r>
              <w:rPr>
                <w:b w:val="false"/>
                <w:bCs w:val="false"/>
                <w:sz w:val="16"/>
                <w:szCs w:val="16"/>
              </w:rPr>
              <w:t xml:space="preserve">p-km</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0.0723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e/p-km</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750</w:t>
            </w:r>
          </w:p>
        </w:tc>
      </w:tr>
      <w:tr>
        <w:trPr>
          <w:cantSplit/>
        </w:trPr>
        <w:tc>
          <w:tcPr>
            <w:tcW w:type="dxa" w:w="3612"/>
            <w:tcMar>
              <w:top w:type="dxa" w:w="50"/>
              <w:left w:type="dxa" w:w="90"/>
              <w:bottom w:type="dxa" w:w="50"/>
              <w:right w:type="dxa" w:w="90"/>
            </w:tcMar>
            <w:vAlign w:val="center"/>
          </w:tcPr>
          <w:p>
            <w:pPr>
              <w:spacing w:after="0" w:line="240"/>
              <w:jc w:val="left"/>
            </w:pPr>
            <w:r>
              <w:rPr>
                <w:b w:val="false"/>
                <w:bCs w:val="false"/>
                <w:sz w:val="16"/>
                <w:szCs w:val="16"/>
              </w:rPr>
              <w:t xml:space="preserve">Other MTR trips (22 km x 2 x 3/month)</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1,452</w:t>
            </w:r>
          </w:p>
        </w:tc>
        <w:tc>
          <w:tcPr>
            <w:tcW w:type="dxa" w:w="900"/>
            <w:tcMar>
              <w:top w:type="dxa" w:w="50"/>
              <w:left w:type="dxa" w:w="90"/>
              <w:bottom w:type="dxa" w:w="50"/>
              <w:right w:type="dxa" w:w="90"/>
            </w:tcMar>
            <w:vAlign w:val="center"/>
          </w:tcPr>
          <w:p>
            <w:pPr>
              <w:spacing w:after="0" w:line="240"/>
              <w:jc w:val="left"/>
            </w:pPr>
            <w:r>
              <w:rPr>
                <w:b w:val="false"/>
                <w:bCs w:val="false"/>
                <w:sz w:val="16"/>
                <w:szCs w:val="16"/>
              </w:rPr>
              <w:t xml:space="preserve">p-km</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0.0723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e/p-km</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105</w:t>
            </w:r>
          </w:p>
        </w:tc>
      </w:tr>
      <w:tr>
        <w:trPr>
          <w:cantSplit/>
        </w:trPr>
        <w:tc>
          <w:tcPr>
            <w:tcW w:type="dxa" w:w="3612"/>
            <w:tcMar>
              <w:top w:type="dxa" w:w="50"/>
              <w:left w:type="dxa" w:w="90"/>
              <w:bottom w:type="dxa" w:w="50"/>
              <w:right w:type="dxa" w:w="90"/>
            </w:tcMar>
            <w:vAlign w:val="center"/>
          </w:tcPr>
          <w:p>
            <w:pPr>
              <w:spacing w:after="0" w:line="240"/>
              <w:jc w:val="left"/>
            </w:pPr>
            <w:r>
              <w:rPr>
                <w:b w:val="false"/>
                <w:bCs w:val="false"/>
                <w:sz w:val="16"/>
                <w:szCs w:val="16"/>
              </w:rPr>
              <w:t xml:space="preserve">Flights (4 legs, table below)</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14,335</w:t>
            </w:r>
          </w:p>
        </w:tc>
        <w:tc>
          <w:tcPr>
            <w:tcW w:type="dxa" w:w="900"/>
            <w:tcMar>
              <w:top w:type="dxa" w:w="50"/>
              <w:left w:type="dxa" w:w="90"/>
              <w:bottom w:type="dxa" w:w="50"/>
              <w:right w:type="dxa" w:w="90"/>
            </w:tcMar>
            <w:vAlign w:val="center"/>
          </w:tcPr>
          <w:p>
            <w:pPr>
              <w:spacing w:after="0" w:line="240"/>
              <w:jc w:val="left"/>
            </w:pPr>
            <w:r>
              <w:rPr>
                <w:b w:val="false"/>
                <w:bCs w:val="false"/>
                <w:sz w:val="16"/>
                <w:szCs w:val="16"/>
              </w:rPr>
              <w:t xml:space="preserve">p-km</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0.1180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e/p-km</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1,692</w:t>
            </w:r>
          </w:p>
        </w:tc>
      </w:tr>
      <w:tr>
        <w:trPr>
          <w:cantSplit/>
        </w:trPr>
        <w:tc>
          <w:tcPr>
            <w:tcW w:type="dxa" w:w="3612"/>
            <w:tcMar>
              <w:top w:type="dxa" w:w="50"/>
              <w:left w:type="dxa" w:w="90"/>
              <w:bottom w:type="dxa" w:w="50"/>
              <w:right w:type="dxa" w:w="90"/>
            </w:tcMar>
            <w:vAlign w:val="center"/>
          </w:tcPr>
          <w:p>
            <w:pPr>
              <w:spacing w:after="0" w:line="240"/>
              <w:jc w:val="left"/>
            </w:pPr>
            <w:r>
              <w:rPr>
                <w:b w:val="false"/>
                <w:bCs w:val="false"/>
                <w:sz w:val="16"/>
                <w:szCs w:val="16"/>
              </w:rPr>
              <w:t xml:space="preserve">Diet - mixed (medium meat-eater)</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365</w:t>
            </w:r>
          </w:p>
        </w:tc>
        <w:tc>
          <w:tcPr>
            <w:tcW w:type="dxa" w:w="900"/>
            <w:tcMar>
              <w:top w:type="dxa" w:w="50"/>
              <w:left w:type="dxa" w:w="90"/>
              <w:bottom w:type="dxa" w:w="50"/>
              <w:right w:type="dxa" w:w="90"/>
            </w:tcMar>
            <w:vAlign w:val="center"/>
          </w:tcPr>
          <w:p>
            <w:pPr>
              <w:spacing w:after="0" w:line="240"/>
              <w:jc w:val="left"/>
            </w:pPr>
            <w:r>
              <w:rPr>
                <w:b w:val="false"/>
                <w:bCs w:val="false"/>
                <w:sz w:val="16"/>
                <w:szCs w:val="16"/>
              </w:rPr>
              <w:t xml:space="preserve">days</w:t>
            </w:r>
          </w:p>
        </w:tc>
        <w:tc>
          <w:tcPr>
            <w:tcW w:type="dxa" w:w="2100"/>
            <w:tcMar>
              <w:top w:type="dxa" w:w="50"/>
              <w:left w:type="dxa" w:w="90"/>
              <w:bottom w:type="dxa" w:w="50"/>
              <w:right w:type="dxa" w:w="90"/>
            </w:tcMar>
            <w:vAlign w:val="center"/>
          </w:tcPr>
          <w:p>
            <w:pPr>
              <w:spacing w:after="0" w:line="240"/>
              <w:jc w:val="left"/>
            </w:pPr>
            <w:r>
              <w:rPr>
                <w:b w:val="false"/>
                <w:bCs w:val="false"/>
                <w:sz w:val="16"/>
                <w:szCs w:val="16"/>
              </w:rPr>
              <w:t xml:space="preserve">5.6300 kg </w:t>
            </w:r>
            <w:r>
              <w:rPr>
                <w:b w:val="false"/>
                <w:bCs w:val="false"/>
                <w:sz w:val="16"/>
                <w:szCs w:val="16"/>
              </w:rPr>
              <w:t xml:space="preserve">CO</w:t>
            </w:r>
            <w:r>
              <w:rPr>
                <w:b w:val="false"/>
                <w:bCs w:val="false"/>
                <w:sz w:val="16"/>
                <w:szCs w:val="16"/>
                <w:vertAlign w:val="subscript"/>
              </w:rPr>
              <w:t xml:space="preserve">2</w:t>
            </w:r>
            <w:r>
              <w:rPr>
                <w:b w:val="false"/>
                <w:bCs w:val="false"/>
                <w:sz w:val="16"/>
                <w:szCs w:val="16"/>
              </w:rPr>
              <w:t xml:space="preserve">e/day</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2,055</w:t>
            </w:r>
          </w:p>
        </w:tc>
      </w:tr>
      <w:tr>
        <w:trPr>
          <w:cantSplit/>
        </w:trPr>
        <w:tc>
          <w:tcPr>
            <w:tcW w:type="dxa" w:w="3612"/>
            <w:shd w:fill="F2F2F2" w:color="auto" w:val="clear"/>
            <w:tcMar>
              <w:top w:type="dxa" w:w="50"/>
              <w:left w:type="dxa" w:w="90"/>
              <w:bottom w:type="dxa" w:w="50"/>
              <w:right w:type="dxa" w:w="90"/>
            </w:tcMar>
            <w:vAlign w:val="center"/>
          </w:tcPr>
          <w:p>
            <w:pPr>
              <w:spacing w:after="0" w:line="240"/>
              <w:jc w:val="left"/>
            </w:pPr>
            <w:r>
              <w:rPr>
                <w:b/>
                <w:bCs/>
                <w:sz w:val="16"/>
                <w:szCs w:val="16"/>
              </w:rPr>
              <w:t xml:space="preserve">Lifestyle total</w:t>
            </w:r>
          </w:p>
        </w:tc>
        <w:tc>
          <w:tcPr>
            <w:tcW w:type="dxa" w:w="1300"/>
            <w:shd w:fill="F2F2F2" w:color="auto" w:val="clear"/>
            <w:tcMar>
              <w:top w:type="dxa" w:w="50"/>
              <w:left w:type="dxa" w:w="90"/>
              <w:bottom w:type="dxa" w:w="50"/>
              <w:right w:type="dxa" w:w="90"/>
            </w:tcMar>
            <w:vAlign w:val="center"/>
          </w:tcPr>
          <w:p>
            <w:pPr>
              <w:spacing w:after="0" w:line="240"/>
              <w:jc w:val="right"/>
            </w:pPr>
          </w:p>
        </w:tc>
        <w:tc>
          <w:tcPr>
            <w:tcW w:type="dxa" w:w="900"/>
            <w:shd w:fill="F2F2F2" w:color="auto" w:val="clear"/>
            <w:tcMar>
              <w:top w:type="dxa" w:w="50"/>
              <w:left w:type="dxa" w:w="90"/>
              <w:bottom w:type="dxa" w:w="50"/>
              <w:right w:type="dxa" w:w="90"/>
            </w:tcMar>
            <w:vAlign w:val="center"/>
          </w:tcPr>
          <w:p>
            <w:pPr>
              <w:spacing w:after="0" w:line="240"/>
              <w:jc w:val="left"/>
            </w:pPr>
          </w:p>
        </w:tc>
        <w:tc>
          <w:tcPr>
            <w:tcW w:type="dxa" w:w="2100"/>
            <w:shd w:fill="F2F2F2" w:color="auto" w:val="clear"/>
            <w:tcMar>
              <w:top w:type="dxa" w:w="50"/>
              <w:left w:type="dxa" w:w="90"/>
              <w:bottom w:type="dxa" w:w="50"/>
              <w:right w:type="dxa" w:w="90"/>
            </w:tcMar>
            <w:vAlign w:val="center"/>
          </w:tcPr>
          <w:p>
            <w:pPr>
              <w:spacing w:after="0" w:line="240"/>
              <w:jc w:val="left"/>
            </w:pPr>
          </w:p>
        </w:tc>
        <w:tc>
          <w:tcPr>
            <w:tcW w:type="dxa" w:w="1500"/>
            <w:shd w:fill="F2F2F2" w:color="auto" w:val="clear"/>
            <w:tcMar>
              <w:top w:type="dxa" w:w="50"/>
              <w:left w:type="dxa" w:w="90"/>
              <w:bottom w:type="dxa" w:w="50"/>
              <w:right w:type="dxa" w:w="90"/>
            </w:tcMar>
            <w:vAlign w:val="center"/>
          </w:tcPr>
          <w:p>
            <w:pPr>
              <w:spacing w:after="0" w:line="240"/>
              <w:jc w:val="right"/>
            </w:pPr>
            <w:r>
              <w:rPr>
                <w:b/>
                <w:bCs/>
                <w:sz w:val="16"/>
                <w:szCs w:val="16"/>
              </w:rPr>
              <w:t xml:space="preserve">4,601</w:t>
            </w:r>
          </w:p>
        </w:tc>
      </w:tr>
    </w:tbl>
    <w:p>
      <w:pPr>
        <w:keepNext/>
        <w:spacing w:after="80" w:before="160"/>
      </w:pPr>
      <w:r>
        <w:rPr>
          <w:b/>
          <w:bCs/>
          <w:color w:val="1F3864"/>
          <w:sz w:val="18"/>
          <w:szCs w:val="18"/>
        </w:rPr>
        <w:t xml:space="preserve">Table 7.7: Flight legs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012"/>
        <w:gridCol w:w="1300"/>
        <w:gridCol w:w="1100"/>
        <w:gridCol w:w="1500"/>
        <w:gridCol w:w="1300"/>
        <w:gridCol w:w="1200"/>
      </w:tblGrid>
      <w:tr>
        <w:trPr>
          <w:tblHeader/>
        </w:trPr>
        <w:tc>
          <w:tcPr>
            <w:tcW w:type="dxa" w:w="30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Leg</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Great-circle km</w:t>
            </w:r>
          </w:p>
        </w:tc>
        <w:tc>
          <w:tcPr>
            <w:tcW w:type="dxa" w:w="11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Haul</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km incl. 8% uplift</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Factor (kg/p-km)</w:t>
            </w:r>
          </w:p>
        </w:tc>
        <w:tc>
          <w:tcPr>
            <w:tcW w:type="dxa" w:w="12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w:t>
            </w:r>
          </w:p>
        </w:tc>
      </w:tr>
      <w:tr>
        <w:trPr>
          <w:cantSplit/>
        </w:trPr>
        <w:tc>
          <w:tcPr>
            <w:tcW w:type="dxa" w:w="3012"/>
            <w:tcMar>
              <w:top w:type="dxa" w:w="50"/>
              <w:left w:type="dxa" w:w="90"/>
              <w:bottom w:type="dxa" w:w="50"/>
              <w:right w:type="dxa" w:w="90"/>
            </w:tcMar>
            <w:vAlign w:val="center"/>
          </w:tcPr>
          <w:p>
            <w:pPr>
              <w:spacing w:after="0" w:line="240"/>
              <w:jc w:val="left"/>
            </w:pPr>
            <w:r>
              <w:rPr>
                <w:b w:val="false"/>
                <w:bCs w:val="false"/>
                <w:sz w:val="16"/>
                <w:szCs w:val="16"/>
              </w:rPr>
              <w:t xml:space="preserve">Hong Kong (HKG) - Delhi (DEL)</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3,747</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Long-haul</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4,047</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0.11704</w:t>
            </w:r>
          </w:p>
        </w:tc>
        <w:tc>
          <w:tcPr>
            <w:tcW w:type="dxa" w:w="1200"/>
            <w:tcMar>
              <w:top w:type="dxa" w:w="50"/>
              <w:left w:type="dxa" w:w="90"/>
              <w:bottom w:type="dxa" w:w="50"/>
              <w:right w:type="dxa" w:w="90"/>
            </w:tcMar>
            <w:vAlign w:val="center"/>
          </w:tcPr>
          <w:p>
            <w:pPr>
              <w:spacing w:after="0" w:line="240"/>
              <w:jc w:val="right"/>
            </w:pPr>
            <w:r>
              <w:rPr>
                <w:b w:val="false"/>
                <w:bCs w:val="false"/>
                <w:sz w:val="16"/>
                <w:szCs w:val="16"/>
              </w:rPr>
              <w:t xml:space="preserve">474</w:t>
            </w:r>
          </w:p>
        </w:tc>
      </w:tr>
      <w:tr>
        <w:trPr>
          <w:cantSplit/>
        </w:trPr>
        <w:tc>
          <w:tcPr>
            <w:tcW w:type="dxa" w:w="3012"/>
            <w:tcMar>
              <w:top w:type="dxa" w:w="50"/>
              <w:left w:type="dxa" w:w="90"/>
              <w:bottom w:type="dxa" w:w="50"/>
              <w:right w:type="dxa" w:w="90"/>
            </w:tcMar>
            <w:vAlign w:val="center"/>
          </w:tcPr>
          <w:p>
            <w:pPr>
              <w:spacing w:after="0" w:line="240"/>
              <w:jc w:val="left"/>
            </w:pPr>
            <w:r>
              <w:rPr>
                <w:b w:val="false"/>
                <w:bCs w:val="false"/>
                <w:sz w:val="16"/>
                <w:szCs w:val="16"/>
              </w:rPr>
              <w:t xml:space="preserve">Delhi (DEL) - Hong Kong (HKG)</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3,747</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Long-haul</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4,047</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0.11704</w:t>
            </w:r>
          </w:p>
        </w:tc>
        <w:tc>
          <w:tcPr>
            <w:tcW w:type="dxa" w:w="1200"/>
            <w:tcMar>
              <w:top w:type="dxa" w:w="50"/>
              <w:left w:type="dxa" w:w="90"/>
              <w:bottom w:type="dxa" w:w="50"/>
              <w:right w:type="dxa" w:w="90"/>
            </w:tcMar>
            <w:vAlign w:val="center"/>
          </w:tcPr>
          <w:p>
            <w:pPr>
              <w:spacing w:after="0" w:line="240"/>
              <w:jc w:val="right"/>
            </w:pPr>
            <w:r>
              <w:rPr>
                <w:b w:val="false"/>
                <w:bCs w:val="false"/>
                <w:sz w:val="16"/>
                <w:szCs w:val="16"/>
              </w:rPr>
              <w:t xml:space="preserve">474</w:t>
            </w:r>
          </w:p>
        </w:tc>
      </w:tr>
      <w:tr>
        <w:trPr>
          <w:cantSplit/>
        </w:trPr>
        <w:tc>
          <w:tcPr>
            <w:tcW w:type="dxa" w:w="3012"/>
            <w:tcMar>
              <w:top w:type="dxa" w:w="50"/>
              <w:left w:type="dxa" w:w="90"/>
              <w:bottom w:type="dxa" w:w="50"/>
              <w:right w:type="dxa" w:w="90"/>
            </w:tcMar>
            <w:vAlign w:val="center"/>
          </w:tcPr>
          <w:p>
            <w:pPr>
              <w:spacing w:after="0" w:line="240"/>
              <w:jc w:val="left"/>
            </w:pPr>
            <w:r>
              <w:rPr>
                <w:b w:val="false"/>
                <w:bCs w:val="false"/>
                <w:sz w:val="16"/>
                <w:szCs w:val="16"/>
              </w:rPr>
              <w:t xml:space="preserve">Delhi (DEL) - Goa (GOI)</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1,503</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Short-haul</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1,623</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0.12580</w:t>
            </w:r>
          </w:p>
        </w:tc>
        <w:tc>
          <w:tcPr>
            <w:tcW w:type="dxa" w:w="1200"/>
            <w:tcMar>
              <w:top w:type="dxa" w:w="50"/>
              <w:left w:type="dxa" w:w="90"/>
              <w:bottom w:type="dxa" w:w="50"/>
              <w:right w:type="dxa" w:w="90"/>
            </w:tcMar>
            <w:vAlign w:val="center"/>
          </w:tcPr>
          <w:p>
            <w:pPr>
              <w:spacing w:after="0" w:line="240"/>
              <w:jc w:val="right"/>
            </w:pPr>
            <w:r>
              <w:rPr>
                <w:b w:val="false"/>
                <w:bCs w:val="false"/>
                <w:sz w:val="16"/>
                <w:szCs w:val="16"/>
              </w:rPr>
              <w:t xml:space="preserve">204</w:t>
            </w:r>
          </w:p>
        </w:tc>
      </w:tr>
      <w:tr>
        <w:trPr>
          <w:cantSplit/>
        </w:trPr>
        <w:tc>
          <w:tcPr>
            <w:tcW w:type="dxa" w:w="3012"/>
            <w:tcMar>
              <w:top w:type="dxa" w:w="50"/>
              <w:left w:type="dxa" w:w="90"/>
              <w:bottom w:type="dxa" w:w="50"/>
              <w:right w:type="dxa" w:w="90"/>
            </w:tcMar>
            <w:vAlign w:val="center"/>
          </w:tcPr>
          <w:p>
            <w:pPr>
              <w:spacing w:after="0" w:line="240"/>
              <w:jc w:val="left"/>
            </w:pPr>
            <w:r>
              <w:rPr>
                <w:b w:val="false"/>
                <w:bCs w:val="false"/>
                <w:sz w:val="16"/>
                <w:szCs w:val="16"/>
              </w:rPr>
              <w:t xml:space="preserve">Goa (GOI) - Hong Kong (HKG)</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4,276</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Long-haul</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4,618</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0.11704</w:t>
            </w:r>
          </w:p>
        </w:tc>
        <w:tc>
          <w:tcPr>
            <w:tcW w:type="dxa" w:w="1200"/>
            <w:tcMar>
              <w:top w:type="dxa" w:w="50"/>
              <w:left w:type="dxa" w:w="90"/>
              <w:bottom w:type="dxa" w:w="50"/>
              <w:right w:type="dxa" w:w="90"/>
            </w:tcMar>
            <w:vAlign w:val="center"/>
          </w:tcPr>
          <w:p>
            <w:pPr>
              <w:spacing w:after="0" w:line="240"/>
              <w:jc w:val="right"/>
            </w:pPr>
            <w:r>
              <w:rPr>
                <w:b w:val="false"/>
                <w:bCs w:val="false"/>
                <w:sz w:val="16"/>
                <w:szCs w:val="16"/>
              </w:rPr>
              <w:t xml:space="preserve">540</w:t>
            </w:r>
          </w:p>
        </w:tc>
      </w:tr>
    </w:tbl>
    <w:p>
      <w:pPr>
        <w:keepNext/>
        <w:spacing w:after="40" w:before="120"/>
        <w:jc w:val="center"/>
      </w:pPr>
      <w:r>
        <w:drawing>
          <wp:inline distT="0" distB="0" distL="0" distR="0">
            <wp:extent cx="581025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1752600"/>
                    </a:xfrm>
                    <a:prstGeom prst="rect">
                      <a:avLst/>
                    </a:prstGeom>
                  </pic:spPr>
                </pic:pic>
              </a:graphicData>
            </a:graphic>
          </wp:inline>
        </w:drawing>
      </w:r>
    </w:p>
    <w:p>
      <w:pPr>
        <w:spacing w:after="200" w:before="60"/>
        <w:jc w:val="center"/>
      </w:pPr>
      <w:r>
        <w:rPr>
          <w:b w:val="false"/>
          <w:bCs w:val="false"/>
          <w:i/>
          <w:iCs/>
          <w:color w:val="52514E"/>
          <w:sz w:val="17"/>
          <w:szCs w:val="17"/>
        </w:rPr>
        <w:t xml:space="preserve">Figure 7.2: The auditor's annual footprint: home energy is a small part</w:t>
      </w:r>
    </w:p>
    <w:p>
      <w:pPr>
        <w:keepNext/>
        <w:spacing w:after="40" w:before="0" w:line="276"/>
        <w:jc w:val="both"/>
      </w:pPr>
      <w:r>
        <w:rPr>
          <w:b w:val="false"/>
          <w:bCs w:val="false"/>
        </w:rPr>
        <w:t xml:space="preserve">The auditor's total is about </w:t>
      </w:r>
      <w:r>
        <w:rPr>
          <w:b/>
          <w:bCs/>
        </w:rPr>
        <w:t xml:space="preserve">5.1 t </w:t>
      </w:r>
      <w:r>
        <w:rPr>
          <w:b/>
          <w:bCs/>
        </w:rPr>
        <w:t xml:space="preserve">CO</w:t>
      </w:r>
      <w:r>
        <w:rPr>
          <w:b/>
          <w:bCs/>
          <w:vertAlign w:val="subscript"/>
        </w:rPr>
        <w:t xml:space="preserve">2</w:t>
      </w:r>
      <w:r>
        <w:rPr>
          <w:b/>
          <w:bCs/>
        </w:rPr>
        <w:t xml:space="preserve">e/yr</w:t>
      </w:r>
      <w:r>
        <w:rPr>
          <w:b w:val="false"/>
          <w:bCs w:val="false"/>
        </w:rPr>
        <w:t xml:space="preserve">, 1.11 × Hong Kong's per-capita figure of 4.58 t [10]. That figure is a territorial inventory, which excludes international aviation and the emissions embodied in imported food, so the comparison is indicative only. The key insight is proportion:</w:t>
      </w:r>
    </w:p>
    <w:p>
      <w:pPr>
        <w:pStyle w:val="ListParagraph"/>
        <w:numPr>
          <w:ilvl w:val="0"/>
          <w:numId w:val="2"/>
        </w:numPr>
        <w:spacing w:after="60" w:line="264"/>
      </w:pPr>
      <w:r>
        <w:rPr>
          <w:b w:val="false"/>
          <w:bCs w:val="false"/>
        </w:rPr>
        <w:t xml:space="preserve">diet (41%) and flights (33%) outweigh the home's energy and water (9%);</w:t>
      </w:r>
    </w:p>
    <w:p>
      <w:pPr>
        <w:pStyle w:val="ListParagraph"/>
        <w:numPr>
          <w:ilvl w:val="0"/>
          <w:numId w:val="2"/>
        </w:numPr>
        <w:spacing w:after="60" w:line="264"/>
      </w:pPr>
      <w:r>
        <w:rPr>
          <w:b w:val="false"/>
          <w:bCs w:val="false"/>
        </w:rPr>
        <w:t xml:space="preserve">the same pattern of Scope 3 dominance is typical of corporate footprints.</w:t>
      </w:r>
    </w:p>
    <w:p>
      <w:pPr>
        <w:pStyle w:val="Heading1"/>
        <w:pageBreakBefore/>
      </w:pPr>
      <w:r>
        <w:rPr>
          <w:b w:val="false"/>
          <w:bCs w:val="false"/>
        </w:rPr>
        <w:t xml:space="preserve">8  Walk-through findings (EAC §7.4.5, §8.1(i))</w:t>
      </w:r>
    </w:p>
    <w:p>
      <w:pPr>
        <w:spacing w:after="40" w:before="0" w:line="276"/>
        <w:jc w:val="both"/>
      </w:pPr>
      <w:r>
        <w:rPr>
          <w:b w:val="false"/>
          <w:bCs w:val="false"/>
        </w:rPr>
        <w:t xml:space="preserve">The site inspection was structured around the four kinds of obvious saving opportunity listed in EAC §7.4.5:</w:t>
      </w:r>
    </w:p>
    <w:p>
      <w:pPr>
        <w:pStyle w:val="ListParagraph"/>
        <w:numPr>
          <w:ilvl w:val="0"/>
          <w:numId w:val="2"/>
        </w:numPr>
        <w:spacing w:after="60" w:line="264"/>
      </w:pPr>
      <w:r>
        <w:rPr>
          <w:b w:val="false"/>
          <w:bCs w:val="false"/>
        </w:rPr>
        <w:t xml:space="preserve">(a) maintenance condition;</w:t>
      </w:r>
    </w:p>
    <w:p>
      <w:pPr>
        <w:pStyle w:val="ListParagraph"/>
        <w:numPr>
          <w:ilvl w:val="0"/>
          <w:numId w:val="2"/>
        </w:numPr>
        <w:spacing w:after="60" w:line="264"/>
      </w:pPr>
      <w:r>
        <w:rPr>
          <w:b w:val="false"/>
          <w:bCs w:val="false"/>
        </w:rPr>
        <w:t xml:space="preserve">(b) excessive provision of temperature, light or flow;</w:t>
      </w:r>
    </w:p>
    <w:p>
      <w:pPr>
        <w:pStyle w:val="ListParagraph"/>
        <w:numPr>
          <w:ilvl w:val="0"/>
          <w:numId w:val="2"/>
        </w:numPr>
        <w:spacing w:after="60" w:line="264"/>
      </w:pPr>
      <w:r>
        <w:rPr>
          <w:b w:val="false"/>
          <w:bCs w:val="false"/>
        </w:rPr>
        <w:t xml:space="preserve">(c) occupant behaviour;</w:t>
      </w:r>
    </w:p>
    <w:p>
      <w:pPr>
        <w:pStyle w:val="ListParagraph"/>
        <w:numPr>
          <w:ilvl w:val="0"/>
          <w:numId w:val="2"/>
        </w:numPr>
        <w:spacing w:after="60" w:line="264"/>
      </w:pPr>
      <w:r>
        <w:rPr>
          <w:b w:val="false"/>
          <w:bCs w:val="false"/>
        </w:rPr>
        <w:t xml:space="preserve">(d) match of operating schedules to need.</w:t>
      </w:r>
    </w:p>
    <w:p>
      <w:pPr>
        <w:spacing w:after="120" w:before="40" w:line="276"/>
        <w:jc w:val="both"/>
      </w:pPr>
      <w:r>
        <w:rPr>
          <w:b w:val="false"/>
          <w:bCs w:val="false"/>
        </w:rPr>
        <w:t xml:space="preserve">It also covered the building characteristics listed in §7.3.1(k).</w:t>
      </w:r>
    </w:p>
    <w:p>
      <w:pPr>
        <w:keepNext/>
        <w:spacing w:after="80" w:before="160"/>
      </w:pPr>
      <w:r>
        <w:rPr>
          <w:b/>
          <w:bCs/>
          <w:color w:val="1F3864"/>
          <w:sz w:val="18"/>
          <w:szCs w:val="18"/>
        </w:rPr>
        <w:t xml:space="preserve">Table 8.1: Findings from the walk-through</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560"/>
        <w:gridCol w:w="4000"/>
        <w:gridCol w:w="1250"/>
        <w:gridCol w:w="1700"/>
        <w:gridCol w:w="1902"/>
      </w:tblGrid>
      <w:tr>
        <w:trPr>
          <w:tblHeader/>
        </w:trPr>
        <w:tc>
          <w:tcPr>
            <w:tcW w:type="dxa" w:w="56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No.</w:t>
            </w:r>
          </w:p>
        </w:tc>
        <w:tc>
          <w:tcPr>
            <w:tcW w:type="dxa" w:w="40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Finding</w:t>
            </w:r>
          </w:p>
        </w:tc>
        <w:tc>
          <w:tcPr>
            <w:tcW w:type="dxa" w:w="125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EAC clause</w:t>
            </w:r>
          </w:p>
        </w:tc>
        <w:tc>
          <w:tcPr>
            <w:tcW w:type="dxa" w:w="17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Evidence</w:t>
            </w:r>
          </w:p>
        </w:tc>
        <w:tc>
          <w:tcPr>
            <w:tcW w:type="dxa" w:w="1902"/>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Leads to</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F1</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Dark deposits (dust/mould) on the AC discharge louvres; filter last cleaned 2 months ago</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7.4.5(a)</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 03b</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EMO-03, EMO-16</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F2</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AC set at 25 °C and run all night (12 h/day in hot months) while the occupants sleep; AC also used 4 h/day in the cool months, including December-February when the mean temperature is 16.5-18.2 °C</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7.4.5(b), (d)</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Questionnaire Q19-20; HKO normals</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EMO-01, EMO-02, EMO-04</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F3</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Washroom exhaust fan runs 24 h/day regardless of occupancy</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7.4.5(d), 7.4.6(a)</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 08d, Q35</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EMO-11</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F4</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Kitchen AC (7 kW) left on for 8 h or more; no one is responsible for switching it off</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7.4.5(c), (d)</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 09f, Q46</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EMO-12</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F5</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Water dispenser keeps 10 L at 98 °C and an ice tank around the clock; SRO already schedules a weekly auto-clean</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7.4.6(a)</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 09b</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EMO-13</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F6</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Single glazing in a dark aluminium frame facing NW: late-afternoon solar gain in summer</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7.3.1(k)</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Photos 02a-02c</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EMO-03, EMO-20</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F7</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Lighting is all-LED and washroom lights are on occupancy sensors (good practice), but the kitchen lights are manually switched and burn about 16 h/day</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7.4.1(e), 7.4.5(c)</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Photos 05a, 08b</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EMO-05, EMO-15</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F8</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AC, refrigerators and kitchen AC are all Grade 1 labelled; operation, not equipment, drives energy use</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7.4.4(a)</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Photos 03a, 09g, 09i</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EMO-19 not viable</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F9</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24.4 kW instantaneous shower heater: no standing loss but very high peak demand</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7.4.4(a)</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Photos 08a, 08e</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EMO-18</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F10</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Shower flow and temperature are not displayed; heater dial setting not legible</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7.4.5(b)</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Photo 08a</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EMO-06, -07, -14</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F11</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Personal routines with easy savings: laundry tumble-dried after every wash, laptops on default power settings for 8 h/day, cooking 3 times a week</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7.4.5(c)</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Questionnaire F27, I37, J39</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EMO-08, -09, -10</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F12</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No metering of non-AC loads, which limits measurement and verification</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7.3.1(h), 7.5.7, 7.6.3</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EMO-17</w:t>
            </w:r>
          </w:p>
        </w:tc>
      </w:tr>
      <w:tr>
        <w:trPr>
          <w:cantSplit/>
        </w:trPr>
        <w:tc>
          <w:tcPr>
            <w:tcW w:type="dxa" w:w="560"/>
            <w:tcMar>
              <w:top w:type="dxa" w:w="50"/>
              <w:left w:type="dxa" w:w="90"/>
              <w:bottom w:type="dxa" w:w="50"/>
              <w:right w:type="dxa" w:w="90"/>
            </w:tcMar>
            <w:vAlign w:val="center"/>
          </w:tcPr>
          <w:p>
            <w:pPr>
              <w:spacing w:after="0" w:line="240"/>
              <w:jc w:val="left"/>
            </w:pPr>
            <w:r>
              <w:rPr>
                <w:b w:val="false"/>
                <w:bCs w:val="false"/>
                <w:sz w:val="15"/>
                <w:szCs w:val="15"/>
              </w:rPr>
              <w:t xml:space="preserve">F13</w:t>
            </w:r>
          </w:p>
        </w:tc>
        <w:tc>
          <w:tcPr>
            <w:tcW w:type="dxa" w:w="4000"/>
            <w:tcMar>
              <w:top w:type="dxa" w:w="50"/>
              <w:left w:type="dxa" w:w="90"/>
              <w:bottom w:type="dxa" w:w="50"/>
              <w:right w:type="dxa" w:w="90"/>
            </w:tcMar>
            <w:vAlign w:val="center"/>
          </w:tcPr>
          <w:p>
            <w:pPr>
              <w:spacing w:after="0" w:line="240"/>
              <w:jc w:val="left"/>
            </w:pPr>
            <w:r>
              <w:rPr>
                <w:b w:val="false"/>
                <w:bCs w:val="false"/>
                <w:sz w:val="15"/>
                <w:szCs w:val="15"/>
              </w:rPr>
              <w:t xml:space="preserve">Good habits already in place: devices unplugged overnight, paper recycled, filtered tap water instead of bottled water</w:t>
            </w:r>
          </w:p>
        </w:tc>
        <w:tc>
          <w:tcPr>
            <w:tcW w:type="dxa" w:w="1250"/>
            <w:tcMar>
              <w:top w:type="dxa" w:w="50"/>
              <w:left w:type="dxa" w:w="90"/>
              <w:bottom w:type="dxa" w:w="50"/>
              <w:right w:type="dxa" w:w="90"/>
            </w:tcMar>
            <w:vAlign w:val="center"/>
          </w:tcPr>
          <w:p>
            <w:pPr>
              <w:spacing w:after="0" w:line="240"/>
              <w:jc w:val="left"/>
            </w:pPr>
            <w:r>
              <w:rPr>
                <w:b w:val="false"/>
                <w:bCs w:val="false"/>
                <w:sz w:val="15"/>
                <w:szCs w:val="15"/>
              </w:rPr>
              <w:t xml:space="preserve">7.4.5(c)</w:t>
            </w:r>
          </w:p>
        </w:tc>
        <w:tc>
          <w:tcPr>
            <w:tcW w:type="dxa" w:w="1700"/>
            <w:tcMar>
              <w:top w:type="dxa" w:w="50"/>
              <w:left w:type="dxa" w:w="90"/>
              <w:bottom w:type="dxa" w:w="50"/>
              <w:right w:type="dxa" w:w="90"/>
            </w:tcMar>
            <w:vAlign w:val="center"/>
          </w:tcPr>
          <w:p>
            <w:pPr>
              <w:spacing w:after="0" w:line="240"/>
              <w:jc w:val="left"/>
            </w:pPr>
            <w:r>
              <w:rPr>
                <w:b w:val="false"/>
                <w:bCs w:val="false"/>
                <w:sz w:val="15"/>
                <w:szCs w:val="15"/>
              </w:rPr>
              <w:t xml:space="preserve">Questionnaire</w:t>
            </w:r>
          </w:p>
        </w:tc>
        <w:tc>
          <w:tcPr>
            <w:tcW w:type="dxa" w:w="1902"/>
            <w:tcMar>
              <w:top w:type="dxa" w:w="50"/>
              <w:left w:type="dxa" w:w="90"/>
              <w:bottom w:type="dxa" w:w="50"/>
              <w:right w:type="dxa" w:w="90"/>
            </w:tcMar>
            <w:vAlign w:val="center"/>
          </w:tcPr>
          <w:p>
            <w:pPr>
              <w:spacing w:after="0" w:line="240"/>
              <w:jc w:val="left"/>
            </w:pPr>
            <w:r>
              <w:rPr>
                <w:b w:val="false"/>
                <w:bCs w:val="false"/>
                <w:sz w:val="15"/>
                <w:szCs w:val="15"/>
              </w:rPr>
              <w:t xml:space="preserve">Maintain</w:t>
            </w:r>
          </w:p>
        </w:tc>
      </w:tr>
    </w:tbl>
    <w:p>
      <w:pPr>
        <w:spacing w:after="8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rPr>
          <w:cantSplit/>
        </w:trPr>
        <w:tc>
          <w:tcPr>
            <w:tcW w:type="dxa" w:w="9412"/>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3137"/>
              <w:gridCol w:w="3137"/>
              <w:gridCol w:w="3138"/>
            </w:tblGrid>
            <w:tr>
              <w:trPr>
                <w:cantSplit/>
              </w:trPr>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876425"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876425" cy="140970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09f: kitchen AC (F4)</w:t>
                  </w:r>
                </w:p>
              </w:tc>
              <w:tc>
                <w:tcPr>
                  <w:tcW w:type="dxa" w:w="3137"/>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28587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285875" cy="171450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09b: dispenser at 98 °C (F5)</w:t>
                  </w:r>
                </w:p>
              </w:tc>
              <w:tc>
                <w:tcPr>
                  <w:tcW w:type="dxa" w:w="3138"/>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28587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285875" cy="171450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Photo 08c: washroom fan and light (F3)</w:t>
                  </w:r>
                </w:p>
              </w:tc>
            </w:tr>
          </w:tbl>
          <w:p>
            <w:pPr>
              <w:spacing w:after="200" w:before="60"/>
              <w:jc w:val="center"/>
            </w:pPr>
            <w:r>
              <w:rPr>
                <w:b w:val="false"/>
                <w:bCs w:val="false"/>
                <w:i/>
                <w:iCs/>
                <w:color w:val="52514E"/>
                <w:sz w:val="17"/>
                <w:szCs w:val="17"/>
              </w:rPr>
              <w:t xml:space="preserve">Figure 8.1: Evidence for findings F3-F5</w:t>
            </w:r>
          </w:p>
        </w:tc>
      </w:tr>
    </w:tbl>
    <w:p>
      <w:pPr>
        <w:pStyle w:val="Heading1"/>
        <w:pageBreakBefore/>
      </w:pPr>
      <w:r>
        <w:rPr>
          <w:b w:val="false"/>
          <w:bCs w:val="false"/>
        </w:rPr>
        <w:t xml:space="preserve">9  Energy Management Opportunities (EAC §6.2, §7.4-7.5)</w:t>
      </w:r>
    </w:p>
    <w:p>
      <w:pPr>
        <w:keepNext/>
        <w:spacing w:after="40" w:before="0" w:line="276"/>
        <w:jc w:val="both"/>
      </w:pPr>
      <w:r>
        <w:rPr>
          <w:b w:val="false"/>
          <w:bCs w:val="false"/>
        </w:rPr>
        <w:t xml:space="preserve">21 EMOs were identified and classified using the EAC categories [1]:</w:t>
      </w:r>
    </w:p>
    <w:p>
      <w:pPr>
        <w:pStyle w:val="ListParagraph"/>
        <w:numPr>
          <w:ilvl w:val="0"/>
          <w:numId w:val="2"/>
        </w:numPr>
        <w:spacing w:after="60" w:line="264"/>
      </w:pPr>
      <w:r>
        <w:rPr>
          <w:b/>
          <w:bCs/>
        </w:rPr>
        <w:t xml:space="preserve">Category I</w:t>
      </w:r>
      <w:r>
        <w:rPr>
          <w:b w:val="false"/>
          <w:bCs w:val="false"/>
        </w:rPr>
        <w:t xml:space="preserve"> (10 EMOs): housekeeping with practically no cost;</w:t>
      </w:r>
    </w:p>
    <w:p>
      <w:pPr>
        <w:pStyle w:val="ListParagraph"/>
        <w:numPr>
          <w:ilvl w:val="0"/>
          <w:numId w:val="2"/>
        </w:numPr>
        <w:spacing w:after="60" w:line="264"/>
      </w:pPr>
      <w:r>
        <w:rPr>
          <w:b/>
          <w:bCs/>
        </w:rPr>
        <w:t xml:space="preserve">Category II</w:t>
      </w:r>
      <w:r>
        <w:rPr>
          <w:b w:val="false"/>
          <w:bCs w:val="false"/>
        </w:rPr>
        <w:t xml:space="preserve"> (7): operational changes with relatively low cost;</w:t>
      </w:r>
    </w:p>
    <w:p>
      <w:pPr>
        <w:pStyle w:val="ListParagraph"/>
        <w:numPr>
          <w:ilvl w:val="0"/>
          <w:numId w:val="2"/>
        </w:numPr>
        <w:spacing w:after="120" w:line="264"/>
      </w:pPr>
      <w:r>
        <w:rPr>
          <w:b/>
          <w:bCs/>
        </w:rPr>
        <w:t xml:space="preserve">Category III</w:t>
      </w:r>
      <w:r>
        <w:rPr>
          <w:b w:val="false"/>
          <w:bCs w:val="false"/>
        </w:rPr>
        <w:t xml:space="preserve"> (4): higher capital investment.</w:t>
      </w:r>
    </w:p>
    <w:p>
      <w:pPr>
        <w:spacing w:after="120" w:before="0" w:line="276"/>
        <w:jc w:val="both"/>
      </w:pPr>
      <w:r>
        <w:rPr>
          <w:b w:val="false"/>
          <w:bCs w:val="false"/>
        </w:rPr>
        <w:t xml:space="preserve">They are also typed as in EE-EAes Part 3: LG lighting (2), AC air-conditioning (9), EL electrical (2), LE lift/escalator (0) and others (8).</w:t>
      </w:r>
    </w:p>
    <w:p>
      <w:pPr>
        <w:keepNext/>
        <w:spacing w:after="40" w:before="0" w:line="276"/>
        <w:jc w:val="both"/>
      </w:pPr>
      <w:r>
        <w:rPr>
          <w:b w:val="false"/>
          <w:bCs w:val="false"/>
        </w:rPr>
        <w:t xml:space="preserve">Savings are priced at HK$1.406/kWh and converted to </w:t>
      </w:r>
      <w:r>
        <w:rPr>
          <w:b w:val="false"/>
          <w:bCs w:val="false"/>
        </w:rPr>
        <w:t xml:space="preserve">CO</w:t>
      </w:r>
      <w:r>
        <w:rPr>
          <w:b w:val="false"/>
          <w:bCs w:val="false"/>
          <w:vertAlign w:val="subscript"/>
        </w:rPr>
        <w:t xml:space="preserve">2</w:t>
      </w:r>
      <w:r>
        <w:rPr>
          <w:b w:val="false"/>
          <w:bCs w:val="false"/>
        </w:rPr>
        <w:t xml:space="preserve">e with the CLP 2025 factor. Capital costs are indicative and should be confirmed by quotation. For each EMO with a cost, the cost-benefit analysis gives the simple payback and the life-cycle measures that EAC §7.5.4 asks for. These assume a 4% real discount rate and savings that decline by 1% a year over the service life:</w:t>
      </w:r>
    </w:p>
    <w:p>
      <w:pPr>
        <w:pStyle w:val="ListParagraph"/>
        <w:numPr>
          <w:ilvl w:val="0"/>
          <w:numId w:val="2"/>
        </w:numPr>
        <w:spacing w:after="60" w:line="264"/>
      </w:pPr>
      <w:r>
        <w:rPr>
          <w:b w:val="false"/>
          <w:bCs w:val="false"/>
        </w:rPr>
        <w:t xml:space="preserve">the net present value (NPV);</w:t>
      </w:r>
    </w:p>
    <w:p>
      <w:pPr>
        <w:pStyle w:val="ListParagraph"/>
        <w:numPr>
          <w:ilvl w:val="0"/>
          <w:numId w:val="2"/>
        </w:numPr>
        <w:spacing w:after="60" w:line="264"/>
      </w:pPr>
      <w:r>
        <w:rPr>
          <w:b w:val="false"/>
          <w:bCs w:val="false"/>
        </w:rPr>
        <w:t xml:space="preserve">the savings-to-investment ratio (SIR, above 1 = worthwhile);</w:t>
      </w:r>
    </w:p>
    <w:p>
      <w:pPr>
        <w:pStyle w:val="ListParagraph"/>
        <w:numPr>
          <w:ilvl w:val="0"/>
          <w:numId w:val="2"/>
        </w:numPr>
        <w:spacing w:after="60" w:line="264"/>
      </w:pPr>
      <w:r>
        <w:rPr>
          <w:b w:val="false"/>
          <w:bCs w:val="false"/>
        </w:rPr>
        <w:t xml:space="preserve">the cost of saved energy (CSE), compared with the tariff.</w:t>
      </w:r>
    </w:p>
    <w:p>
      <w:pPr>
        <w:spacing w:after="120" w:before="0" w:line="276"/>
        <w:jc w:val="both"/>
      </w:pPr>
      <w:r>
        <w:rPr>
          <w:b w:val="false"/>
          <w:bCs w:val="false"/>
        </w:rPr>
        <w:t xml:space="preserve">Three EMOs go beyond the usual checklist. EMO-04 recognises that a Hong Kong winter needs no mechanical cooling. EMO-10 replaces the tumble dryer with Hong Kong's traditional air-drying. EMO-15 extends the washroom's sensor control to the kitchen. The register also separates what the occupants can do (Category I) from what only the hall can do, because more than half of the household's energy is used in shared facilities.</w:t>
      </w:r>
    </w:p>
    <w:p>
      <w:pPr>
        <w:keepNext/>
        <w:spacing w:after="80" w:before="160"/>
      </w:pPr>
      <w:r>
        <w:rPr>
          <w:b/>
          <w:bCs/>
          <w:color w:val="1F3864"/>
          <w:sz w:val="18"/>
          <w:szCs w:val="18"/>
        </w:rPr>
        <w:t xml:space="preserve">Table 9.1: EMO register (household share of savings)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760"/>
        <w:gridCol w:w="500"/>
        <w:gridCol w:w="640"/>
        <w:gridCol w:w="3220"/>
        <w:gridCol w:w="760"/>
        <w:gridCol w:w="760"/>
        <w:gridCol w:w="800"/>
        <w:gridCol w:w="1000"/>
        <w:gridCol w:w="972"/>
      </w:tblGrid>
      <w:tr>
        <w:trPr>
          <w:tblHeader/>
        </w:trPr>
        <w:tc>
          <w:tcPr>
            <w:tcW w:type="dxa" w:w="76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Ref</w:t>
            </w:r>
          </w:p>
        </w:tc>
        <w:tc>
          <w:tcPr>
            <w:tcW w:type="dxa" w:w="500"/>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Cat.</w:t>
            </w:r>
          </w:p>
        </w:tc>
        <w:tc>
          <w:tcPr>
            <w:tcW w:type="dxa" w:w="640"/>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Type</w:t>
            </w:r>
          </w:p>
        </w:tc>
        <w:tc>
          <w:tcPr>
            <w:tcW w:type="dxa" w:w="322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Energy Management Opportunity</w:t>
            </w:r>
          </w:p>
        </w:tc>
        <w:tc>
          <w:tcPr>
            <w:tcW w:type="dxa" w:w="76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kWh/yr</w:t>
            </w:r>
          </w:p>
        </w:tc>
        <w:tc>
          <w:tcPr>
            <w:tcW w:type="dxa" w:w="76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HK$/yr</w:t>
            </w:r>
          </w:p>
        </w:tc>
        <w:tc>
          <w:tcPr>
            <w:tcW w:type="dxa" w:w="80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Cost HK$</w:t>
            </w:r>
          </w:p>
        </w:tc>
        <w:tc>
          <w:tcPr>
            <w:tcW w:type="dxa" w:w="100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Payback (yr)</w:t>
            </w:r>
          </w:p>
        </w:tc>
        <w:tc>
          <w:tcPr>
            <w:tcW w:type="dxa" w:w="972"/>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kg </w:t>
            </w:r>
            <w:r>
              <w:rPr>
                <w:b/>
                <w:bCs/>
                <w:color w:val="1F3864"/>
                <w:sz w:val="14"/>
                <w:szCs w:val="14"/>
              </w:rPr>
              <w:t xml:space="preserve">CO</w:t>
            </w:r>
            <w:r>
              <w:rPr>
                <w:b/>
                <w:bCs/>
                <w:color w:val="1F3864"/>
                <w:sz w:val="14"/>
                <w:szCs w:val="14"/>
                <w:vertAlign w:val="subscript"/>
              </w:rPr>
              <w:t xml:space="preserve">2</w:t>
            </w:r>
            <w:r>
              <w:rPr>
                <w:b/>
                <w:bCs/>
                <w:color w:val="1F3864"/>
                <w:sz w:val="14"/>
                <w:szCs w:val="14"/>
              </w:rPr>
              <w:t xml:space="preserve">e/yr</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EMO-01</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Raise the AC set-point from 25 °C to 26 °C and keep the 20 W desk fan running for air movement</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24</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34</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8</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EMO-02</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Use the AC's built-in timer to switch off 2 h before waking in hot months (12 to 10 h/day)</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100</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140</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34</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EMO-03</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Clean the AC filter fortnightly in summer, wipe the soiled louvres, close the curtain against late-afternoon NW sun</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41</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57</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14</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EMO-04</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Cool-season 'fan first': no AC cooling in December-February (HKO mean 16.5-18.2 °C); use the desk fan and open window, Dry mode only on humid days</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107</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150</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36</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EMO-05</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LG</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Use the desk task lights instead of both ceiling battens for 3 of the 6 lit hours</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44</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62</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15</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EMO-06</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Shorten showers from 5 to 4 minutes (phone timer or a 4-minute song)</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127</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178</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43</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EMO-07</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Lower the delivered shower temperature from 40 °C to 38 °C (turn the heater dial down rather than mixing cold water)</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77</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108</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26</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EMO-08</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EL</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Laptop power management: lower brightness, sleep after 10 min idle, battery-saver mode</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28</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40</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10</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EMO-09</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Cook with lids, match pan to the induction zone, batch-cook two meals per session</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62</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88</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21</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EMO-10</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Air-dry laundry on a rack by the open window instead of tumble-drying (keep the dryer for bulky items in humid spells)</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50</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70</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Immediate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17</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EMO-11</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Washroom exhaust fan: replace 24 h running with an occupancy / humidistat run-on control (~8 h/day)</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88</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123</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800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3.2</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30</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EMO-12</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Kitchen AC: 7-day timer + occupancy interlock, set-point locked at 25.5 °C (8 to 5 h/day hot, 4 to 2 h/day cool)</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33</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46</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1,000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1.4</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11</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EMO-13</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Water dispenser: enable night set-back / timer on hot and ice tanks (00:00-06:00)</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9</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12</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200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1.0</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3</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EMO-14</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Fit a WELS Grade-1 low-flow showerhead (9 to 7 L/min) in the shared washroom</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141</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198</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250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0.6</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48</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EMO-15</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LG</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Kitchen lighting: two ceiling occupancy (PIR) sensors so lights follow use (16 to 8 h/day)</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16</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23</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600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1.6</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6</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EMO-16</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Annual professional clean of the window-AC coil and louvres (heavy soiling seen in photo 03b)</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24</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34</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400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11.7</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8</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EMO-17</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EL</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Buy a plug-in power meter (about HK$120) to measure the laptop, fan and AC and verify savings (EAC §7.6.3)</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120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n/a</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EMO-18</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Replace 24.4 kW instantaneous shower heaters with central air-source heat-pump water heating (COP about 3.5) and storage</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455</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640</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20,000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15.6</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155</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EMO-19</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Replace the Grade-1 window AC (CSPF 4.66) with a best-in-class split unit (CSPF about 7.5)</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307</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431</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9,000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20.9</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104</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EMO-20</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AC</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Solar-control film on the NW single glazing (1.55 m²)</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16</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23</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800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35.1</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6</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4"/>
                <w:szCs w:val="14"/>
              </w:rPr>
              <w:t xml:space="preserve">EMO-21</w:t>
            </w:r>
          </w:p>
        </w:tc>
        <w:tc>
          <w:tcPr>
            <w:tcW w:type="dxa" w:w="500"/>
            <w:tcMar>
              <w:top w:type="dxa" w:w="50"/>
              <w:left w:type="dxa" w:w="90"/>
              <w:bottom w:type="dxa" w:w="50"/>
              <w:right w:type="dxa" w:w="90"/>
            </w:tcMar>
            <w:vAlign w:val="center"/>
          </w:tcPr>
          <w:p>
            <w:pPr>
              <w:spacing w:after="0" w:line="240"/>
              <w:jc w:val="center"/>
            </w:pPr>
            <w:r>
              <w:rPr>
                <w:b w:val="false"/>
                <w:bCs w:val="false"/>
                <w:sz w:val="14"/>
                <w:szCs w:val="14"/>
              </w:rPr>
              <w:t xml:space="preserve">III</w:t>
            </w:r>
          </w:p>
        </w:tc>
        <w:tc>
          <w:tcPr>
            <w:tcW w:type="dxa" w:w="640"/>
            <w:tcMar>
              <w:top w:type="dxa" w:w="50"/>
              <w:left w:type="dxa" w:w="90"/>
              <w:bottom w:type="dxa" w:w="50"/>
              <w:right w:type="dxa" w:w="90"/>
            </w:tcMar>
            <w:vAlign w:val="center"/>
          </w:tcPr>
          <w:p>
            <w:pPr>
              <w:spacing w:after="0" w:line="240"/>
              <w:jc w:val="center"/>
            </w:pPr>
            <w:r>
              <w:rPr>
                <w:b w:val="false"/>
                <w:bCs w:val="false"/>
                <w:sz w:val="14"/>
                <w:szCs w:val="14"/>
              </w:rPr>
              <w:t xml:space="preserve">Others</w:t>
            </w:r>
          </w:p>
        </w:tc>
        <w:tc>
          <w:tcPr>
            <w:tcW w:type="dxa" w:w="3220"/>
            <w:tcMar>
              <w:top w:type="dxa" w:w="50"/>
              <w:left w:type="dxa" w:w="90"/>
              <w:bottom w:type="dxa" w:w="50"/>
              <w:right w:type="dxa" w:w="90"/>
            </w:tcMar>
            <w:vAlign w:val="center"/>
          </w:tcPr>
          <w:p>
            <w:pPr>
              <w:spacing w:after="0" w:line="240"/>
              <w:jc w:val="left"/>
            </w:pPr>
            <w:r>
              <w:rPr>
                <w:b w:val="false"/>
                <w:bCs w:val="false"/>
                <w:sz w:val="14"/>
                <w:szCs w:val="14"/>
              </w:rPr>
              <w:t xml:space="preserve">Expand rooftop solar PV under the CLP Feed-in Tariff (the village already has 110 panels)</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w:t>
            </w:r>
          </w:p>
        </w:tc>
        <w:tc>
          <w:tcPr>
            <w:tcW w:type="dxa" w:w="760"/>
            <w:tcMar>
              <w:top w:type="dxa" w:w="50"/>
              <w:left w:type="dxa" w:w="90"/>
              <w:bottom w:type="dxa" w:w="50"/>
              <w:right w:type="dxa" w:w="90"/>
            </w:tcMar>
            <w:vAlign w:val="center"/>
          </w:tcPr>
          <w:p>
            <w:pPr>
              <w:spacing w:after="0" w:line="240"/>
              <w:jc w:val="right"/>
            </w:pPr>
            <w:r>
              <w:rPr>
                <w:b w:val="false"/>
                <w:bCs w:val="false"/>
                <w:sz w:val="14"/>
                <w:szCs w:val="14"/>
              </w:rPr>
              <w:t xml:space="preserve">-</w:t>
            </w:r>
          </w:p>
        </w:tc>
        <w:tc>
          <w:tcPr>
            <w:tcW w:type="dxa" w:w="800"/>
            <w:tcMar>
              <w:top w:type="dxa" w:w="50"/>
              <w:left w:type="dxa" w:w="90"/>
              <w:bottom w:type="dxa" w:w="50"/>
              <w:right w:type="dxa" w:w="90"/>
            </w:tcMar>
            <w:vAlign w:val="center"/>
          </w:tcPr>
          <w:p>
            <w:pPr>
              <w:spacing w:after="0" w:line="240"/>
              <w:jc w:val="right"/>
            </w:pPr>
            <w:r>
              <w:rPr>
                <w:b w:val="false"/>
                <w:bCs w:val="false"/>
                <w:sz w:val="14"/>
                <w:szCs w:val="14"/>
              </w:rPr>
              <w:t xml:space="preserve">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w:t>
            </w:r>
          </w:p>
        </w:tc>
        <w:tc>
          <w:tcPr>
            <w:tcW w:type="dxa" w:w="972"/>
            <w:tcMar>
              <w:top w:type="dxa" w:w="50"/>
              <w:left w:type="dxa" w:w="90"/>
              <w:bottom w:type="dxa" w:w="50"/>
              <w:right w:type="dxa" w:w="90"/>
            </w:tcMar>
            <w:vAlign w:val="center"/>
          </w:tcPr>
          <w:p>
            <w:pPr>
              <w:spacing w:after="0" w:line="240"/>
              <w:jc w:val="right"/>
            </w:pPr>
            <w:r>
              <w:rPr>
                <w:b w:val="false"/>
                <w:bCs w:val="false"/>
                <w:sz w:val="14"/>
                <w:szCs w:val="14"/>
              </w:rPr>
              <w:t xml:space="preserve">-</w:t>
            </w:r>
          </w:p>
        </w:tc>
      </w:tr>
    </w:tbl>
    <w:p>
      <w:pPr>
        <w:keepNext/>
        <w:spacing w:after="80" w:before="160"/>
      </w:pPr>
      <w:r>
        <w:rPr>
          <w:b/>
          <w:bCs/>
          <w:color w:val="1F3864"/>
          <w:sz w:val="18"/>
          <w:szCs w:val="18"/>
        </w:rPr>
        <w:t xml:space="preserve">Table 9.2: Cost-benefit analysis of each EMO (facility level)</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760"/>
        <w:gridCol w:w="1000"/>
        <w:gridCol w:w="700"/>
        <w:gridCol w:w="860"/>
        <w:gridCol w:w="760"/>
        <w:gridCol w:w="800"/>
        <w:gridCol w:w="760"/>
        <w:gridCol w:w="600"/>
        <w:gridCol w:w="900"/>
        <w:gridCol w:w="700"/>
        <w:gridCol w:w="820"/>
        <w:gridCol w:w="752"/>
      </w:tblGrid>
      <w:tr>
        <w:trPr>
          <w:tblHeader/>
        </w:trPr>
        <w:tc>
          <w:tcPr>
            <w:tcW w:type="dxa" w:w="760"/>
            <w:shd w:fill="DCE6F0" w:color="auto" w:val="clear"/>
            <w:tcMar>
              <w:top w:type="dxa" w:w="50"/>
              <w:left w:type="dxa" w:w="90"/>
              <w:bottom w:type="dxa" w:w="50"/>
              <w:right w:type="dxa" w:w="90"/>
            </w:tcMar>
            <w:vAlign w:val="center"/>
          </w:tcPr>
          <w:p>
            <w:pPr>
              <w:spacing w:after="0" w:line="240"/>
              <w:jc w:val="left"/>
            </w:pPr>
            <w:r>
              <w:rPr>
                <w:b/>
                <w:bCs/>
                <w:color w:val="1F3864"/>
                <w:sz w:val="13"/>
                <w:szCs w:val="13"/>
              </w:rPr>
              <w:t xml:space="preserve">Ref</w:t>
            </w:r>
          </w:p>
        </w:tc>
        <w:tc>
          <w:tcPr>
            <w:tcW w:type="dxa" w:w="100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End-use before (kWh/yr)</w:t>
            </w:r>
          </w:p>
        </w:tc>
        <w:tc>
          <w:tcPr>
            <w:tcW w:type="dxa" w:w="70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Saved</w:t>
            </w:r>
          </w:p>
        </w:tc>
        <w:tc>
          <w:tcPr>
            <w:tcW w:type="dxa" w:w="86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Saving kWh/yr</w:t>
            </w:r>
          </w:p>
        </w:tc>
        <w:tc>
          <w:tcPr>
            <w:tcW w:type="dxa" w:w="76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HK$/yr</w:t>
            </w:r>
          </w:p>
        </w:tc>
        <w:tc>
          <w:tcPr>
            <w:tcW w:type="dxa" w:w="80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Cost HK$</w:t>
            </w:r>
          </w:p>
        </w:tc>
        <w:tc>
          <w:tcPr>
            <w:tcW w:type="dxa" w:w="76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Payback yr</w:t>
            </w:r>
          </w:p>
        </w:tc>
        <w:tc>
          <w:tcPr>
            <w:tcW w:type="dxa" w:w="60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Life yr</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NPV HK$</w:t>
            </w:r>
          </w:p>
        </w:tc>
        <w:tc>
          <w:tcPr>
            <w:tcW w:type="dxa" w:w="70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SIR</w:t>
            </w:r>
          </w:p>
        </w:tc>
        <w:tc>
          <w:tcPr>
            <w:tcW w:type="dxa" w:w="820"/>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CSE HK$/kWh</w:t>
            </w:r>
          </w:p>
        </w:tc>
        <w:tc>
          <w:tcPr>
            <w:tcW w:type="dxa" w:w="752"/>
            <w:shd w:fill="DCE6F0" w:color="auto" w:val="clear"/>
            <w:tcMar>
              <w:top w:type="dxa" w:w="50"/>
              <w:left w:type="dxa" w:w="90"/>
              <w:bottom w:type="dxa" w:w="50"/>
              <w:right w:type="dxa" w:w="90"/>
            </w:tcMar>
            <w:vAlign w:val="center"/>
          </w:tcPr>
          <w:p>
            <w:pPr>
              <w:spacing w:after="0" w:line="240"/>
              <w:jc w:val="right"/>
            </w:pPr>
            <w:r>
              <w:rPr>
                <w:b/>
                <w:bCs/>
                <w:color w:val="1F3864"/>
                <w:sz w:val="13"/>
                <w:szCs w:val="13"/>
              </w:rPr>
              <w:t xml:space="preserve">kg </w:t>
            </w:r>
            <w:r>
              <w:rPr>
                <w:b/>
                <w:bCs/>
                <w:color w:val="1F3864"/>
                <w:sz w:val="13"/>
                <w:szCs w:val="13"/>
              </w:rPr>
              <w:t xml:space="preserve">CO</w:t>
            </w:r>
            <w:r>
              <w:rPr>
                <w:b/>
                <w:bCs/>
                <w:color w:val="1F3864"/>
                <w:sz w:val="13"/>
                <w:szCs w:val="13"/>
                <w:vertAlign w:val="subscript"/>
              </w:rPr>
              <w:t xml:space="preserve">2</w:t>
            </w:r>
            <w:r>
              <w:rPr>
                <w:b/>
                <w:bCs/>
                <w:color w:val="1F3864"/>
                <w:sz w:val="13"/>
                <w:szCs w:val="13"/>
              </w:rPr>
              <w:t xml:space="preserve">e/yr</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EMO-01</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811</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3%</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24.3</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34</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8</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EMO-02</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597</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17%</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99.6</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140</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34</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EMO-03</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811</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5%</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40.5</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57</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14</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EMO-04</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107</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100%</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106.7</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150</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36</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EMO-05</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88</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50%</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43.8</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62</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15</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EMO-06</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635</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20%</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126.9</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178</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43</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EMO-07</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635</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12%</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77.2</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108</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26</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EMO-08</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190</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15%</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28.5</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40</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10</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EMO-09</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312</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20%</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62.4</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88</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21</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EMO-10</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62</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80%</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49.9</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70</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17</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EMO-11</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263</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67%</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175.2</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246</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800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3.2</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10</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1,117</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2.40</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0.56</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60</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EMO-12</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1,259</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42%</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524.0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737</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1,000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1.4</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10</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4,733</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5.73</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0.24</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178</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EMO-13</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548</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25%</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136.9</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192</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200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1.0</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10</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1,297</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7.49</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0.18</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47</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EMO-14</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1,269</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22%</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282.1</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397</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250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0.6</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5</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1,482</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6.93</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0.20</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96</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EMO-15</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526</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50%</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262.8</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369</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600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1.6</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10</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2,275</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4.79</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0.28</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89</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EMO-16</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811</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3%</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24.3</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34</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400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11.7</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1</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-367</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0.08</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17.10</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8</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EMO-17</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0</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120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n/a</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5</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-120</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0.00</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0</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EMO-18</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1,269</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72%</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910.4</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1,280</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20,000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15.6</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15</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-6,626</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0.67</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1.98</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310</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EMO-19</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811</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38%</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306.8</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431</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9,000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20.9</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12</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-5,149</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0.43</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3.13</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104</w:t>
            </w:r>
          </w:p>
        </w:tc>
      </w:tr>
      <w:tr>
        <w:trPr>
          <w:cantSplit/>
        </w:trPr>
        <w:tc>
          <w:tcPr>
            <w:tcW w:type="dxa" w:w="760"/>
            <w:tcMar>
              <w:top w:type="dxa" w:w="50"/>
              <w:left w:type="dxa" w:w="90"/>
              <w:bottom w:type="dxa" w:w="50"/>
              <w:right w:type="dxa" w:w="90"/>
            </w:tcMar>
            <w:vAlign w:val="center"/>
          </w:tcPr>
          <w:p>
            <w:pPr>
              <w:spacing w:after="0" w:line="240"/>
              <w:jc w:val="left"/>
            </w:pPr>
            <w:r>
              <w:rPr>
                <w:b w:val="false"/>
                <w:bCs w:val="false"/>
                <w:sz w:val="13"/>
                <w:szCs w:val="13"/>
              </w:rPr>
              <w:t xml:space="preserve">EMO-20</w:t>
            </w:r>
          </w:p>
        </w:tc>
        <w:tc>
          <w:tcPr>
            <w:tcW w:type="dxa" w:w="1000"/>
            <w:tcMar>
              <w:top w:type="dxa" w:w="50"/>
              <w:left w:type="dxa" w:w="90"/>
              <w:bottom w:type="dxa" w:w="50"/>
              <w:right w:type="dxa" w:w="90"/>
            </w:tcMar>
            <w:vAlign w:val="center"/>
          </w:tcPr>
          <w:p>
            <w:pPr>
              <w:spacing w:after="0" w:line="240"/>
              <w:jc w:val="right"/>
            </w:pPr>
            <w:r>
              <w:rPr>
                <w:b w:val="false"/>
                <w:bCs w:val="false"/>
                <w:sz w:val="13"/>
                <w:szCs w:val="13"/>
              </w:rPr>
              <w:t xml:space="preserve">811</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2%</w:t>
            </w:r>
          </w:p>
        </w:tc>
        <w:tc>
          <w:tcPr>
            <w:tcW w:type="dxa" w:w="860"/>
            <w:tcMar>
              <w:top w:type="dxa" w:w="50"/>
              <w:left w:type="dxa" w:w="90"/>
              <w:bottom w:type="dxa" w:w="50"/>
              <w:right w:type="dxa" w:w="90"/>
            </w:tcMar>
            <w:vAlign w:val="center"/>
          </w:tcPr>
          <w:p>
            <w:pPr>
              <w:spacing w:after="0" w:line="240"/>
              <w:jc w:val="right"/>
            </w:pPr>
            <w:r>
              <w:rPr>
                <w:b w:val="false"/>
                <w:bCs w:val="false"/>
                <w:sz w:val="13"/>
                <w:szCs w:val="13"/>
              </w:rPr>
              <w:t xml:space="preserve">16.2</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23</w:t>
            </w:r>
          </w:p>
        </w:tc>
        <w:tc>
          <w:tcPr>
            <w:tcW w:type="dxa" w:w="800"/>
            <w:tcMar>
              <w:top w:type="dxa" w:w="50"/>
              <w:left w:type="dxa" w:w="90"/>
              <w:bottom w:type="dxa" w:w="50"/>
              <w:right w:type="dxa" w:w="90"/>
            </w:tcMar>
            <w:vAlign w:val="center"/>
          </w:tcPr>
          <w:p>
            <w:pPr>
              <w:spacing w:after="0" w:line="240"/>
              <w:jc w:val="right"/>
            </w:pPr>
            <w:r>
              <w:rPr>
                <w:b w:val="false"/>
                <w:bCs w:val="false"/>
                <w:sz w:val="13"/>
                <w:szCs w:val="13"/>
              </w:rPr>
              <w:t xml:space="preserve">800</w:t>
            </w:r>
          </w:p>
        </w:tc>
        <w:tc>
          <w:tcPr>
            <w:tcW w:type="dxa" w:w="760"/>
            <w:tcMar>
              <w:top w:type="dxa" w:w="50"/>
              <w:left w:type="dxa" w:w="90"/>
              <w:bottom w:type="dxa" w:w="50"/>
              <w:right w:type="dxa" w:w="90"/>
            </w:tcMar>
            <w:vAlign w:val="center"/>
          </w:tcPr>
          <w:p>
            <w:pPr>
              <w:spacing w:after="0" w:line="240"/>
              <w:jc w:val="right"/>
            </w:pPr>
            <w:r>
              <w:rPr>
                <w:b w:val="false"/>
                <w:bCs w:val="false"/>
                <w:sz w:val="13"/>
                <w:szCs w:val="13"/>
              </w:rPr>
              <w:t xml:space="preserve">35.1</w:t>
            </w:r>
          </w:p>
        </w:tc>
        <w:tc>
          <w:tcPr>
            <w:tcW w:type="dxa" w:w="600"/>
            <w:tcMar>
              <w:top w:type="dxa" w:w="50"/>
              <w:left w:type="dxa" w:w="90"/>
              <w:bottom w:type="dxa" w:w="50"/>
              <w:right w:type="dxa" w:w="90"/>
            </w:tcMar>
            <w:vAlign w:val="center"/>
          </w:tcPr>
          <w:p>
            <w:pPr>
              <w:spacing w:after="0" w:line="240"/>
              <w:jc w:val="right"/>
            </w:pPr>
            <w:r>
              <w:rPr>
                <w:b w:val="false"/>
                <w:bCs w:val="false"/>
                <w:sz w:val="13"/>
                <w:szCs w:val="13"/>
              </w:rPr>
              <w:t xml:space="preserve">10</w:t>
            </w:r>
          </w:p>
        </w:tc>
        <w:tc>
          <w:tcPr>
            <w:tcW w:type="dxa" w:w="900"/>
            <w:tcMar>
              <w:top w:type="dxa" w:w="50"/>
              <w:left w:type="dxa" w:w="90"/>
              <w:bottom w:type="dxa" w:w="50"/>
              <w:right w:type="dxa" w:w="90"/>
            </w:tcMar>
            <w:vAlign w:val="center"/>
          </w:tcPr>
          <w:p>
            <w:pPr>
              <w:spacing w:after="0" w:line="240"/>
              <w:jc w:val="right"/>
            </w:pPr>
            <w:r>
              <w:rPr>
                <w:b w:val="false"/>
                <w:bCs w:val="false"/>
                <w:sz w:val="13"/>
                <w:szCs w:val="13"/>
              </w:rPr>
              <w:t xml:space="preserve">-623</w:t>
            </w:r>
          </w:p>
        </w:tc>
        <w:tc>
          <w:tcPr>
            <w:tcW w:type="dxa" w:w="700"/>
            <w:tcMar>
              <w:top w:type="dxa" w:w="50"/>
              <w:left w:type="dxa" w:w="90"/>
              <w:bottom w:type="dxa" w:w="50"/>
              <w:right w:type="dxa" w:w="90"/>
            </w:tcMar>
            <w:vAlign w:val="center"/>
          </w:tcPr>
          <w:p>
            <w:pPr>
              <w:spacing w:after="0" w:line="240"/>
              <w:jc w:val="right"/>
            </w:pPr>
            <w:r>
              <w:rPr>
                <w:b w:val="false"/>
                <w:bCs w:val="false"/>
                <w:sz w:val="13"/>
                <w:szCs w:val="13"/>
              </w:rPr>
              <w:t xml:space="preserve">0.22</w:t>
            </w:r>
          </w:p>
        </w:tc>
        <w:tc>
          <w:tcPr>
            <w:tcW w:type="dxa" w:w="820"/>
            <w:tcMar>
              <w:top w:type="dxa" w:w="50"/>
              <w:left w:type="dxa" w:w="90"/>
              <w:bottom w:type="dxa" w:w="50"/>
              <w:right w:type="dxa" w:w="90"/>
            </w:tcMar>
            <w:vAlign w:val="center"/>
          </w:tcPr>
          <w:p>
            <w:pPr>
              <w:spacing w:after="0" w:line="240"/>
              <w:jc w:val="right"/>
            </w:pPr>
            <w:r>
              <w:rPr>
                <w:b w:val="false"/>
                <w:bCs w:val="false"/>
                <w:sz w:val="13"/>
                <w:szCs w:val="13"/>
              </w:rPr>
              <w:t xml:space="preserve">6.08</w:t>
            </w:r>
          </w:p>
        </w:tc>
        <w:tc>
          <w:tcPr>
            <w:tcW w:type="dxa" w:w="752"/>
            <w:tcMar>
              <w:top w:type="dxa" w:w="50"/>
              <w:left w:type="dxa" w:w="90"/>
              <w:bottom w:type="dxa" w:w="50"/>
              <w:right w:type="dxa" w:w="90"/>
            </w:tcMar>
            <w:vAlign w:val="center"/>
          </w:tcPr>
          <w:p>
            <w:pPr>
              <w:spacing w:after="0" w:line="240"/>
              <w:jc w:val="right"/>
            </w:pPr>
            <w:r>
              <w:rPr>
                <w:b w:val="false"/>
                <w:bCs w:val="false"/>
                <w:sz w:val="13"/>
                <w:szCs w:val="13"/>
              </w:rPr>
              <w:t xml:space="preserve">6</w:t>
            </w:r>
          </w:p>
        </w:tc>
      </w:tr>
    </w:tbl>
    <w:p>
      <w:pPr>
        <w:spacing w:after="120" w:before="0" w:line="276"/>
        <w:jc w:val="both"/>
      </w:pPr>
      <w:r>
        <w:rPr>
          <w:b w:val="false"/>
          <w:bCs w:val="false"/>
          <w:i/>
          <w:iCs/>
          <w:sz w:val="16"/>
          <w:szCs w:val="16"/>
        </w:rPr>
        <w:t xml:space="preserve">Facility level means the whole washroom or kitchen for hall measures (the household's share is in the register above). Category I measures cost nothing, so their NPV equals the value of the savings for as long as the habit is kept.</w:t>
      </w:r>
    </w:p>
    <w:p>
      <w:pPr>
        <w:keepNext/>
        <w:spacing w:after="40" w:before="120"/>
        <w:jc w:val="center"/>
      </w:pPr>
      <w:r>
        <w:drawing>
          <wp:inline distT="0" distB="0" distL="0" distR="0">
            <wp:extent cx="58102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3771900"/>
                    </a:xfrm>
                    <a:prstGeom prst="rect">
                      <a:avLst/>
                    </a:prstGeom>
                  </pic:spPr>
                </pic:pic>
              </a:graphicData>
            </a:graphic>
          </wp:inline>
        </w:drawing>
      </w:r>
    </w:p>
    <w:p>
      <w:pPr>
        <w:spacing w:after="200" w:before="60"/>
        <w:jc w:val="center"/>
      </w:pPr>
      <w:r>
        <w:rPr>
          <w:b w:val="false"/>
          <w:bCs w:val="false"/>
          <w:i/>
          <w:iCs/>
          <w:color w:val="52514E"/>
          <w:sz w:val="17"/>
          <w:szCs w:val="17"/>
        </w:rPr>
        <w:t xml:space="preserve">Figure 9.1: Household share of saving by EMO and category</w:t>
      </w:r>
    </w:p>
    <w:p>
      <w:pPr>
        <w:keepNext/>
        <w:spacing w:after="40" w:before="120"/>
        <w:jc w:val="center"/>
      </w:pPr>
      <w:r>
        <w:drawing>
          <wp:inline distT="0" distB="0" distL="0" distR="0">
            <wp:extent cx="58102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2466975"/>
                    </a:xfrm>
                    <a:prstGeom prst="rect">
                      <a:avLst/>
                    </a:prstGeom>
                  </pic:spPr>
                </pic:pic>
              </a:graphicData>
            </a:graphic>
          </wp:inline>
        </w:drawing>
      </w:r>
    </w:p>
    <w:p>
      <w:pPr>
        <w:spacing w:after="200" w:before="60"/>
        <w:jc w:val="center"/>
      </w:pPr>
      <w:r>
        <w:rPr>
          <w:b w:val="false"/>
          <w:bCs w:val="false"/>
          <w:i/>
          <w:iCs/>
          <w:color w:val="52514E"/>
          <w:sz w:val="17"/>
          <w:szCs w:val="17"/>
        </w:rPr>
        <w:t xml:space="preserve">Figure 9.2: Cost of saved energy of the EMOs with a capital cost, against the electricity tariff</w:t>
      </w:r>
    </w:p>
    <w:p>
      <w:pPr>
        <w:pStyle w:val="Heading2"/>
      </w:pPr>
      <w:r>
        <w:rPr>
          <w:b w:val="false"/>
          <w:bCs w:val="false"/>
        </w:rPr>
        <w:t xml:space="preserve">9.1  Category I - housekeeping (no cost)</w:t>
      </w:r>
    </w:p>
    <w:p>
      <w:pPr>
        <w:spacing w:after="100" w:before="0" w:line="276"/>
        <w:jc w:val="both"/>
      </w:pPr>
      <w:r>
        <w:rPr>
          <w:b/>
          <w:bCs/>
        </w:rPr>
        <w:t xml:space="preserve">EMO-01 Set-point 26 °C with the desk fan.</w:t>
      </w:r>
      <w:r>
        <w:rPr>
          <w:b w:val="false"/>
          <w:bCs w:val="false"/>
        </w:rPr>
        <w:t xml:space="preserve"> Each 1 °C rise saves about 3% of AC electricity [14]; the government's guideline for offices is 25.5 °C [2], [14]. With the 20 W desk fan raising air speed, 26 °C stays comfortable (the elevated-air-speed principle of ASHRAE 55). </w:t>
      </w:r>
      <w:r>
        <w:rPr>
          <w:b/>
          <w:bCs/>
        </w:rPr>
        <w:t xml:space="preserve">Saving:</w:t>
      </w:r>
      <w:r>
        <w:rPr>
          <w:b w:val="false"/>
          <w:bCs w:val="false"/>
        </w:rPr>
        <w:t xml:space="preserve"> 810.8 kWh × 3%/°C × 1 °C = </w:t>
      </w:r>
      <w:r>
        <w:rPr>
          <w:b/>
          <w:bCs/>
        </w:rPr>
        <w:t xml:space="preserve">24.3 kWh/yr</w:t>
      </w:r>
      <w:r>
        <w:rPr>
          <w:b w:val="false"/>
          <w:bCs w:val="false"/>
        </w:rPr>
        <w:t xml:space="preserve">, 3% of the affected end-use; HK$34/yr and 8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EMO-02 AC sleep timer.</w:t>
      </w:r>
      <w:r>
        <w:rPr>
          <w:b w:val="false"/>
          <w:bCs w:val="false"/>
        </w:rPr>
        <w:t xml:space="preserve"> The AC's built-in timer switches it off 2 h before waking in hot months; the room stays cool from the overnight run and the fan continues. </w:t>
      </w:r>
      <w:r>
        <w:rPr>
          <w:b/>
          <w:bCs/>
        </w:rPr>
        <w:t xml:space="preserve">Saving:</w:t>
      </w:r>
      <w:r>
        <w:rPr>
          <w:b w:val="false"/>
          <w:bCs w:val="false"/>
        </w:rPr>
        <w:t xml:space="preserve"> 597.4 kWh (May-Oct) × 2 h ÷ 12 h = </w:t>
      </w:r>
      <w:r>
        <w:rPr>
          <w:b/>
          <w:bCs/>
        </w:rPr>
        <w:t xml:space="preserve">99.6 kWh/yr</w:t>
      </w:r>
      <w:r>
        <w:rPr>
          <w:b w:val="false"/>
          <w:bCs w:val="false"/>
        </w:rPr>
        <w:t xml:space="preserve">, 17% of the affected end-use; HK$140/yr and 34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EMO-03 Filter, louvres and curtain.</w:t>
      </w:r>
      <w:r>
        <w:rPr>
          <w:b w:val="false"/>
          <w:bCs w:val="false"/>
        </w:rPr>
        <w:t xml:space="preserve"> Clean the washable filter every two weeks in the cooling season, as the Guidelines' energy-saving tips advise [2], wipe the soiled louvres and close the curtain against the late-afternoon NW sun. The saving is set at 5%: the low end of the US DOE's 5-15% for replacing a clogged filter [32], consistent with LBNL's finding that coil fouling degrades efficiency by under 5% [26]. </w:t>
      </w:r>
      <w:r>
        <w:rPr>
          <w:b/>
          <w:bCs/>
        </w:rPr>
        <w:t xml:space="preserve">Saving:</w:t>
      </w:r>
      <w:r>
        <w:rPr>
          <w:b w:val="false"/>
          <w:bCs w:val="false"/>
        </w:rPr>
        <w:t xml:space="preserve"> 810.8 kWh × 5% = </w:t>
      </w:r>
      <w:r>
        <w:rPr>
          <w:b/>
          <w:bCs/>
        </w:rPr>
        <w:t xml:space="preserve">40.5 kWh/yr</w:t>
      </w:r>
      <w:r>
        <w:rPr>
          <w:b w:val="false"/>
          <w:bCs w:val="false"/>
        </w:rPr>
        <w:t xml:space="preserve">, 5% of the affected end-use; HK$57/yr and 14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EMO-04 Cool-season 'fan first'.</w:t>
      </w:r>
      <w:r>
        <w:rPr>
          <w:b w:val="false"/>
          <w:bCs w:val="false"/>
        </w:rPr>
        <w:t xml:space="preserve"> In December-February the HKO mean temperature is only 16.5-18.2 °C [8], so mechanical cooling is not needed. The 4 h/day of winter AC use reported in the questionnaire can be replaced by the desk fan and the openable window, keeping the AC's Dry mode for humid days only. </w:t>
      </w:r>
      <w:r>
        <w:rPr>
          <w:b/>
          <w:bCs/>
        </w:rPr>
        <w:t xml:space="preserve">Saving:</w:t>
      </w:r>
      <w:r>
        <w:rPr>
          <w:b w:val="false"/>
          <w:bCs w:val="false"/>
        </w:rPr>
        <w:t xml:space="preserve"> Dec 35.6 + Jan 35.6 + Feb 35.6 kWh of room-AC energy = </w:t>
      </w:r>
      <w:r>
        <w:rPr>
          <w:b/>
          <w:bCs/>
        </w:rPr>
        <w:t xml:space="preserve">106.7 kWh/yr</w:t>
      </w:r>
      <w:r>
        <w:rPr>
          <w:b w:val="false"/>
          <w:bCs w:val="false"/>
        </w:rPr>
        <w:t xml:space="preserve">, 100% of the affected end-use; HK$150/yr and 36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EMO-05 Task lighting.</w:t>
      </w:r>
      <w:r>
        <w:rPr>
          <w:b w:val="false"/>
          <w:bCs w:val="false"/>
        </w:rPr>
        <w:t xml:space="preserve"> Use the under-shelf desk lights instead of both ceiling battens for 3 of the 6 lit hours. </w:t>
      </w:r>
      <w:r>
        <w:rPr>
          <w:b/>
          <w:bCs/>
        </w:rPr>
        <w:t xml:space="preserve">Saving:</w:t>
      </w:r>
      <w:r>
        <w:rPr>
          <w:b w:val="false"/>
          <w:bCs w:val="false"/>
        </w:rPr>
        <w:t xml:space="preserve"> 2 × 20 W × 3 h/day × 365 days ÷ 1000 = </w:t>
      </w:r>
      <w:r>
        <w:rPr>
          <w:b/>
          <w:bCs/>
        </w:rPr>
        <w:t xml:space="preserve">43.8 kWh/yr</w:t>
      </w:r>
      <w:r>
        <w:rPr>
          <w:b w:val="false"/>
          <w:bCs w:val="false"/>
        </w:rPr>
        <w:t xml:space="preserve">, 50% of the affected end-use; HK$62/yr and 15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EMO-06 4-minute showers.</w:t>
      </w:r>
      <w:r>
        <w:rPr>
          <w:b w:val="false"/>
          <w:bCs w:val="false"/>
        </w:rPr>
        <w:t xml:space="preserve"> A phone timer or a 4-minute song shortens each shower by one minute, cutting shower heating energy and water by 20% (about 6.6 m³ of water a year). </w:t>
      </w:r>
      <w:r>
        <w:rPr>
          <w:b/>
          <w:bCs/>
        </w:rPr>
        <w:t xml:space="preserve">Saving:</w:t>
      </w:r>
      <w:r>
        <w:rPr>
          <w:b w:val="false"/>
          <w:bCs w:val="false"/>
        </w:rPr>
        <w:t xml:space="preserve"> 634.7 kWh × (1 − 4/5) = </w:t>
      </w:r>
      <w:r>
        <w:rPr>
          <w:b/>
          <w:bCs/>
        </w:rPr>
        <w:t xml:space="preserve">126.9 kWh/yr</w:t>
      </w:r>
      <w:r>
        <w:rPr>
          <w:b w:val="false"/>
          <w:bCs w:val="false"/>
        </w:rPr>
        <w:t xml:space="preserve">, 20% of the affected end-use; HK$178/yr and 43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EMO-07 38 °C instead of 40 °C.</w:t>
      </w:r>
      <w:r>
        <w:rPr>
          <w:b w:val="false"/>
          <w:bCs w:val="false"/>
        </w:rPr>
        <w:t xml:space="preserve"> Turn the heater dial down rather than mixing in cold water, so the heater adds 2 K less to every litre. </w:t>
      </w:r>
      <w:r>
        <w:rPr>
          <w:b/>
          <w:bCs/>
        </w:rPr>
        <w:t xml:space="preserve">Saving:</w:t>
      </w:r>
      <w:r>
        <w:rPr>
          <w:b w:val="false"/>
          <w:bCs w:val="false"/>
        </w:rPr>
        <w:t xml:space="preserve"> 634.7 kWh × 2 K ÷ 16.45 K = </w:t>
      </w:r>
      <w:r>
        <w:rPr>
          <w:b/>
          <w:bCs/>
        </w:rPr>
        <w:t xml:space="preserve">77.2 kWh/yr</w:t>
      </w:r>
      <w:r>
        <w:rPr>
          <w:b w:val="false"/>
          <w:bCs w:val="false"/>
        </w:rPr>
        <w:t xml:space="preserve">, 12% of the affected end-use; HK$108/yr and 26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EMO-08 Laptop power management.</w:t>
      </w:r>
      <w:r>
        <w:rPr>
          <w:b w:val="false"/>
          <w:bCs w:val="false"/>
        </w:rPr>
        <w:t xml:space="preserve"> Lower screen brightness, sleep after 10 minutes idle and use battery-saver mode; about 15% of laptop energy. </w:t>
      </w:r>
      <w:r>
        <w:rPr>
          <w:b/>
          <w:bCs/>
        </w:rPr>
        <w:t xml:space="preserve">Saving:</w:t>
      </w:r>
      <w:r>
        <w:rPr>
          <w:b w:val="false"/>
          <w:bCs w:val="false"/>
        </w:rPr>
        <w:t xml:space="preserve"> 189.8 kWh × 15% = </w:t>
      </w:r>
      <w:r>
        <w:rPr>
          <w:b/>
          <w:bCs/>
        </w:rPr>
        <w:t xml:space="preserve">28.5 kWh/yr</w:t>
      </w:r>
      <w:r>
        <w:rPr>
          <w:b w:val="false"/>
          <w:bCs w:val="false"/>
        </w:rPr>
        <w:t xml:space="preserve">, 15% of the affected end-use; HK$40/yr and 10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EMO-09 Efficient cooking.</w:t>
      </w:r>
      <w:r>
        <w:rPr>
          <w:b w:val="false"/>
          <w:bCs w:val="false"/>
        </w:rPr>
        <w:t xml:space="preserve"> Use lids, match the pan to the induction zone and batch-cook two meals per session; about 20% of cooking energy. </w:t>
      </w:r>
      <w:r>
        <w:rPr>
          <w:b/>
          <w:bCs/>
        </w:rPr>
        <w:t xml:space="preserve">Saving:</w:t>
      </w:r>
      <w:r>
        <w:rPr>
          <w:b w:val="false"/>
          <w:bCs w:val="false"/>
        </w:rPr>
        <w:t xml:space="preserve"> 312.0 kWh × 20% = </w:t>
      </w:r>
      <w:r>
        <w:rPr>
          <w:b/>
          <w:bCs/>
        </w:rPr>
        <w:t xml:space="preserve">62.4 kWh/yr</w:t>
      </w:r>
      <w:r>
        <w:rPr>
          <w:b w:val="false"/>
          <w:bCs w:val="false"/>
        </w:rPr>
        <w:t xml:space="preserve">, 20% of the affected end-use; HK$88/yr and 21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00" w:before="0" w:line="276"/>
        <w:jc w:val="both"/>
      </w:pPr>
      <w:r>
        <w:rPr>
          <w:b/>
          <w:bCs/>
        </w:rPr>
        <w:t xml:space="preserve">EMO-10 Air-dry laundry.</w:t>
      </w:r>
      <w:r>
        <w:rPr>
          <w:b w:val="false"/>
          <w:bCs w:val="false"/>
        </w:rPr>
        <w:t xml:space="preserve"> Dry most loads on a rack by the open window, with the desk fan in humid spells, and keep the dryer for bulky items. This also saves the dryer's coin/Octopus fee, which is probably higher than the electricity cost used here. </w:t>
      </w:r>
      <w:r>
        <w:rPr>
          <w:b/>
          <w:bCs/>
        </w:rPr>
        <w:t xml:space="preserve">Saving:</w:t>
      </w:r>
      <w:r>
        <w:rPr>
          <w:b w:val="false"/>
          <w:bCs w:val="false"/>
        </w:rPr>
        <w:t xml:space="preserve"> 62.4 kWh (2 × 12 min × 3 kW × 52 weeks) × 80% = </w:t>
      </w:r>
      <w:r>
        <w:rPr>
          <w:b/>
          <w:bCs/>
        </w:rPr>
        <w:t xml:space="preserve">49.9 kWh/yr</w:t>
      </w:r>
      <w:r>
        <w:rPr>
          <w:b w:val="false"/>
          <w:bCs w:val="false"/>
        </w:rPr>
        <w:t xml:space="preserve">, 80% of the affected end-use; HK$70/yr and 17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no cost; immediate payback.</w:t>
      </w:r>
    </w:p>
    <w:p>
      <w:pPr>
        <w:spacing w:after="120" w:before="0" w:line="276"/>
        <w:jc w:val="both"/>
      </w:pPr>
      <w:r>
        <w:rPr>
          <w:b/>
          <w:bCs/>
        </w:rPr>
        <w:t xml:space="preserve">The Category I package saves about 660 kWh/yr (25.5% of household electricity) and 224 kg </w:t>
      </w:r>
      <w:r>
        <w:rPr>
          <w:b/>
          <w:bCs/>
        </w:rPr>
        <w:t xml:space="preserve">CO</w:t>
      </w:r>
      <w:r>
        <w:rPr>
          <w:b/>
          <w:bCs/>
          <w:vertAlign w:val="subscript"/>
        </w:rPr>
        <w:t xml:space="preserve">2</w:t>
      </w:r>
      <w:r>
        <w:rPr>
          <w:b/>
          <w:bCs/>
        </w:rPr>
        <w:t xml:space="preserve">e/yr at no cost.</w:t>
      </w:r>
      <w:r>
        <w:rPr>
          <w:b w:val="false"/>
          <w:bCs w:val="false"/>
        </w:rPr>
        <w:t xml:space="preserve"> The AC measures (EMO-01 to EMO-04) cut the occupants' own Octopus spend by about HK$381 a year, 33% of it. The other Category I measures mainly reduce energy paid for by the hall: a classic split incentive.</w:t>
      </w:r>
    </w:p>
    <w:p>
      <w:pPr>
        <w:pStyle w:val="Heading2"/>
      </w:pPr>
      <w:r>
        <w:rPr>
          <w:b w:val="false"/>
          <w:bCs w:val="false"/>
        </w:rPr>
        <w:t xml:space="preserve">9.2  Category II - low-cost operational changes</w:t>
      </w:r>
    </w:p>
    <w:p>
      <w:pPr>
        <w:spacing w:after="100" w:before="0" w:line="276"/>
        <w:jc w:val="both"/>
      </w:pPr>
      <w:r>
        <w:rPr>
          <w:b/>
          <w:bCs/>
        </w:rPr>
        <w:t xml:space="preserve">EMO-11 Washroom exhaust-fan control (hall).</w:t>
      </w:r>
      <w:r>
        <w:rPr>
          <w:b w:val="false"/>
          <w:bCs w:val="false"/>
        </w:rPr>
        <w:t xml:space="preserve"> Replace 24 h running with an occupancy sensor or humidistat with a run-on timer, giving about 8 h a day. Hong Kong's humidity makes run-on control essential to avoid condensation. </w:t>
      </w:r>
      <w:r>
        <w:rPr>
          <w:b/>
          <w:bCs/>
        </w:rPr>
        <w:t xml:space="preserve">Saving:</w:t>
      </w:r>
      <w:r>
        <w:rPr>
          <w:b w:val="false"/>
          <w:bCs w:val="false"/>
        </w:rPr>
        <w:t xml:space="preserve"> 30 W × (24 − 8) h × 365 days ÷ 1000 per washroom; household share 2/4 = </w:t>
      </w:r>
      <w:r>
        <w:rPr>
          <w:b/>
          <w:bCs/>
        </w:rPr>
        <w:t xml:space="preserve">175.2 kWh/yr</w:t>
      </w:r>
      <w:r>
        <w:rPr>
          <w:b w:val="false"/>
          <w:bCs w:val="false"/>
        </w:rPr>
        <w:t xml:space="preserve"> (household share 87.6 kWh), 67% of the affected end-use; HK$246/yr and 60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HK$800; simple payback 3.2 years; NPV over 10 years HK$1,117; SIR 2.40; cost of saved energy HK$0.56/kWh against the HK$1.406/kWh tariff. </w:t>
      </w:r>
      <w:r>
        <w:rPr>
          <w:b/>
          <w:bCs/>
        </w:rPr>
        <w:t xml:space="preserve">Recommend to hall.</w:t>
      </w:r>
    </w:p>
    <w:p>
      <w:pPr>
        <w:spacing w:after="100" w:before="0" w:line="276"/>
        <w:jc w:val="both"/>
      </w:pPr>
      <w:r>
        <w:rPr>
          <w:b/>
          <w:bCs/>
        </w:rPr>
        <w:t xml:space="preserve">EMO-12 Kitchen-AC timer and set-point lock (hall).</w:t>
      </w:r>
      <w:r>
        <w:rPr>
          <w:b w:val="false"/>
          <w:bCs w:val="false"/>
        </w:rPr>
        <w:t xml:space="preserve"> A 7-day timer with an occupancy interlock and a set-point fixed at 25.5 °C, cutting run-hours from 8 to 5 h/day (hot season) and from 4 to 2 h/day (cool season). </w:t>
      </w:r>
      <w:r>
        <w:rPr>
          <w:b/>
          <w:bCs/>
        </w:rPr>
        <w:t xml:space="preserve">Saving:</w:t>
      </w:r>
      <w:r>
        <w:rPr>
          <w:b w:val="false"/>
          <w:bCs w:val="false"/>
        </w:rPr>
        <w:t xml:space="preserve"> 0.573 kW × [(8 − 5) h × 184 d + (4 − 2) h × 181 d] per kitchen; household share 2/32 = </w:t>
      </w:r>
      <w:r>
        <w:rPr>
          <w:b/>
          <w:bCs/>
        </w:rPr>
        <w:t xml:space="preserve">524.0 kWh/yr</w:t>
      </w:r>
      <w:r>
        <w:rPr>
          <w:b w:val="false"/>
          <w:bCs w:val="false"/>
        </w:rPr>
        <w:t xml:space="preserve"> (household share 32.8 kWh), 42% of the affected end-use; HK$737/yr and 178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HK$1,000; simple payback 1.4 years; NPV over 10 years HK$4,733; SIR 5.73; cost of saved energy HK$0.24/kWh against the HK$1.406/kWh tariff. </w:t>
      </w:r>
      <w:r>
        <w:rPr>
          <w:b/>
          <w:bCs/>
        </w:rPr>
        <w:t xml:space="preserve">Recommend to hall.</w:t>
      </w:r>
    </w:p>
    <w:p>
      <w:pPr>
        <w:spacing w:after="100" w:before="0" w:line="276"/>
        <w:jc w:val="both"/>
      </w:pPr>
      <w:r>
        <w:rPr>
          <w:b/>
          <w:bCs/>
        </w:rPr>
        <w:t xml:space="preserve">EMO-13 Water-dispenser night set-back (hall).</w:t>
      </w:r>
      <w:r>
        <w:rPr>
          <w:b w:val="false"/>
          <w:bCs w:val="false"/>
        </w:rPr>
        <w:t xml:space="preserve"> Use the dispenser's timer to switch off the hot and ice tanks from 00:00 to 06:00. The SRO already suspends the machines weekly for auto-cleaning (Photo 09b), so overnight scheduling is feasible. </w:t>
      </w:r>
      <w:r>
        <w:rPr>
          <w:b/>
          <w:bCs/>
        </w:rPr>
        <w:t xml:space="preserve">Saving:</w:t>
      </w:r>
      <w:r>
        <w:rPr>
          <w:b w:val="false"/>
          <w:bCs w:val="false"/>
        </w:rPr>
        <w:t xml:space="preserve"> 1.5 kWh/day × 365 × 25% per kitchen; household share 2/32 = </w:t>
      </w:r>
      <w:r>
        <w:rPr>
          <w:b/>
          <w:bCs/>
        </w:rPr>
        <w:t xml:space="preserve">136.9 kWh/yr</w:t>
      </w:r>
      <w:r>
        <w:rPr>
          <w:b w:val="false"/>
          <w:bCs w:val="false"/>
        </w:rPr>
        <w:t xml:space="preserve"> (household share 8.6 kWh), 25% of the affected end-use; HK$192/yr and 47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HK$200; simple payback 1.0 years; NPV over 10 years HK$1,297; SIR 7.49; cost of saved energy HK$0.18/kWh against the HK$1.406/kWh tariff. </w:t>
      </w:r>
      <w:r>
        <w:rPr>
          <w:b/>
          <w:bCs/>
        </w:rPr>
        <w:t xml:space="preserve">Recommend to hall.</w:t>
      </w:r>
    </w:p>
    <w:p>
      <w:pPr>
        <w:spacing w:after="100" w:before="0" w:line="276"/>
        <w:jc w:val="both"/>
      </w:pPr>
      <w:r>
        <w:rPr>
          <w:b/>
          <w:bCs/>
        </w:rPr>
        <w:t xml:space="preserve">EMO-14 WELS Grade-1 showerheads (hall).</w:t>
      </w:r>
      <w:r>
        <w:rPr>
          <w:b w:val="false"/>
          <w:bCs w:val="false"/>
        </w:rPr>
        <w:t xml:space="preserve"> A WELS Grade-1 head at about 7 L/min instead of the assumed 9 L/min cuts shower energy and water by 22% for all four users of the washroom. </w:t>
      </w:r>
      <w:r>
        <w:rPr>
          <w:b/>
          <w:bCs/>
        </w:rPr>
        <w:t xml:space="preserve">Saving:</w:t>
      </w:r>
      <w:r>
        <w:rPr>
          <w:b w:val="false"/>
          <w:bCs w:val="false"/>
        </w:rPr>
        <w:t xml:space="preserve"> 4 users × 317.4 kWh × (1 − 7/9) per washroom; household share 2/4 = </w:t>
      </w:r>
      <w:r>
        <w:rPr>
          <w:b/>
          <w:bCs/>
        </w:rPr>
        <w:t xml:space="preserve">282.1 kWh/yr</w:t>
      </w:r>
      <w:r>
        <w:rPr>
          <w:b w:val="false"/>
          <w:bCs w:val="false"/>
        </w:rPr>
        <w:t xml:space="preserve"> (household share 141.0 kWh), 22% of the affected end-use; HK$397/yr and 96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HK$250; simple payback 0.6 years; NPV over 5 years HK$1,482; SIR 6.93; cost of saved energy HK$0.20/kWh against the HK$1.406/kWh tariff. </w:t>
      </w:r>
      <w:r>
        <w:rPr>
          <w:b/>
          <w:bCs/>
        </w:rPr>
        <w:t xml:space="preserve">Recommend to hall.</w:t>
      </w:r>
    </w:p>
    <w:p>
      <w:pPr>
        <w:spacing w:after="100" w:before="0" w:line="276"/>
        <w:jc w:val="both"/>
      </w:pPr>
      <w:r>
        <w:rPr>
          <w:b/>
          <w:bCs/>
        </w:rPr>
        <w:t xml:space="preserve">EMO-15 Kitchen lighting occupancy sensors (hall).</w:t>
      </w:r>
      <w:r>
        <w:rPr>
          <w:b w:val="false"/>
          <w:bCs w:val="false"/>
        </w:rPr>
        <w:t xml:space="preserve"> Two ceiling PIR occupancy sensors (about HK$300 each, installed) let the six LED fittings follow use instead of burning about 16 h a day. </w:t>
      </w:r>
      <w:r>
        <w:rPr>
          <w:b/>
          <w:bCs/>
        </w:rPr>
        <w:t xml:space="preserve">Saving:</w:t>
      </w:r>
      <w:r>
        <w:rPr>
          <w:b w:val="false"/>
          <w:bCs w:val="false"/>
        </w:rPr>
        <w:t xml:space="preserve"> 6 × 15 W × (16 − 8) h × 365 d ÷ 1000 per kitchen; household share 2/32 = </w:t>
      </w:r>
      <w:r>
        <w:rPr>
          <w:b/>
          <w:bCs/>
        </w:rPr>
        <w:t xml:space="preserve">262.8 kWh/yr</w:t>
      </w:r>
      <w:r>
        <w:rPr>
          <w:b w:val="false"/>
          <w:bCs w:val="false"/>
        </w:rPr>
        <w:t xml:space="preserve"> (household share 16.4 kWh), 50% of the affected end-use; HK$369/yr and 89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HK$600; simple payback 1.6 years; NPV over 10 years HK$2,275; SIR 4.79; cost of saved energy HK$0.28/kWh against the HK$1.406/kWh tariff. </w:t>
      </w:r>
      <w:r>
        <w:rPr>
          <w:b/>
          <w:bCs/>
        </w:rPr>
        <w:t xml:space="preserve">Recommend to hall.</w:t>
      </w:r>
    </w:p>
    <w:p>
      <w:pPr>
        <w:spacing w:after="100" w:before="0" w:line="276"/>
        <w:jc w:val="both"/>
      </w:pPr>
      <w:r>
        <w:rPr>
          <w:b/>
          <w:bCs/>
        </w:rPr>
        <w:t xml:space="preserve">EMO-16 Annual AC coil clean (hall).</w:t>
      </w:r>
      <w:r>
        <w:rPr>
          <w:b w:val="false"/>
          <w:bCs w:val="false"/>
        </w:rPr>
        <w:t xml:space="preserve"> An annual professional clean of the coil and louvres saves about 3% of AC energy. The energy payback exceeds the one-year service interval, so the measure is justified by hygiene (Finding F1) and equipment life rather than by energy. </w:t>
      </w:r>
      <w:r>
        <w:rPr>
          <w:b/>
          <w:bCs/>
        </w:rPr>
        <w:t xml:space="preserve">Saving:</w:t>
      </w:r>
      <w:r>
        <w:rPr>
          <w:b w:val="false"/>
          <w:bCs w:val="false"/>
        </w:rPr>
        <w:t xml:space="preserve"> 810.8 kWh × 3% = </w:t>
      </w:r>
      <w:r>
        <w:rPr>
          <w:b/>
          <w:bCs/>
        </w:rPr>
        <w:t xml:space="preserve">24.3 kWh/yr</w:t>
      </w:r>
      <w:r>
        <w:rPr>
          <w:b w:val="false"/>
          <w:bCs w:val="false"/>
        </w:rPr>
        <w:t xml:space="preserve">, 3% of the affected end-use; HK$34/yr and 8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HK$400; simple payback 11.7 years; NPV over 1 year -HK$367; SIR 0.08; cost of saved energy HK$17.10/kWh against the HK$1.406/kWh tariff. </w:t>
      </w:r>
      <w:r>
        <w:rPr>
          <w:b/>
          <w:bCs/>
        </w:rPr>
        <w:t xml:space="preserve">Recommend on hygiene grounds; bundle with routine maintenance (EAC §7.6.4).</w:t>
      </w:r>
    </w:p>
    <w:p>
      <w:pPr>
        <w:spacing w:after="100" w:before="0" w:line="276"/>
        <w:jc w:val="both"/>
      </w:pPr>
      <w:r>
        <w:rPr>
          <w:b/>
          <w:bCs/>
        </w:rPr>
        <w:t xml:space="preserve">EMO-17 Plug-in power meter (occupants).</w:t>
      </w:r>
      <w:r>
        <w:rPr>
          <w:b w:val="false"/>
          <w:bCs w:val="false"/>
        </w:rPr>
        <w:t xml:space="preserve"> About HK$120, within the stated HK$200 budget. It measures the laptop, fan and AC directly, turning assumed values into measured ones and providing M&amp;V (EAC §7.5.7, §7.6.3). No saving is claimed. </w:t>
      </w:r>
      <w:r>
        <w:rPr>
          <w:b/>
          <w:bCs/>
        </w:rPr>
        <w:t xml:space="preserve">Cost-benefit:</w:t>
      </w:r>
      <w:r>
        <w:rPr>
          <w:b w:val="false"/>
          <w:bCs w:val="false"/>
        </w:rPr>
        <w:t xml:space="preserve"> HK$120; no energy payback; NPV over 5 years -HK$120; SIR 0.00. </w:t>
      </w:r>
      <w:r>
        <w:rPr>
          <w:b/>
          <w:bCs/>
        </w:rPr>
        <w:t xml:space="preserve">Implement now (within HK$200 budget).</w:t>
      </w:r>
    </w:p>
    <w:p>
      <w:pPr>
        <w:pStyle w:val="Heading2"/>
      </w:pPr>
      <w:r>
        <w:rPr>
          <w:b w:val="false"/>
          <w:bCs w:val="false"/>
        </w:rPr>
        <w:t xml:space="preserve">9.3  Category III - capital measures and cost-benefit with service life (EAC §7.5.4)</w:t>
      </w:r>
    </w:p>
    <w:p>
      <w:pPr>
        <w:spacing w:after="100" w:before="0" w:line="276"/>
        <w:jc w:val="both"/>
      </w:pPr>
      <w:r>
        <w:rPr>
          <w:b/>
          <w:bCs/>
        </w:rPr>
        <w:t xml:space="preserve">EMO-18 Heat-pump water heating (CityU).</w:t>
      </w:r>
      <w:r>
        <w:rPr>
          <w:b w:val="false"/>
          <w:bCs w:val="false"/>
        </w:rPr>
        <w:t xml:space="preserve"> A central air-source heat pump (COP about 3.5) with storage would replace the 24.4 kW instantaneous heaters, saving about 72% of shower electricity and greatly reducing the hall's maximum demand. It needs a feasibility study covering demand-charge savings and the space and structural limits of the MiC modules. </w:t>
      </w:r>
      <w:r>
        <w:rPr>
          <w:b/>
          <w:bCs/>
        </w:rPr>
        <w:t xml:space="preserve">Saving:</w:t>
      </w:r>
      <w:r>
        <w:rPr>
          <w:b w:val="false"/>
          <w:bCs w:val="false"/>
        </w:rPr>
        <w:t xml:space="preserve"> 4 users × 317.4 kWh × (1 − 0.99/3.5) per washroom; household share 2/4 = </w:t>
      </w:r>
      <w:r>
        <w:rPr>
          <w:b/>
          <w:bCs/>
        </w:rPr>
        <w:t xml:space="preserve">910.4 kWh/yr</w:t>
      </w:r>
      <w:r>
        <w:rPr>
          <w:b w:val="false"/>
          <w:bCs w:val="false"/>
        </w:rPr>
        <w:t xml:space="preserve"> (household share 455.2 kWh), 72% of the affected end-use; HK$1,280/yr and 310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HK$20,000; simple payback 15.6 years; NPV over 15 years -HK$6,626; SIR 0.67; cost of saved energy HK$1.98/kWh against the HK$1.406/kWh tariff. </w:t>
      </w:r>
      <w:r>
        <w:rPr>
          <w:b/>
          <w:bCs/>
        </w:rPr>
        <w:t xml:space="preserve">Further study (also cuts peak demand).</w:t>
      </w:r>
    </w:p>
    <w:p>
      <w:pPr>
        <w:spacing w:after="100" w:before="0" w:line="276"/>
        <w:jc w:val="both"/>
      </w:pPr>
      <w:r>
        <w:rPr>
          <w:b/>
          <w:bCs/>
        </w:rPr>
        <w:t xml:space="preserve">EMO-19 Replace the window AC (CityU).</w:t>
      </w:r>
      <w:r>
        <w:rPr>
          <w:b w:val="false"/>
          <w:bCs w:val="false"/>
        </w:rPr>
        <w:t xml:space="preserve"> A best-in-class split unit (CSPF about 7.5; Grade-1 units range from 5.06 to 7.51 [27]) would replace a unit that is new and already Grade 1. </w:t>
      </w:r>
      <w:r>
        <w:rPr>
          <w:b/>
          <w:bCs/>
        </w:rPr>
        <w:t xml:space="preserve">Saving:</w:t>
      </w:r>
      <w:r>
        <w:rPr>
          <w:b w:val="false"/>
          <w:bCs w:val="false"/>
        </w:rPr>
        <w:t xml:space="preserve"> 810.8 kWh × (1 − 4.66/7.5) = </w:t>
      </w:r>
      <w:r>
        <w:rPr>
          <w:b/>
          <w:bCs/>
        </w:rPr>
        <w:t xml:space="preserve">306.8 kWh/yr</w:t>
      </w:r>
      <w:r>
        <w:rPr>
          <w:b w:val="false"/>
          <w:bCs w:val="false"/>
        </w:rPr>
        <w:t xml:space="preserve">, 38% of the affected end-use; HK$431/yr and 104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HK$9,000; simple payback 20.9 years; NPV over 12 years -HK$5,149; SIR 0.43; cost of saved energy HK$3.13/kWh against the HK$1.406/kWh tariff. </w:t>
      </w:r>
      <w:r>
        <w:rPr>
          <w:b/>
          <w:bCs/>
        </w:rPr>
        <w:t xml:space="preserve">Not viable - payback exceeds service life.</w:t>
      </w:r>
    </w:p>
    <w:p>
      <w:pPr>
        <w:spacing w:after="100" w:before="0" w:line="276"/>
        <w:jc w:val="both"/>
      </w:pPr>
      <w:r>
        <w:rPr>
          <w:b/>
          <w:bCs/>
        </w:rPr>
        <w:t xml:space="preserve">EMO-20 Solar-control window film (CityU).</w:t>
      </w:r>
      <w:r>
        <w:rPr>
          <w:b w:val="false"/>
          <w:bCs w:val="false"/>
        </w:rPr>
        <w:t xml:space="preserve"> Film on only 1.55 m² of NW glazing saves about 2% of AC energy. </w:t>
      </w:r>
      <w:r>
        <w:rPr>
          <w:b/>
          <w:bCs/>
        </w:rPr>
        <w:t xml:space="preserve">Saving:</w:t>
      </w:r>
      <w:r>
        <w:rPr>
          <w:b w:val="false"/>
          <w:bCs w:val="false"/>
        </w:rPr>
        <w:t xml:space="preserve"> 810.8 kWh × 2% = </w:t>
      </w:r>
      <w:r>
        <w:rPr>
          <w:b/>
          <w:bCs/>
        </w:rPr>
        <w:t xml:space="preserve">16.2 kWh/yr</w:t>
      </w:r>
      <w:r>
        <w:rPr>
          <w:b w:val="false"/>
          <w:bCs w:val="false"/>
        </w:rPr>
        <w:t xml:space="preserve">, 2% of the affected end-use; HK$23/yr and 6 kg </w:t>
      </w:r>
      <w:r>
        <w:rPr>
          <w:b w:val="false"/>
          <w:bCs w:val="false"/>
        </w:rPr>
        <w:t xml:space="preserve">CO</w:t>
      </w:r>
      <w:r>
        <w:rPr>
          <w:b w:val="false"/>
          <w:bCs w:val="false"/>
          <w:vertAlign w:val="subscript"/>
        </w:rPr>
        <w:t xml:space="preserve">2</w:t>
      </w:r>
      <w:r>
        <w:rPr>
          <w:b w:val="false"/>
          <w:bCs w:val="false"/>
        </w:rPr>
        <w:t xml:space="preserve">e/yr. </w:t>
      </w:r>
      <w:r>
        <w:rPr>
          <w:b/>
          <w:bCs/>
        </w:rPr>
        <w:t xml:space="preserve">Cost-benefit:</w:t>
      </w:r>
      <w:r>
        <w:rPr>
          <w:b w:val="false"/>
          <w:bCs w:val="false"/>
        </w:rPr>
        <w:t xml:space="preserve"> HK$800; simple payback 35.1 years; NPV over 10 years -HK$623; SIR 0.22; cost of saved energy HK$6.08/kWh against the HK$1.406/kWh tariff. </w:t>
      </w:r>
      <w:r>
        <w:rPr>
          <w:b/>
          <w:bCs/>
        </w:rPr>
        <w:t xml:space="preserve">Not viable at present.</w:t>
      </w:r>
    </w:p>
    <w:p>
      <w:pPr>
        <w:spacing w:after="100" w:before="0" w:line="276"/>
        <w:jc w:val="both"/>
      </w:pPr>
      <w:r>
        <w:rPr>
          <w:b/>
          <w:bCs/>
        </w:rPr>
        <w:t xml:space="preserve">EMO-21 Rooftop PV (CityU).</w:t>
      </w:r>
      <w:r>
        <w:rPr>
          <w:b w:val="false"/>
          <w:bCs w:val="false"/>
        </w:rPr>
        <w:t xml:space="preserve"> A viability statement under EAC §7.4.4(d) and §8.1(l)(iii); see Section 9.4.</w:t>
      </w:r>
    </w:p>
    <w:p>
      <w:pPr>
        <w:spacing w:after="120" w:before="0" w:line="276"/>
        <w:jc w:val="both"/>
      </w:pPr>
      <w:r>
        <w:rPr>
          <w:b w:val="false"/>
          <w:bCs w:val="false"/>
        </w:rPr>
        <w:t xml:space="preserve">The NPVs above already include a 1%/yr decline in savings (EAC §7.5.4(b)). Every Category III measure has a cost of saved energy above the tariff, so none is cost-effective on energy grounds alone. EMO-18 deserves study because it also cuts the hall's peak demand.</w:t>
      </w:r>
    </w:p>
    <w:p>
      <w:pPr>
        <w:pStyle w:val="Heading2"/>
      </w:pPr>
      <w:r>
        <w:rPr>
          <w:b w:val="false"/>
          <w:bCs w:val="false"/>
        </w:rPr>
        <w:t xml:space="preserve">9.4  Energy recovery and renewable energy (EAC §7.4.4(c)-(d), §8.1(l)(iii))</w:t>
      </w:r>
    </w:p>
    <w:p>
      <w:pPr>
        <w:spacing w:after="120" w:before="0" w:line="276"/>
        <w:jc w:val="both"/>
      </w:pPr>
      <w:r>
        <w:rPr>
          <w:b/>
          <w:bCs/>
        </w:rPr>
        <w:t xml:space="preserve">Energy recovery:</w:t>
      </w:r>
      <w:r>
        <w:rPr>
          <w:b w:val="false"/>
          <w:bCs w:val="false"/>
        </w:rPr>
        <w:t xml:space="preserve"> drain-water heat recovery could pre-heat shower water. However, with one shower at a time, instantaneous heating and the tight MiC washroom pods, the recoverable heat is small and the retrofit intrusive, so it is not recommended.</w:t>
      </w:r>
    </w:p>
    <w:p>
      <w:pPr>
        <w:spacing w:after="120" w:before="0" w:line="276"/>
        <w:jc w:val="both"/>
      </w:pPr>
      <w:r>
        <w:rPr>
          <w:b/>
          <w:bCs/>
        </w:rPr>
        <w:t xml:space="preserve">Renewable energy:</w:t>
      </w:r>
      <w:r>
        <w:rPr>
          <w:b w:val="false"/>
          <w:bCs w:val="false"/>
        </w:rPr>
        <w:t xml:space="preserve"> the village already has 110 rooftop PV panels [15]. Additional roof or façade PV would earn CLP's Feed-in Tariff: HK$3/kWh for 10-200 kW and HK$2.5/kWh for 200 kW-1 MW [22]. The economics are attractive at hall scale but outside the household's control, so it is recommended for study by CityU (EMO-21).</w:t>
      </w:r>
    </w:p>
    <w:p>
      <w:pPr>
        <w:keepNext/>
        <w:spacing w:after="80" w:before="160"/>
      </w:pPr>
      <w:r>
        <w:rPr>
          <w:b/>
          <w:bCs/>
          <w:color w:val="1F3864"/>
          <w:sz w:val="18"/>
          <w:szCs w:val="18"/>
        </w:rPr>
        <w:t xml:space="preserve">Table 9.3: Combined impact by category (household share)</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412"/>
        <w:gridCol w:w="1100"/>
        <w:gridCol w:w="1300"/>
        <w:gridCol w:w="1700"/>
        <w:gridCol w:w="1400"/>
        <w:gridCol w:w="1500"/>
      </w:tblGrid>
      <w:tr>
        <w:trPr>
          <w:tblHeader/>
        </w:trPr>
        <w:tc>
          <w:tcPr>
            <w:tcW w:type="dxa" w:w="24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Category</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No. of EMOs</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kWh/yr saved</w:t>
            </w:r>
          </w:p>
        </w:tc>
        <w:tc>
          <w:tcPr>
            <w:tcW w:type="dxa" w:w="17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 of household electricity</w:t>
            </w:r>
          </w:p>
        </w:tc>
        <w:tc>
          <w:tcPr>
            <w:tcW w:type="dxa" w:w="14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kg </w:t>
            </w:r>
            <w:r>
              <w:rPr>
                <w:b/>
                <w:bCs/>
                <w:color w:val="1F3864"/>
                <w:sz w:val="16"/>
                <w:szCs w:val="16"/>
              </w:rPr>
              <w:t xml:space="preserve">CO</w:t>
            </w:r>
            <w:r>
              <w:rPr>
                <w:b/>
                <w:bCs/>
                <w:color w:val="1F3864"/>
                <w:sz w:val="16"/>
                <w:szCs w:val="16"/>
                <w:vertAlign w:val="subscript"/>
              </w:rPr>
              <w:t xml:space="preserve">2</w:t>
            </w:r>
            <w:r>
              <w:rPr>
                <w:b/>
                <w:bCs/>
                <w:color w:val="1F3864"/>
                <w:sz w:val="16"/>
                <w:szCs w:val="16"/>
              </w:rPr>
              <w:t xml:space="preserve">e/yr (CLP)</w:t>
            </w:r>
          </w:p>
        </w:tc>
        <w:tc>
          <w:tcPr>
            <w:tcW w:type="dxa" w:w="15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Facility-level kWh/yr</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Category I</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10</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660</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25.5%</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224</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660</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Category II</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7</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311</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12.0%</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106</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1,405</w:t>
            </w:r>
          </w:p>
        </w:tc>
      </w:tr>
      <w:tr>
        <w:trPr>
          <w:cantSplit/>
        </w:trPr>
        <w:tc>
          <w:tcPr>
            <w:tcW w:type="dxa" w:w="2412"/>
            <w:tcMar>
              <w:top w:type="dxa" w:w="50"/>
              <w:left w:type="dxa" w:w="90"/>
              <w:bottom w:type="dxa" w:w="50"/>
              <w:right w:type="dxa" w:w="90"/>
            </w:tcMar>
            <w:vAlign w:val="center"/>
          </w:tcPr>
          <w:p>
            <w:pPr>
              <w:spacing w:after="0" w:line="240"/>
              <w:jc w:val="left"/>
            </w:pPr>
            <w:r>
              <w:rPr>
                <w:b w:val="false"/>
                <w:bCs w:val="false"/>
                <w:sz w:val="16"/>
                <w:szCs w:val="16"/>
              </w:rPr>
              <w:t xml:space="preserve">Category III</w:t>
            </w:r>
          </w:p>
        </w:tc>
        <w:tc>
          <w:tcPr>
            <w:tcW w:type="dxa" w:w="1100"/>
            <w:tcMar>
              <w:top w:type="dxa" w:w="50"/>
              <w:left w:type="dxa" w:w="90"/>
              <w:bottom w:type="dxa" w:w="50"/>
              <w:right w:type="dxa" w:w="90"/>
            </w:tcMar>
            <w:vAlign w:val="center"/>
          </w:tcPr>
          <w:p>
            <w:pPr>
              <w:spacing w:after="0" w:line="240"/>
              <w:jc w:val="right"/>
            </w:pPr>
            <w:r>
              <w:rPr>
                <w:b w:val="false"/>
                <w:bCs w:val="false"/>
                <w:sz w:val="16"/>
                <w:szCs w:val="16"/>
              </w:rPr>
              <w:t xml:space="preserve">4</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778</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30.1%</w:t>
            </w:r>
          </w:p>
        </w:tc>
        <w:tc>
          <w:tcPr>
            <w:tcW w:type="dxa" w:w="1400"/>
            <w:tcMar>
              <w:top w:type="dxa" w:w="50"/>
              <w:left w:type="dxa" w:w="90"/>
              <w:bottom w:type="dxa" w:w="50"/>
              <w:right w:type="dxa" w:w="90"/>
            </w:tcMar>
            <w:vAlign w:val="center"/>
          </w:tcPr>
          <w:p>
            <w:pPr>
              <w:spacing w:after="0" w:line="240"/>
              <w:jc w:val="right"/>
            </w:pPr>
            <w:r>
              <w:rPr>
                <w:b w:val="false"/>
                <w:bCs w:val="false"/>
                <w:sz w:val="16"/>
                <w:szCs w:val="16"/>
              </w:rPr>
              <w:t xml:space="preserve">265</w:t>
            </w:r>
          </w:p>
        </w:tc>
        <w:tc>
          <w:tcPr>
            <w:tcW w:type="dxa" w:w="1500"/>
            <w:tcMar>
              <w:top w:type="dxa" w:w="50"/>
              <w:left w:type="dxa" w:w="90"/>
              <w:bottom w:type="dxa" w:w="50"/>
              <w:right w:type="dxa" w:w="90"/>
            </w:tcMar>
            <w:vAlign w:val="center"/>
          </w:tcPr>
          <w:p>
            <w:pPr>
              <w:spacing w:after="0" w:line="240"/>
              <w:jc w:val="right"/>
            </w:pPr>
            <w:r>
              <w:rPr>
                <w:b w:val="false"/>
                <w:bCs w:val="false"/>
                <w:sz w:val="16"/>
                <w:szCs w:val="16"/>
              </w:rPr>
              <w:t xml:space="preserve">1,233</w:t>
            </w:r>
          </w:p>
        </w:tc>
      </w:tr>
      <w:tr>
        <w:trPr>
          <w:cantSplit/>
        </w:trPr>
        <w:tc>
          <w:tcPr>
            <w:tcW w:type="dxa" w:w="2412"/>
            <w:shd w:fill="F2F2F2" w:color="auto" w:val="clear"/>
            <w:tcMar>
              <w:top w:type="dxa" w:w="50"/>
              <w:left w:type="dxa" w:w="90"/>
              <w:bottom w:type="dxa" w:w="50"/>
              <w:right w:type="dxa" w:w="90"/>
            </w:tcMar>
            <w:vAlign w:val="center"/>
          </w:tcPr>
          <w:p>
            <w:pPr>
              <w:spacing w:after="0" w:line="240"/>
              <w:jc w:val="left"/>
            </w:pPr>
            <w:r>
              <w:rPr>
                <w:b/>
                <w:bCs/>
                <w:sz w:val="16"/>
                <w:szCs w:val="16"/>
              </w:rPr>
              <w:t xml:space="preserve">All EMOs*</w:t>
            </w:r>
          </w:p>
        </w:tc>
        <w:tc>
          <w:tcPr>
            <w:tcW w:type="dxa" w:w="1100"/>
            <w:shd w:fill="F2F2F2" w:color="auto" w:val="clear"/>
            <w:tcMar>
              <w:top w:type="dxa" w:w="50"/>
              <w:left w:type="dxa" w:w="90"/>
              <w:bottom w:type="dxa" w:w="50"/>
              <w:right w:type="dxa" w:w="90"/>
            </w:tcMar>
            <w:vAlign w:val="center"/>
          </w:tcPr>
          <w:p>
            <w:pPr>
              <w:spacing w:after="0" w:line="240"/>
              <w:jc w:val="right"/>
            </w:pPr>
            <w:r>
              <w:rPr>
                <w:b/>
                <w:bCs/>
                <w:sz w:val="16"/>
                <w:szCs w:val="16"/>
              </w:rPr>
              <w:t xml:space="preserve">21</w:t>
            </w:r>
          </w:p>
        </w:tc>
        <w:tc>
          <w:tcPr>
            <w:tcW w:type="dxa" w:w="1300"/>
            <w:shd w:fill="F2F2F2" w:color="auto" w:val="clear"/>
            <w:tcMar>
              <w:top w:type="dxa" w:w="50"/>
              <w:left w:type="dxa" w:w="90"/>
              <w:bottom w:type="dxa" w:w="50"/>
              <w:right w:type="dxa" w:w="90"/>
            </w:tcMar>
            <w:vAlign w:val="center"/>
          </w:tcPr>
          <w:p>
            <w:pPr>
              <w:spacing w:after="0" w:line="240"/>
              <w:jc w:val="right"/>
            </w:pPr>
            <w:r>
              <w:rPr>
                <w:b/>
                <w:bCs/>
                <w:sz w:val="16"/>
                <w:szCs w:val="16"/>
              </w:rPr>
              <w:t xml:space="preserve">1,749</w:t>
            </w:r>
          </w:p>
        </w:tc>
        <w:tc>
          <w:tcPr>
            <w:tcW w:type="dxa" w:w="1700"/>
            <w:shd w:fill="F2F2F2" w:color="auto" w:val="clear"/>
            <w:tcMar>
              <w:top w:type="dxa" w:w="50"/>
              <w:left w:type="dxa" w:w="90"/>
              <w:bottom w:type="dxa" w:w="50"/>
              <w:right w:type="dxa" w:w="90"/>
            </w:tcMar>
            <w:vAlign w:val="center"/>
          </w:tcPr>
          <w:p>
            <w:pPr>
              <w:spacing w:after="0" w:line="240"/>
              <w:jc w:val="right"/>
            </w:pPr>
            <w:r>
              <w:rPr>
                <w:b/>
                <w:bCs/>
                <w:sz w:val="16"/>
                <w:szCs w:val="16"/>
              </w:rPr>
              <w:t xml:space="preserve">67.6%</w:t>
            </w:r>
          </w:p>
        </w:tc>
        <w:tc>
          <w:tcPr>
            <w:tcW w:type="dxa" w:w="1400"/>
            <w:shd w:fill="F2F2F2" w:color="auto" w:val="clear"/>
            <w:tcMar>
              <w:top w:type="dxa" w:w="50"/>
              <w:left w:type="dxa" w:w="90"/>
              <w:bottom w:type="dxa" w:w="50"/>
              <w:right w:type="dxa" w:w="90"/>
            </w:tcMar>
            <w:vAlign w:val="center"/>
          </w:tcPr>
          <w:p>
            <w:pPr>
              <w:spacing w:after="0" w:line="240"/>
              <w:jc w:val="right"/>
            </w:pPr>
            <w:r>
              <w:rPr>
                <w:b/>
                <w:bCs/>
                <w:sz w:val="16"/>
                <w:szCs w:val="16"/>
              </w:rPr>
              <w:t xml:space="preserve">595</w:t>
            </w:r>
          </w:p>
        </w:tc>
        <w:tc>
          <w:tcPr>
            <w:tcW w:type="dxa" w:w="1500"/>
            <w:shd w:fill="F2F2F2" w:color="auto" w:val="clear"/>
            <w:tcMar>
              <w:top w:type="dxa" w:w="50"/>
              <w:left w:type="dxa" w:w="90"/>
              <w:bottom w:type="dxa" w:w="50"/>
              <w:right w:type="dxa" w:w="90"/>
            </w:tcMar>
            <w:vAlign w:val="center"/>
          </w:tcPr>
          <w:p>
            <w:pPr>
              <w:spacing w:after="0" w:line="240"/>
              <w:jc w:val="right"/>
            </w:pPr>
            <w:r>
              <w:rPr>
                <w:b/>
                <w:bCs/>
                <w:sz w:val="16"/>
                <w:szCs w:val="16"/>
              </w:rPr>
              <w:t xml:space="preserve">3,299</w:t>
            </w:r>
          </w:p>
        </w:tc>
      </w:tr>
    </w:tbl>
    <w:p>
      <w:pPr>
        <w:spacing w:after="120" w:before="0" w:line="276"/>
        <w:jc w:val="both"/>
      </w:pPr>
      <w:r>
        <w:rPr>
          <w:b w:val="false"/>
          <w:bCs w:val="false"/>
          <w:i/>
          <w:iCs/>
          <w:sz w:val="16"/>
          <w:szCs w:val="16"/>
        </w:rPr>
        <w:t xml:space="preserve">*Savings interact (e.g. shorter showers and low-flow heads both reduce the same hot water), so totals are indicative rather than strictly additive. The Category III total includes measures found not viable.</w:t>
      </w:r>
    </w:p>
    <w:p>
      <w:pPr>
        <w:pStyle w:val="Heading1"/>
        <w:pageBreakBefore/>
      </w:pPr>
      <w:r>
        <w:rPr>
          <w:b w:val="false"/>
          <w:bCs w:val="false"/>
        </w:rPr>
        <w:t xml:space="preserve">10  Scaling up to Sha Tin District</w:t>
      </w:r>
    </w:p>
    <w:p>
      <w:pPr>
        <w:spacing w:after="120" w:before="0" w:line="276"/>
        <w:jc w:val="both"/>
      </w:pPr>
      <w:r>
        <w:rPr>
          <w:b w:val="false"/>
          <w:bCs w:val="false"/>
        </w:rPr>
        <w:t xml:space="preserve">Ma On Shan lies in </w:t>
      </w:r>
      <w:r>
        <w:rPr>
          <w:b/>
          <w:bCs/>
        </w:rPr>
        <w:t xml:space="preserve">Sha Tin District</w:t>
      </w:r>
      <w:r>
        <w:rPr>
          <w:b w:val="false"/>
          <w:bCs w:val="false"/>
        </w:rPr>
        <w:t xml:space="preserve">, the most populous of Hong Kong's 18 districts. This chapter turns the audit into two scaling factors, energy per capita and energy per square metre, and applies them to the district's population and domestic floor area. The population and household data come from the Census and Statistics Department [33]; the floor-area data come from the Housing Department and Census records [23], [34]-[37]. The results are compared with each other (i) and a composite factor linking energy, floor area and residents is developed (ii). Electricity is the quantity scaled, because it is what this all-electric household uses.</w:t>
      </w:r>
    </w:p>
    <w:p>
      <w:pPr>
        <w:pStyle w:val="Heading2"/>
      </w:pPr>
      <w:r>
        <w:rPr>
          <w:b w:val="false"/>
          <w:bCs w:val="false"/>
        </w:rPr>
        <w:t xml:space="preserve">10.1  Factors from the audit</w:t>
      </w:r>
    </w:p>
    <w:p>
      <w:pPr>
        <w:keepNext/>
        <w:spacing w:after="80" w:before="160"/>
      </w:pPr>
      <w:r>
        <w:rPr>
          <w:b/>
          <w:bCs/>
          <w:color w:val="1F3864"/>
          <w:sz w:val="18"/>
          <w:szCs w:val="18"/>
        </w:rPr>
        <w:t xml:space="preserve">Table 10.1: Scaling factors derived from the audited household</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200"/>
        <w:gridCol w:w="1300"/>
        <w:gridCol w:w="1500"/>
        <w:gridCol w:w="3412"/>
      </w:tblGrid>
      <w:tr>
        <w:trPr>
          <w:tblHeader/>
        </w:trPr>
        <w:tc>
          <w:tcPr>
            <w:tcW w:type="dxa" w:w="32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Factor</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Value</w:t>
            </w:r>
          </w:p>
        </w:tc>
        <w:tc>
          <w:tcPr>
            <w:tcW w:type="dxa" w:w="15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Unit</w:t>
            </w:r>
          </w:p>
        </w:tc>
        <w:tc>
          <w:tcPr>
            <w:tcW w:type="dxa" w:w="34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Basis</w:t>
            </w:r>
          </w:p>
        </w:tc>
      </w:tr>
      <w:tr>
        <w:trPr>
          <w:cantSplit/>
        </w:trPr>
        <w:tc>
          <w:tcPr>
            <w:tcW w:type="dxa" w:w="3200"/>
            <w:tcMar>
              <w:top w:type="dxa" w:w="50"/>
              <w:left w:type="dxa" w:w="90"/>
              <w:bottom w:type="dxa" w:w="50"/>
              <w:right w:type="dxa" w:w="90"/>
            </w:tcMar>
            <w:vAlign w:val="center"/>
          </w:tcPr>
          <w:p>
            <w:pPr>
              <w:spacing w:after="0" w:line="240"/>
              <w:jc w:val="left"/>
            </w:pPr>
            <w:r>
              <w:rPr>
                <w:b w:val="false"/>
                <w:bCs w:val="false"/>
                <w:sz w:val="16"/>
                <w:szCs w:val="16"/>
              </w:rPr>
              <w:t xml:space="preserve">Energy per capita, e_pc</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1,293</w:t>
            </w:r>
          </w:p>
        </w:tc>
        <w:tc>
          <w:tcPr>
            <w:tcW w:type="dxa" w:w="1500"/>
            <w:tcMar>
              <w:top w:type="dxa" w:w="50"/>
              <w:left w:type="dxa" w:w="90"/>
              <w:bottom w:type="dxa" w:w="50"/>
              <w:right w:type="dxa" w:w="90"/>
            </w:tcMar>
            <w:vAlign w:val="center"/>
          </w:tcPr>
          <w:p>
            <w:pPr>
              <w:spacing w:after="0" w:line="240"/>
              <w:jc w:val="left"/>
            </w:pPr>
            <w:r>
              <w:rPr>
                <w:b w:val="false"/>
                <w:bCs w:val="false"/>
                <w:sz w:val="16"/>
                <w:szCs w:val="16"/>
              </w:rPr>
              <w:t xml:space="preserve">kWh/person/yr</w:t>
            </w:r>
          </w:p>
        </w:tc>
        <w:tc>
          <w:tcPr>
            <w:tcW w:type="dxa" w:w="3412"/>
            <w:tcMar>
              <w:top w:type="dxa" w:w="50"/>
              <w:left w:type="dxa" w:w="90"/>
              <w:bottom w:type="dxa" w:w="50"/>
              <w:right w:type="dxa" w:w="90"/>
            </w:tcMar>
            <w:vAlign w:val="center"/>
          </w:tcPr>
          <w:p>
            <w:pPr>
              <w:spacing w:after="0" w:line="240"/>
              <w:jc w:val="left"/>
            </w:pPr>
            <w:r>
              <w:rPr>
                <w:b w:val="false"/>
                <w:bCs w:val="false"/>
                <w:sz w:val="16"/>
                <w:szCs w:val="16"/>
              </w:rPr>
              <w:t xml:space="preserve">Household electricity 2,586 kWh ÷ 2 residents</w:t>
            </w:r>
          </w:p>
        </w:tc>
      </w:tr>
      <w:tr>
        <w:trPr>
          <w:cantSplit/>
        </w:trPr>
        <w:tc>
          <w:tcPr>
            <w:tcW w:type="dxa" w:w="3200"/>
            <w:tcMar>
              <w:top w:type="dxa" w:w="50"/>
              <w:left w:type="dxa" w:w="90"/>
              <w:bottom w:type="dxa" w:w="50"/>
              <w:right w:type="dxa" w:w="90"/>
            </w:tcMar>
            <w:vAlign w:val="center"/>
          </w:tcPr>
          <w:p>
            <w:pPr>
              <w:spacing w:after="0" w:line="240"/>
              <w:jc w:val="left"/>
            </w:pPr>
            <w:r>
              <w:rPr>
                <w:b w:val="false"/>
                <w:bCs w:val="false"/>
                <w:sz w:val="16"/>
                <w:szCs w:val="16"/>
              </w:rPr>
              <w:t xml:space="preserve">Energy per square metre, e_m2</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172.4</w:t>
            </w:r>
          </w:p>
        </w:tc>
        <w:tc>
          <w:tcPr>
            <w:tcW w:type="dxa" w:w="1500"/>
            <w:tcMar>
              <w:top w:type="dxa" w:w="50"/>
              <w:left w:type="dxa" w:w="90"/>
              <w:bottom w:type="dxa" w:w="50"/>
              <w:right w:type="dxa" w:w="90"/>
            </w:tcMar>
            <w:vAlign w:val="center"/>
          </w:tcPr>
          <w:p>
            <w:pPr>
              <w:spacing w:after="0" w:line="240"/>
              <w:jc w:val="left"/>
            </w:pPr>
            <w:r>
              <w:rPr>
                <w:b w:val="false"/>
                <w:bCs w:val="false"/>
                <w:sz w:val="16"/>
                <w:szCs w:val="16"/>
              </w:rPr>
              <w:t xml:space="preserve">kWh/m²/yr</w:t>
            </w:r>
          </w:p>
        </w:tc>
        <w:tc>
          <w:tcPr>
            <w:tcW w:type="dxa" w:w="3412"/>
            <w:tcMar>
              <w:top w:type="dxa" w:w="50"/>
              <w:left w:type="dxa" w:w="90"/>
              <w:bottom w:type="dxa" w:w="50"/>
              <w:right w:type="dxa" w:w="90"/>
            </w:tcMar>
            <w:vAlign w:val="center"/>
          </w:tcPr>
          <w:p>
            <w:pPr>
              <w:spacing w:after="0" w:line="240"/>
              <w:jc w:val="left"/>
            </w:pPr>
            <w:r>
              <w:rPr>
                <w:b w:val="false"/>
                <w:bCs w:val="false"/>
                <w:sz w:val="16"/>
                <w:szCs w:val="16"/>
              </w:rPr>
              <w:t xml:space="preserve">Household electricity ÷ 15 m² dwelling floor area (shared-facility energy included)</w:t>
            </w:r>
          </w:p>
        </w:tc>
      </w:tr>
      <w:tr>
        <w:trPr>
          <w:cantSplit/>
        </w:trPr>
        <w:tc>
          <w:tcPr>
            <w:tcW w:type="dxa" w:w="3200"/>
            <w:tcMar>
              <w:top w:type="dxa" w:w="50"/>
              <w:left w:type="dxa" w:w="90"/>
              <w:bottom w:type="dxa" w:w="50"/>
              <w:right w:type="dxa" w:w="90"/>
            </w:tcMar>
            <w:vAlign w:val="center"/>
          </w:tcPr>
          <w:p>
            <w:pPr>
              <w:spacing w:after="0" w:line="240"/>
              <w:jc w:val="left"/>
            </w:pPr>
            <w:r>
              <w:rPr>
                <w:b w:val="false"/>
                <w:bCs w:val="false"/>
                <w:sz w:val="16"/>
                <w:szCs w:val="16"/>
              </w:rPr>
              <w:t xml:space="preserve">For reference: room EUI</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81.3</w:t>
            </w:r>
          </w:p>
        </w:tc>
        <w:tc>
          <w:tcPr>
            <w:tcW w:type="dxa" w:w="1500"/>
            <w:tcMar>
              <w:top w:type="dxa" w:w="50"/>
              <w:left w:type="dxa" w:w="90"/>
              <w:bottom w:type="dxa" w:w="50"/>
              <w:right w:type="dxa" w:w="90"/>
            </w:tcMar>
            <w:vAlign w:val="center"/>
          </w:tcPr>
          <w:p>
            <w:pPr>
              <w:spacing w:after="0" w:line="240"/>
              <w:jc w:val="left"/>
            </w:pPr>
            <w:r>
              <w:rPr>
                <w:b w:val="false"/>
                <w:bCs w:val="false"/>
                <w:sz w:val="16"/>
                <w:szCs w:val="16"/>
              </w:rPr>
              <w:t xml:space="preserve">kWh/m²/yr</w:t>
            </w:r>
          </w:p>
        </w:tc>
        <w:tc>
          <w:tcPr>
            <w:tcW w:type="dxa" w:w="3412"/>
            <w:tcMar>
              <w:top w:type="dxa" w:w="50"/>
              <w:left w:type="dxa" w:w="90"/>
              <w:bottom w:type="dxa" w:w="50"/>
              <w:right w:type="dxa" w:w="90"/>
            </w:tcMar>
            <w:vAlign w:val="center"/>
          </w:tcPr>
          <w:p>
            <w:pPr>
              <w:spacing w:after="0" w:line="240"/>
              <w:jc w:val="left"/>
            </w:pPr>
            <w:r>
              <w:rPr>
                <w:b w:val="false"/>
                <w:bCs w:val="false"/>
                <w:sz w:val="16"/>
                <w:szCs w:val="16"/>
              </w:rPr>
              <w:t xml:space="preserve">Energy used inside the room only (EAC EUI basis)</w:t>
            </w:r>
          </w:p>
        </w:tc>
      </w:tr>
      <w:tr>
        <w:trPr>
          <w:cantSplit/>
        </w:trPr>
        <w:tc>
          <w:tcPr>
            <w:tcW w:type="dxa" w:w="3200"/>
            <w:tcMar>
              <w:top w:type="dxa" w:w="50"/>
              <w:left w:type="dxa" w:w="90"/>
              <w:bottom w:type="dxa" w:w="50"/>
              <w:right w:type="dxa" w:w="90"/>
            </w:tcMar>
            <w:vAlign w:val="center"/>
          </w:tcPr>
          <w:p>
            <w:pPr>
              <w:spacing w:after="0" w:line="240"/>
              <w:jc w:val="left"/>
            </w:pPr>
            <w:r>
              <w:rPr>
                <w:b w:val="false"/>
                <w:bCs w:val="false"/>
                <w:sz w:val="16"/>
                <w:szCs w:val="16"/>
              </w:rPr>
              <w:t xml:space="preserve">Floor area per person in the audit, s</w:t>
            </w:r>
          </w:p>
        </w:tc>
        <w:tc>
          <w:tcPr>
            <w:tcW w:type="dxa" w:w="1300"/>
            <w:tcMar>
              <w:top w:type="dxa" w:w="50"/>
              <w:left w:type="dxa" w:w="90"/>
              <w:bottom w:type="dxa" w:w="50"/>
              <w:right w:type="dxa" w:w="90"/>
            </w:tcMar>
            <w:vAlign w:val="center"/>
          </w:tcPr>
          <w:p>
            <w:pPr>
              <w:spacing w:after="0" w:line="240"/>
              <w:jc w:val="right"/>
            </w:pPr>
            <w:r>
              <w:rPr>
                <w:b w:val="false"/>
                <w:bCs w:val="false"/>
                <w:sz w:val="16"/>
                <w:szCs w:val="16"/>
              </w:rPr>
              <w:t xml:space="preserve">7.5</w:t>
            </w:r>
          </w:p>
        </w:tc>
        <w:tc>
          <w:tcPr>
            <w:tcW w:type="dxa" w:w="1500"/>
            <w:tcMar>
              <w:top w:type="dxa" w:w="50"/>
              <w:left w:type="dxa" w:w="90"/>
              <w:bottom w:type="dxa" w:w="50"/>
              <w:right w:type="dxa" w:w="90"/>
            </w:tcMar>
            <w:vAlign w:val="center"/>
          </w:tcPr>
          <w:p>
            <w:pPr>
              <w:spacing w:after="0" w:line="240"/>
              <w:jc w:val="left"/>
            </w:pPr>
            <w:r>
              <w:rPr>
                <w:b w:val="false"/>
                <w:bCs w:val="false"/>
                <w:sz w:val="16"/>
                <w:szCs w:val="16"/>
              </w:rPr>
              <w:t xml:space="preserve">m²/person</w:t>
            </w:r>
          </w:p>
        </w:tc>
        <w:tc>
          <w:tcPr>
            <w:tcW w:type="dxa" w:w="3412"/>
            <w:tcMar>
              <w:top w:type="dxa" w:w="50"/>
              <w:left w:type="dxa" w:w="90"/>
              <w:bottom w:type="dxa" w:w="50"/>
              <w:right w:type="dxa" w:w="90"/>
            </w:tcMar>
            <w:vAlign w:val="center"/>
          </w:tcPr>
          <w:p>
            <w:pPr>
              <w:spacing w:after="0" w:line="240"/>
              <w:jc w:val="left"/>
            </w:pPr>
            <w:r>
              <w:rPr>
                <w:b w:val="false"/>
                <w:bCs w:val="false"/>
                <w:sz w:val="16"/>
                <w:szCs w:val="16"/>
              </w:rPr>
              <w:t xml:space="preserve">Half the Hong Kong median</w:t>
            </w:r>
          </w:p>
        </w:tc>
      </w:tr>
    </w:tbl>
    <w:p>
      <w:pPr>
        <w:pStyle w:val="Heading2"/>
      </w:pPr>
      <w:r>
        <w:rPr>
          <w:b w:val="false"/>
          <w:bCs w:val="false"/>
        </w:rPr>
        <w:t xml:space="preserve">10.2  Sha Tin District data</w:t>
      </w:r>
    </w:p>
    <w:p>
      <w:pPr>
        <w:keepNext/>
        <w:spacing w:after="40" w:before="0" w:line="276"/>
        <w:jc w:val="both"/>
      </w:pPr>
      <w:r>
        <w:rPr>
          <w:b w:val="false"/>
          <w:bCs w:val="false"/>
        </w:rPr>
        <w:t xml:space="preserve">The district's domestic floor area is estimated in two independent ways:</w:t>
      </w:r>
    </w:p>
    <w:p>
      <w:pPr>
        <w:pStyle w:val="ListParagraph"/>
        <w:numPr>
          <w:ilvl w:val="0"/>
          <w:numId w:val="2"/>
        </w:numPr>
        <w:spacing w:after="60" w:line="264"/>
      </w:pPr>
      <w:r>
        <w:rPr>
          <w:b/>
          <w:bCs/>
        </w:rPr>
        <w:t xml:space="preserve">Method 1</w:t>
      </w:r>
      <w:r>
        <w:rPr>
          <w:b w:val="false"/>
          <w:bCs w:val="false"/>
        </w:rPr>
        <w:t xml:space="preserve"> multiplies the population by the 2021 Census median floor area per person (16.0 m²) [23].</w:t>
      </w:r>
    </w:p>
    <w:p>
      <w:pPr>
        <w:pStyle w:val="ListParagraph"/>
        <w:numPr>
          <w:ilvl w:val="0"/>
          <w:numId w:val="2"/>
        </w:numPr>
        <w:spacing w:after="120" w:line="264"/>
      </w:pPr>
      <w:r>
        <w:rPr>
          <w:b/>
          <w:bCs/>
        </w:rPr>
        <w:t xml:space="preserve">Method 2</w:t>
      </w:r>
      <w:r>
        <w:rPr>
          <w:b w:val="false"/>
          <w:bCs w:val="false"/>
        </w:rPr>
        <w:t xml:space="preserve"> builds the floor area up by housing type. Public rental housing uses the Housing Authority's household count for Sha Tin [35] and its average living space of 14.1 m² per person at 2.6 persons per household [34]. Subsidised-sale and private flats use the 2016 By-census median floor areas (35 and 47 m²) [36], split in the 2021 Census proportions [37].</w:t>
      </w:r>
    </w:p>
    <w:p>
      <w:pPr>
        <w:spacing w:after="120" w:before="0" w:line="276"/>
        <w:jc w:val="both"/>
      </w:pPr>
      <w:r>
        <w:rPr>
          <w:b w:val="false"/>
          <w:bCs w:val="false"/>
        </w:rPr>
        <w:t xml:space="preserve">The two estimates agree within 8%.</w:t>
      </w:r>
    </w:p>
    <w:p>
      <w:pPr>
        <w:keepNext/>
        <w:spacing w:after="80" w:before="160"/>
      </w:pPr>
      <w:r>
        <w:rPr>
          <w:b/>
          <w:bCs/>
          <w:color w:val="1F3864"/>
          <w:sz w:val="18"/>
          <w:szCs w:val="18"/>
        </w:rPr>
        <w:t xml:space="preserve">Table 10.2: Sha Tin District population, households and domestic floor area</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4300"/>
        <w:gridCol w:w="1700"/>
        <w:gridCol w:w="1100"/>
        <w:gridCol w:w="2312"/>
      </w:tblGrid>
      <w:tr>
        <w:trPr>
          <w:tblHeader/>
        </w:trPr>
        <w:tc>
          <w:tcPr>
            <w:tcW w:type="dxa" w:w="43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Quantity</w:t>
            </w:r>
          </w:p>
        </w:tc>
        <w:tc>
          <w:tcPr>
            <w:tcW w:type="dxa" w:w="1700"/>
            <w:shd w:fill="DCE6F0" w:color="auto" w:val="clear"/>
            <w:tcMar>
              <w:top w:type="dxa" w:w="50"/>
              <w:left w:type="dxa" w:w="90"/>
              <w:bottom w:type="dxa" w:w="50"/>
              <w:right w:type="dxa" w:w="90"/>
            </w:tcMar>
            <w:vAlign w:val="center"/>
          </w:tcPr>
          <w:p>
            <w:pPr>
              <w:spacing w:after="0" w:line="240"/>
              <w:jc w:val="right"/>
            </w:pPr>
            <w:r>
              <w:rPr>
                <w:b/>
                <w:bCs/>
                <w:color w:val="1F3864"/>
                <w:sz w:val="16"/>
                <w:szCs w:val="16"/>
              </w:rPr>
              <w:t xml:space="preserve">Value</w:t>
            </w:r>
          </w:p>
        </w:tc>
        <w:tc>
          <w:tcPr>
            <w:tcW w:type="dxa" w:w="1100"/>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Unit</w:t>
            </w:r>
          </w:p>
        </w:tc>
        <w:tc>
          <w:tcPr>
            <w:tcW w:type="dxa" w:w="2312"/>
            <w:shd w:fill="DCE6F0" w:color="auto" w:val="clear"/>
            <w:tcMar>
              <w:top w:type="dxa" w:w="50"/>
              <w:left w:type="dxa" w:w="90"/>
              <w:bottom w:type="dxa" w:w="50"/>
              <w:right w:type="dxa" w:w="90"/>
            </w:tcMar>
            <w:vAlign w:val="center"/>
          </w:tcPr>
          <w:p>
            <w:pPr>
              <w:spacing w:after="0" w:line="240"/>
              <w:jc w:val="left"/>
            </w:pPr>
            <w:r>
              <w:rPr>
                <w:b/>
                <w:bCs/>
                <w:color w:val="1F3864"/>
                <w:sz w:val="16"/>
                <w:szCs w:val="16"/>
              </w:rPr>
              <w:t xml:space="preserve">Source</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Population (land-based non-institutional), 2025</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687,300</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persons</w:t>
            </w:r>
          </w:p>
        </w:tc>
        <w:tc>
          <w:tcPr>
            <w:tcW w:type="dxa" w:w="2312"/>
            <w:tcMar>
              <w:top w:type="dxa" w:w="50"/>
              <w:left w:type="dxa" w:w="90"/>
              <w:bottom w:type="dxa" w:w="50"/>
              <w:right w:type="dxa" w:w="90"/>
            </w:tcMar>
            <w:vAlign w:val="center"/>
          </w:tcPr>
          <w:p>
            <w:pPr>
              <w:spacing w:after="0" w:line="240"/>
              <w:jc w:val="left"/>
            </w:pPr>
            <w:r>
              <w:rPr>
                <w:b w:val="false"/>
                <w:bCs w:val="false"/>
                <w:sz w:val="16"/>
                <w:szCs w:val="16"/>
              </w:rPr>
              <w:t xml:space="preserve">C&amp;SD [33]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Domestic households, 2025</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248,200</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households</w:t>
            </w:r>
          </w:p>
        </w:tc>
        <w:tc>
          <w:tcPr>
            <w:tcW w:type="dxa" w:w="2312"/>
            <w:tcMar>
              <w:top w:type="dxa" w:w="50"/>
              <w:left w:type="dxa" w:w="90"/>
              <w:bottom w:type="dxa" w:w="50"/>
              <w:right w:type="dxa" w:w="90"/>
            </w:tcMar>
            <w:vAlign w:val="center"/>
          </w:tcPr>
          <w:p>
            <w:pPr>
              <w:spacing w:after="0" w:line="240"/>
              <w:jc w:val="left"/>
            </w:pPr>
            <w:r>
              <w:rPr>
                <w:b w:val="false"/>
                <w:bCs w:val="false"/>
                <w:sz w:val="16"/>
                <w:szCs w:val="16"/>
              </w:rPr>
              <w:t xml:space="preserve">C&amp;SD [33]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Average household size</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2.7</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persons</w:t>
            </w:r>
          </w:p>
        </w:tc>
        <w:tc>
          <w:tcPr>
            <w:tcW w:type="dxa" w:w="2312"/>
            <w:tcMar>
              <w:top w:type="dxa" w:w="50"/>
              <w:left w:type="dxa" w:w="90"/>
              <w:bottom w:type="dxa" w:w="50"/>
              <w:right w:type="dxa" w:w="90"/>
            </w:tcMar>
            <w:vAlign w:val="center"/>
          </w:tcPr>
          <w:p>
            <w:pPr>
              <w:spacing w:after="0" w:line="240"/>
              <w:jc w:val="left"/>
            </w:pPr>
            <w:r>
              <w:rPr>
                <w:b w:val="false"/>
                <w:bCs w:val="false"/>
                <w:sz w:val="16"/>
                <w:szCs w:val="16"/>
              </w:rPr>
              <w:t xml:space="preserve">C&amp;SD [33]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Method 1: domestic floor area (population × 16.0 m²)</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10,996,800</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m²</w:t>
            </w:r>
          </w:p>
        </w:tc>
        <w:tc>
          <w:tcPr>
            <w:tcW w:type="dxa" w:w="2312"/>
            <w:tcMar>
              <w:top w:type="dxa" w:w="50"/>
              <w:left w:type="dxa" w:w="90"/>
              <w:bottom w:type="dxa" w:w="50"/>
              <w:right w:type="dxa" w:w="90"/>
            </w:tcMar>
            <w:vAlign w:val="center"/>
          </w:tcPr>
          <w:p>
            <w:pPr>
              <w:spacing w:after="0" w:line="240"/>
              <w:jc w:val="left"/>
            </w:pPr>
            <w:r>
              <w:rPr>
                <w:b w:val="false"/>
                <w:bCs w:val="false"/>
                <w:sz w:val="16"/>
                <w:szCs w:val="16"/>
              </w:rPr>
              <w:t xml:space="preserve">Census median [23]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Public rental households (Housing Authority) × 14.1 m² × 2.6 persons</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77,100 → 2,826,486 m²</w:t>
            </w:r>
          </w:p>
        </w:tc>
        <w:tc>
          <w:tcPr>
            <w:tcW w:type="dxa" w:w="1100"/>
            <w:tcMar>
              <w:top w:type="dxa" w:w="50"/>
              <w:left w:type="dxa" w:w="90"/>
              <w:bottom w:type="dxa" w:w="50"/>
              <w:right w:type="dxa" w:w="90"/>
            </w:tcMar>
            <w:vAlign w:val="center"/>
          </w:tcPr>
          <w:p>
            <w:pPr>
              <w:spacing w:after="0" w:line="240"/>
              <w:jc w:val="left"/>
            </w:pPr>
          </w:p>
        </w:tc>
        <w:tc>
          <w:tcPr>
            <w:tcW w:type="dxa" w:w="2312"/>
            <w:tcMar>
              <w:top w:type="dxa" w:w="50"/>
              <w:left w:type="dxa" w:w="90"/>
              <w:bottom w:type="dxa" w:w="50"/>
              <w:right w:type="dxa" w:w="90"/>
            </w:tcMar>
            <w:vAlign w:val="center"/>
          </w:tcPr>
          <w:p>
            <w:pPr>
              <w:spacing w:after="0" w:line="240"/>
              <w:jc w:val="left"/>
            </w:pPr>
            <w:r>
              <w:rPr>
                <w:b w:val="false"/>
                <w:bCs w:val="false"/>
                <w:sz w:val="16"/>
                <w:szCs w:val="16"/>
              </w:rPr>
              <w:t xml:space="preserve">Housing Department [34], [35]</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Subsidised-sale households (37.2% of the rest) × 35 m²</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2,228,810</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m²</w:t>
            </w:r>
          </w:p>
        </w:tc>
        <w:tc>
          <w:tcPr>
            <w:tcW w:type="dxa" w:w="2312"/>
            <w:tcMar>
              <w:top w:type="dxa" w:w="50"/>
              <w:left w:type="dxa" w:w="90"/>
              <w:bottom w:type="dxa" w:w="50"/>
              <w:right w:type="dxa" w:w="90"/>
            </w:tcMar>
            <w:vAlign w:val="center"/>
          </w:tcPr>
          <w:p>
            <w:pPr>
              <w:spacing w:after="0" w:line="240"/>
              <w:jc w:val="left"/>
            </w:pPr>
            <w:r>
              <w:rPr>
                <w:b w:val="false"/>
                <w:bCs w:val="false"/>
                <w:sz w:val="16"/>
                <w:szCs w:val="16"/>
              </w:rPr>
              <w:t xml:space="preserve">[36], [37]</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Private households × 47 m²</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5,048,727</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m²</w:t>
            </w:r>
          </w:p>
        </w:tc>
        <w:tc>
          <w:tcPr>
            <w:tcW w:type="dxa" w:w="2312"/>
            <w:tcMar>
              <w:top w:type="dxa" w:w="50"/>
              <w:left w:type="dxa" w:w="90"/>
              <w:bottom w:type="dxa" w:w="50"/>
              <w:right w:type="dxa" w:w="90"/>
            </w:tcMar>
            <w:vAlign w:val="center"/>
          </w:tcPr>
          <w:p>
            <w:pPr>
              <w:spacing w:after="0" w:line="240"/>
              <w:jc w:val="left"/>
            </w:pPr>
            <w:r>
              <w:rPr>
                <w:b w:val="false"/>
                <w:bCs w:val="false"/>
                <w:sz w:val="16"/>
                <w:szCs w:val="16"/>
              </w:rPr>
              <w:t xml:space="preserve">[36], [37]</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Method 2: domestic floor area by housing type</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10,104,023</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m²</w:t>
            </w:r>
          </w:p>
        </w:tc>
        <w:tc>
          <w:tcPr>
            <w:tcW w:type="dxa" w:w="2312"/>
            <w:tcMar>
              <w:top w:type="dxa" w:w="50"/>
              <w:left w:type="dxa" w:w="90"/>
              <w:bottom w:type="dxa" w:w="50"/>
              <w:right w:type="dxa" w:w="90"/>
            </w:tcMar>
            <w:vAlign w:val="center"/>
          </w:tcPr>
          <w:p>
            <w:pPr>
              <w:spacing w:after="0" w:line="240"/>
              <w:jc w:val="left"/>
            </w:pPr>
            <w:r>
              <w:rPr>
                <w:b w:val="false"/>
                <w:bCs w:val="false"/>
                <w:sz w:val="16"/>
                <w:szCs w:val="16"/>
              </w:rPr>
              <w:t xml:space="preserve">-8.1% vs method 1</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6"/>
                <w:szCs w:val="16"/>
              </w:rPr>
              <w:t xml:space="preserve">Floor area per person (method 1)</w:t>
            </w:r>
          </w:p>
        </w:tc>
        <w:tc>
          <w:tcPr>
            <w:tcW w:type="dxa" w:w="1700"/>
            <w:tcMar>
              <w:top w:type="dxa" w:w="50"/>
              <w:left w:type="dxa" w:w="90"/>
              <w:bottom w:type="dxa" w:w="50"/>
              <w:right w:type="dxa" w:w="90"/>
            </w:tcMar>
            <w:vAlign w:val="center"/>
          </w:tcPr>
          <w:p>
            <w:pPr>
              <w:spacing w:after="0" w:line="240"/>
              <w:jc w:val="right"/>
            </w:pPr>
            <w:r>
              <w:rPr>
                <w:b w:val="false"/>
                <w:bCs w:val="false"/>
                <w:sz w:val="16"/>
                <w:szCs w:val="16"/>
              </w:rPr>
              <w:t xml:space="preserve">16.0</w:t>
            </w:r>
          </w:p>
        </w:tc>
        <w:tc>
          <w:tcPr>
            <w:tcW w:type="dxa" w:w="1100"/>
            <w:tcMar>
              <w:top w:type="dxa" w:w="50"/>
              <w:left w:type="dxa" w:w="90"/>
              <w:bottom w:type="dxa" w:w="50"/>
              <w:right w:type="dxa" w:w="90"/>
            </w:tcMar>
            <w:vAlign w:val="center"/>
          </w:tcPr>
          <w:p>
            <w:pPr>
              <w:spacing w:after="0" w:line="240"/>
              <w:jc w:val="left"/>
            </w:pPr>
            <w:r>
              <w:rPr>
                <w:b w:val="false"/>
                <w:bCs w:val="false"/>
                <w:sz w:val="16"/>
                <w:szCs w:val="16"/>
              </w:rPr>
              <w:t xml:space="preserve">m²/person</w:t>
            </w:r>
          </w:p>
        </w:tc>
        <w:tc>
          <w:tcPr>
            <w:tcW w:type="dxa" w:w="2312"/>
            <w:tcMar>
              <w:top w:type="dxa" w:w="50"/>
              <w:left w:type="dxa" w:w="90"/>
              <w:bottom w:type="dxa" w:w="50"/>
              <w:right w:type="dxa" w:w="90"/>
            </w:tcMar>
            <w:vAlign w:val="center"/>
          </w:tcPr>
          <w:p>
            <w:pPr>
              <w:spacing w:after="0" w:line="240"/>
              <w:jc w:val="left"/>
            </w:pPr>
          </w:p>
        </w:tc>
      </w:tr>
    </w:tbl>
    <w:p>
      <w:pPr>
        <w:pStyle w:val="Heading2"/>
      </w:pPr>
      <w:r>
        <w:rPr>
          <w:b w:val="false"/>
          <w:bCs w:val="false"/>
        </w:rPr>
        <w:t xml:space="preserve">10.3  District results and comparison (i)</w:t>
      </w:r>
    </w:p>
    <w:p>
      <w:pPr>
        <w:keepNext/>
        <w:spacing w:after="80" w:before="160"/>
      </w:pPr>
      <w:r>
        <w:rPr>
          <w:b/>
          <w:bCs/>
          <w:color w:val="1F3864"/>
          <w:sz w:val="18"/>
          <w:szCs w:val="18"/>
        </w:rPr>
        <w:t xml:space="preserve">Table 10.3: Sha Tin residential electricity by scaling method</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500"/>
        <w:gridCol w:w="2000"/>
        <w:gridCol w:w="1900"/>
        <w:gridCol w:w="900"/>
        <w:gridCol w:w="1112"/>
      </w:tblGrid>
      <w:tr>
        <w:trPr>
          <w:tblHeader/>
        </w:trPr>
        <w:tc>
          <w:tcPr>
            <w:tcW w:type="dxa" w:w="35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Method</w:t>
            </w:r>
          </w:p>
        </w:tc>
        <w:tc>
          <w:tcPr>
            <w:tcW w:type="dxa" w:w="200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Factor</w:t>
            </w:r>
          </w:p>
        </w:tc>
        <w:tc>
          <w:tcPr>
            <w:tcW w:type="dxa" w:w="190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Scaling quantity</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GWh/yr</w:t>
            </w:r>
          </w:p>
        </w:tc>
        <w:tc>
          <w:tcPr>
            <w:tcW w:type="dxa" w:w="1112"/>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vs EMSD-based benchmark</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(1) Per capita: e_pc x population</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1,293 kWh/person/yr</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687,300 persons</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889</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-27%</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(2) Per m²: e_m2 x floor area (method 1)</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172 kWh/m²/yr</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10,996,800 m²</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1,896</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+55%</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(2b) Per m²: e_m2 x floor area (method 2)</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172 kWh/m²/yr</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10,104,023 m²</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1,742</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+43%</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(3) Per household: household electricity x households</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2,586 kWh/household/yr</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248,200 households</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642</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-47%</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(4) Composite: a x floor area + b x residents (method 1 area)</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62 a, kWh/m²/yr</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10,996,800 m²</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1,250</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+2%</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(4b) Composite with method 2 floor area</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62 a, kWh/m²/yr</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10,104,023 m²</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1,195</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-2%</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(4c) Composite, allowing for gas water heating and cooking</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473 kWh/person/yr moved to gas</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343,650 residents using gas</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1,087</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-11%</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Benchmark A: HK residential electricity per person (EMSD 2021) x population</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1,778 kWh/person/yr</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687,300 persons</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1,222</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w:t>
            </w:r>
          </w:p>
        </w:tc>
      </w:tr>
      <w:tr>
        <w:trPr>
          <w:cantSplit/>
        </w:trPr>
        <w:tc>
          <w:tcPr>
            <w:tcW w:type="dxa" w:w="3500"/>
            <w:tcMar>
              <w:top w:type="dxa" w:w="50"/>
              <w:left w:type="dxa" w:w="90"/>
              <w:bottom w:type="dxa" w:w="50"/>
              <w:right w:type="dxa" w:w="90"/>
            </w:tcMar>
            <w:vAlign w:val="center"/>
          </w:tcPr>
          <w:p>
            <w:pPr>
              <w:spacing w:after="0" w:line="240"/>
              <w:jc w:val="left"/>
            </w:pPr>
            <w:r>
              <w:rPr>
                <w:b w:val="false"/>
                <w:bCs w:val="false"/>
                <w:sz w:val="14"/>
                <w:szCs w:val="14"/>
              </w:rPr>
              <w:t xml:space="preserve">Benchmark B: CLP residential sales per account (2025) x households</w:t>
            </w:r>
          </w:p>
        </w:tc>
        <w:tc>
          <w:tcPr>
            <w:tcW w:type="dxa" w:w="2000"/>
            <w:tcMar>
              <w:top w:type="dxa" w:w="50"/>
              <w:left w:type="dxa" w:w="90"/>
              <w:bottom w:type="dxa" w:w="50"/>
              <w:right w:type="dxa" w:w="90"/>
            </w:tcMar>
            <w:vAlign w:val="center"/>
          </w:tcPr>
          <w:p>
            <w:pPr>
              <w:spacing w:after="0" w:line="240"/>
              <w:jc w:val="right"/>
            </w:pPr>
            <w:r>
              <w:rPr>
                <w:b w:val="false"/>
                <w:bCs w:val="false"/>
                <w:sz w:val="14"/>
                <w:szCs w:val="14"/>
              </w:rPr>
              <w:t xml:space="preserve">3,941 kWh/account/yr</w:t>
            </w:r>
          </w:p>
        </w:tc>
        <w:tc>
          <w:tcPr>
            <w:tcW w:type="dxa" w:w="1900"/>
            <w:tcMar>
              <w:top w:type="dxa" w:w="50"/>
              <w:left w:type="dxa" w:w="90"/>
              <w:bottom w:type="dxa" w:w="50"/>
              <w:right w:type="dxa" w:w="90"/>
            </w:tcMar>
            <w:vAlign w:val="center"/>
          </w:tcPr>
          <w:p>
            <w:pPr>
              <w:spacing w:after="0" w:line="240"/>
              <w:jc w:val="right"/>
            </w:pPr>
            <w:r>
              <w:rPr>
                <w:b w:val="false"/>
                <w:bCs w:val="false"/>
                <w:sz w:val="14"/>
                <w:szCs w:val="14"/>
              </w:rPr>
              <w:t xml:space="preserve">248,200 households</w:t>
            </w:r>
          </w:p>
        </w:tc>
        <w:tc>
          <w:tcPr>
            <w:tcW w:type="dxa" w:w="900"/>
            <w:tcMar>
              <w:top w:type="dxa" w:w="50"/>
              <w:left w:type="dxa" w:w="90"/>
              <w:bottom w:type="dxa" w:w="50"/>
              <w:right w:type="dxa" w:w="90"/>
            </w:tcMar>
            <w:vAlign w:val="center"/>
          </w:tcPr>
          <w:p>
            <w:pPr>
              <w:spacing w:after="0" w:line="240"/>
              <w:jc w:val="right"/>
            </w:pPr>
            <w:r>
              <w:rPr>
                <w:b w:val="false"/>
                <w:bCs w:val="false"/>
                <w:sz w:val="14"/>
                <w:szCs w:val="14"/>
              </w:rPr>
              <w:t xml:space="preserve">978</w:t>
            </w:r>
          </w:p>
        </w:tc>
        <w:tc>
          <w:tcPr>
            <w:tcW w:type="dxa" w:w="1112"/>
            <w:tcMar>
              <w:top w:type="dxa" w:w="50"/>
              <w:left w:type="dxa" w:w="90"/>
              <w:bottom w:type="dxa" w:w="50"/>
              <w:right w:type="dxa" w:w="90"/>
            </w:tcMar>
            <w:vAlign w:val="center"/>
          </w:tcPr>
          <w:p>
            <w:pPr>
              <w:spacing w:after="0" w:line="240"/>
              <w:jc w:val="right"/>
            </w:pPr>
            <w:r>
              <w:rPr>
                <w:b w:val="false"/>
                <w:bCs w:val="false"/>
                <w:sz w:val="14"/>
                <w:szCs w:val="14"/>
              </w:rPr>
              <w:t xml:space="preserve">-20%</w:t>
            </w:r>
          </w:p>
        </w:tc>
      </w:tr>
    </w:tbl>
    <w:p>
      <w:pPr>
        <w:keepNext/>
        <w:spacing w:after="40" w:before="120"/>
        <w:jc w:val="center"/>
      </w:pPr>
      <w:r>
        <w:drawing>
          <wp:inline distT="0" distB="0" distL="0" distR="0">
            <wp:extent cx="5810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2428875"/>
                    </a:xfrm>
                    <a:prstGeom prst="rect">
                      <a:avLst/>
                    </a:prstGeom>
                  </pic:spPr>
                </pic:pic>
              </a:graphicData>
            </a:graphic>
          </wp:inline>
        </w:drawing>
      </w:r>
    </w:p>
    <w:p>
      <w:pPr>
        <w:spacing w:after="200" w:before="60"/>
        <w:jc w:val="center"/>
      </w:pPr>
      <w:r>
        <w:rPr>
          <w:b w:val="false"/>
          <w:bCs w:val="false"/>
          <w:i/>
          <w:iCs/>
          <w:color w:val="52514E"/>
          <w:sz w:val="17"/>
          <w:szCs w:val="17"/>
        </w:rPr>
        <w:t xml:space="preserve">Figure 10.1: Sha Tin residential electricity estimated by each method, against two top-down benchmarks</w:t>
      </w:r>
    </w:p>
    <w:p>
      <w:pPr>
        <w:keepNext/>
        <w:spacing w:after="40" w:before="0" w:line="276"/>
        <w:jc w:val="both"/>
      </w:pPr>
      <w:r>
        <w:rPr>
          <w:b/>
          <w:bCs/>
        </w:rPr>
        <w:t xml:space="preserve">Per capita:</w:t>
      </w:r>
      <w:r>
        <w:rPr>
          <w:b w:val="false"/>
          <w:bCs w:val="false"/>
        </w:rPr>
        <w:t xml:space="preserve"> 1,293 kWh × 687,300 residents = </w:t>
      </w:r>
      <w:r>
        <w:rPr>
          <w:b/>
          <w:bCs/>
        </w:rPr>
        <w:t xml:space="preserve">889 GWh/yr</w:t>
      </w:r>
      <w:r>
        <w:rPr>
          <w:b w:val="false"/>
          <w:bCs w:val="false"/>
        </w:rPr>
        <w:t xml:space="preserve">. </w:t>
      </w:r>
      <w:r>
        <w:rPr>
          <w:b/>
          <w:bCs/>
        </w:rPr>
        <w:t xml:space="preserve">Per m²:</w:t>
      </w:r>
      <w:r>
        <w:rPr>
          <w:b w:val="false"/>
          <w:bCs w:val="false"/>
        </w:rPr>
        <w:t xml:space="preserve"> 172.4 kWh × 10,996,800 m² = </w:t>
      </w:r>
      <w:r>
        <w:rPr>
          <w:b/>
          <w:bCs/>
        </w:rPr>
        <w:t xml:space="preserve">1,896 GWh/yr</w:t>
      </w:r>
      <w:r>
        <w:rPr>
          <w:b w:val="false"/>
          <w:bCs w:val="false"/>
        </w:rPr>
        <w:t xml:space="preserve">. The two differ by a factor of </w:t>
      </w:r>
      <w:r>
        <w:rPr>
          <w:b/>
          <w:bCs/>
        </w:rPr>
        <w:t xml:space="preserve">2.13</w:t>
      </w:r>
      <w:r>
        <w:rPr>
          <w:b w:val="false"/>
          <w:bCs w:val="false"/>
        </w:rPr>
        <w:t xml:space="preserve">, and this ratio is exactly the district's floor area per person divided by the audited household's (16.0 ÷ 7.5 m² = 2.13). The two factors would agree only if Sha Tin residents had as little space as a student in a twin room.</w:t>
      </w:r>
    </w:p>
    <w:p>
      <w:pPr>
        <w:pStyle w:val="ListParagraph"/>
        <w:numPr>
          <w:ilvl w:val="0"/>
          <w:numId w:val="2"/>
        </w:numPr>
        <w:spacing w:after="60" w:line="264"/>
      </w:pPr>
      <w:r>
        <w:rPr>
          <w:b w:val="false"/>
          <w:bCs w:val="false"/>
        </w:rPr>
        <w:t xml:space="preserve">The </w:t>
      </w:r>
      <w:r>
        <w:rPr>
          <w:b/>
          <w:bCs/>
        </w:rPr>
        <w:t xml:space="preserve">per-capita</w:t>
      </w:r>
      <w:r>
        <w:rPr>
          <w:b w:val="false"/>
          <w:bCs w:val="false"/>
        </w:rPr>
        <w:t xml:space="preserve"> method </w:t>
      </w:r>
      <w:r>
        <w:rPr>
          <w:b/>
          <w:bCs/>
        </w:rPr>
        <w:t xml:space="preserve">under</w:t>
      </w:r>
      <w:r>
        <w:rPr>
          <w:b w:val="false"/>
          <w:bCs w:val="false"/>
        </w:rPr>
        <w:t xml:space="preserve">-estimates (-27% against the EMSD-based benchmark). A student with 7.5 m² cools and lights far less space than a typical resident with 16 m².</w:t>
      </w:r>
    </w:p>
    <w:p>
      <w:pPr>
        <w:pStyle w:val="ListParagraph"/>
        <w:numPr>
          <w:ilvl w:val="0"/>
          <w:numId w:val="2"/>
        </w:numPr>
        <w:spacing w:after="60" w:line="264"/>
      </w:pPr>
      <w:r>
        <w:rPr>
          <w:b w:val="false"/>
          <w:bCs w:val="false"/>
        </w:rPr>
        <w:t xml:space="preserve">The </w:t>
      </w:r>
      <w:r>
        <w:rPr>
          <w:b/>
          <w:bCs/>
        </w:rPr>
        <w:t xml:space="preserve">per-m²</w:t>
      </w:r>
      <w:r>
        <w:rPr>
          <w:b w:val="false"/>
          <w:bCs w:val="false"/>
        </w:rPr>
        <w:t xml:space="preserve"> method </w:t>
      </w:r>
      <w:r>
        <w:rPr>
          <w:b/>
          <w:bCs/>
        </w:rPr>
        <w:t xml:space="preserve">over</w:t>
      </w:r>
      <w:r>
        <w:rPr>
          <w:b w:val="false"/>
          <w:bCs w:val="false"/>
        </w:rPr>
        <w:t xml:space="preserve">-estimates (+55%). About two-thirds of the household's electricity (hot water, cooking, devices, laundry and shared services) depends on the number of people, not on floor area. A dense dormitory packs that energy into very few square metres.</w:t>
      </w:r>
    </w:p>
    <w:p>
      <w:pPr>
        <w:pStyle w:val="ListParagraph"/>
        <w:numPr>
          <w:ilvl w:val="0"/>
          <w:numId w:val="2"/>
        </w:numPr>
        <w:spacing w:after="120" w:line="264"/>
      </w:pPr>
      <w:r>
        <w:rPr>
          <w:b w:val="false"/>
          <w:bCs w:val="false"/>
        </w:rPr>
        <w:t xml:space="preserve">The </w:t>
      </w:r>
      <w:r>
        <w:rPr>
          <w:b/>
          <w:bCs/>
        </w:rPr>
        <w:t xml:space="preserve">per-household</w:t>
      </w:r>
      <w:r>
        <w:rPr>
          <w:b w:val="false"/>
          <w:bCs w:val="false"/>
        </w:rPr>
        <w:t xml:space="preserve"> method (642 GWh/yr) is lowest, because the audited household has 2 people and 15 m², against 2.7 people and about 44 m² for the district.</w:t>
      </w:r>
    </w:p>
    <w:p>
      <w:pPr>
        <w:spacing w:after="120" w:before="0" w:line="276"/>
        <w:jc w:val="both"/>
      </w:pPr>
      <w:r>
        <w:rPr>
          <w:b w:val="false"/>
          <w:bCs w:val="false"/>
        </w:rPr>
        <w:t xml:space="preserve">Two top-down benchmarks bracket the true value. Hong Kong's residential electricity per person (EMSD 2021) × Sha Tin's population gives </w:t>
      </w:r>
      <w:r>
        <w:rPr>
          <w:b/>
          <w:bCs/>
        </w:rPr>
        <w:t xml:space="preserve">1,222 GWh/yr</w:t>
      </w:r>
      <w:r>
        <w:rPr>
          <w:b w:val="false"/>
          <w:bCs w:val="false"/>
        </w:rPr>
        <w:t xml:space="preserve"> [38]. CLP's residential sales per account (2025) × Sha Tin's households gives </w:t>
      </w:r>
      <w:r>
        <w:rPr>
          <w:b/>
          <w:bCs/>
        </w:rPr>
        <w:t xml:space="preserve">978 GWh/yr</w:t>
      </w:r>
      <w:r>
        <w:rPr>
          <w:b w:val="false"/>
          <w:bCs w:val="false"/>
        </w:rPr>
        <w:t xml:space="preserve"> [39]. No official district-level electricity figure is published, so these are the best available checks.</w:t>
      </w:r>
    </w:p>
    <w:p>
      <w:pPr>
        <w:pStyle w:val="Heading2"/>
      </w:pPr>
      <w:r>
        <w:rPr>
          <w:b w:val="false"/>
          <w:bCs w:val="false"/>
        </w:rPr>
        <w:t xml:space="preserve">10.4  A composite factor for energy, floor area and residents (ii)</w:t>
      </w:r>
    </w:p>
    <w:p>
      <w:pPr>
        <w:keepNext/>
        <w:spacing w:after="40" w:before="0" w:line="276"/>
        <w:jc w:val="both"/>
      </w:pPr>
      <w:r>
        <w:rPr>
          <w:b w:val="false"/>
          <w:bCs w:val="false"/>
        </w:rPr>
        <w:t xml:space="preserve">The audit's end-uses split naturally into two groups:</w:t>
      </w:r>
    </w:p>
    <w:p>
      <w:pPr>
        <w:pStyle w:val="ListParagraph"/>
        <w:numPr>
          <w:ilvl w:val="0"/>
          <w:numId w:val="2"/>
        </w:numPr>
        <w:spacing w:after="60" w:line="264"/>
      </w:pPr>
      <w:r>
        <w:rPr>
          <w:b/>
          <w:bCs/>
        </w:rPr>
        <w:t xml:space="preserve">area-driven</w:t>
      </w:r>
      <w:r>
        <w:rPr>
          <w:b w:val="false"/>
          <w:bCs w:val="false"/>
        </w:rPr>
        <w:t xml:space="preserve"> loads that scale with conditioned and lit floor area: room AC and room lighting, 928 kWh/yr (36%);</w:t>
      </w:r>
    </w:p>
    <w:p>
      <w:pPr>
        <w:pStyle w:val="ListParagraph"/>
        <w:numPr>
          <w:ilvl w:val="0"/>
          <w:numId w:val="2"/>
        </w:numPr>
        <w:spacing w:after="120" w:line="264"/>
      </w:pPr>
      <w:r>
        <w:rPr>
          <w:b/>
          <w:bCs/>
        </w:rPr>
        <w:t xml:space="preserve">resident-driven</w:t>
      </w:r>
      <w:r>
        <w:rPr>
          <w:b w:val="false"/>
          <w:bCs w:val="false"/>
        </w:rPr>
        <w:t xml:space="preserve"> loads that scale with the number of people: hot water, cooking, laptops and phones, the fan, laundry and the shared services, 1,659 kWh/yr.</w:t>
      </w:r>
    </w:p>
    <w:p>
      <w:pPr>
        <w:spacing w:after="120" w:before="0" w:line="276"/>
        <w:jc w:val="both"/>
      </w:pPr>
      <w:r>
        <w:rPr>
          <w:b w:val="false"/>
          <w:bCs w:val="false"/>
        </w:rPr>
        <w:t xml:space="preserve">Dividing each by its driver gives the composite household factor:</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9412"/>
      </w:tblGrid>
      <w:tr>
        <w:tc>
          <w:tcPr>
            <w:tcW w:type="dxa" w:w="9412"/>
            <w:shd w:fill="F2F6FB" w:color="auto" w:val="clear"/>
            <w:tcMar>
              <w:top w:type="dxa" w:w="100"/>
              <w:left w:type="dxa" w:w="140"/>
              <w:bottom w:type="dxa" w:w="60"/>
              <w:right w:type="dxa" w:w="140"/>
            </w:tcMar>
          </w:tcPr>
          <w:p>
            <w:pPr>
              <w:spacing w:after="60" w:line="252"/>
            </w:pPr>
            <w:r>
              <w:rPr>
                <w:b/>
                <w:bCs/>
                <w:sz w:val="18"/>
                <w:szCs w:val="18"/>
              </w:rPr>
              <w:t xml:space="preserve">E = a × A + b × N</w:t>
            </w:r>
            <w:r>
              <w:rPr>
                <w:b w:val="false"/>
                <w:bCs w:val="false"/>
                <w:sz w:val="18"/>
                <w:szCs w:val="18"/>
              </w:rPr>
              <w:t xml:space="preserve">, with </w:t>
            </w:r>
            <w:r>
              <w:rPr>
                <w:b/>
                <w:bCs/>
                <w:sz w:val="18"/>
                <w:szCs w:val="18"/>
              </w:rPr>
              <w:t xml:space="preserve">a = 61.8 kWh per m² per year</w:t>
            </w:r>
            <w:r>
              <w:rPr>
                <w:b w:val="false"/>
                <w:bCs w:val="false"/>
                <w:sz w:val="18"/>
                <w:szCs w:val="18"/>
              </w:rPr>
              <w:t xml:space="preserve"> and </w:t>
            </w:r>
            <w:r>
              <w:rPr>
                <w:b/>
                <w:bCs/>
                <w:sz w:val="18"/>
                <w:szCs w:val="18"/>
              </w:rPr>
              <w:t xml:space="preserve">b = 829 kWh per resident per year</w:t>
            </w:r>
            <w:r>
              <w:rPr>
                <w:b w:val="false"/>
                <w:bCs w:val="false"/>
                <w:sz w:val="18"/>
                <w:szCs w:val="18"/>
              </w:rPr>
              <w:t xml:space="preserve"> (A = floor area, N = residents).</w:t>
            </w:r>
          </w:p>
          <w:p>
            <w:pPr>
              <w:spacing w:after="60" w:line="252"/>
            </w:pPr>
            <w:r>
              <w:rPr>
                <w:b w:val="false"/>
                <w:bCs w:val="false"/>
                <w:sz w:val="18"/>
                <w:szCs w:val="18"/>
              </w:rPr>
              <w:t xml:space="preserve">Per person: </w:t>
            </w:r>
            <w:r>
              <w:rPr>
                <w:b/>
                <w:bCs/>
                <w:sz w:val="18"/>
                <w:szCs w:val="18"/>
              </w:rPr>
              <w:t xml:space="preserve">e(s) = b + a × s</w:t>
            </w:r>
            <w:r>
              <w:rPr>
                <w:b w:val="false"/>
                <w:bCs w:val="false"/>
                <w:sz w:val="18"/>
                <w:szCs w:val="18"/>
              </w:rPr>
              <w:t xml:space="preserve">, where s is floor area per person. Per m²: </w:t>
            </w:r>
            <w:r>
              <w:rPr>
                <w:b/>
                <w:bCs/>
                <w:sz w:val="18"/>
                <w:szCs w:val="18"/>
              </w:rPr>
              <w:t xml:space="preserve">e(d) = a + b × d</w:t>
            </w:r>
            <w:r>
              <w:rPr>
                <w:b w:val="false"/>
                <w:bCs w:val="false"/>
                <w:sz w:val="18"/>
                <w:szCs w:val="18"/>
              </w:rPr>
              <w:t xml:space="preserve">, where d is residents per m².</w:t>
            </w:r>
          </w:p>
          <w:p>
            <w:pPr>
              <w:spacing w:after="60" w:line="252"/>
            </w:pPr>
            <w:r>
              <w:rPr>
                <w:b w:val="false"/>
                <w:bCs w:val="false"/>
                <w:sz w:val="18"/>
                <w:szCs w:val="18"/>
              </w:rPr>
              <w:t xml:space="preserve">The single-variable factors are special cases. The per-capita factor holds only at s = 7.5 m²; the per-m² factor holds only at d = 0.13 persons/m². The composite reproduces the audited household exactly.</w:t>
            </w:r>
          </w:p>
        </w:tc>
      </w:tr>
    </w:tbl>
    <w:p>
      <w:pPr>
        <w:keepNext/>
        <w:spacing w:after="80" w:before="160"/>
      </w:pPr>
      <w:r>
        <w:rPr>
          <w:b/>
          <w:bCs/>
          <w:color w:val="1F3864"/>
          <w:sz w:val="18"/>
          <w:szCs w:val="18"/>
        </w:rPr>
        <w:t xml:space="preserve">Table 10.4: The composite factor applied to typical Sha Tin households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100"/>
        <w:gridCol w:w="900"/>
        <w:gridCol w:w="1000"/>
        <w:gridCol w:w="1300"/>
        <w:gridCol w:w="1100"/>
        <w:gridCol w:w="1012"/>
      </w:tblGrid>
      <w:tr>
        <w:trPr>
          <w:tblHeader/>
        </w:trPr>
        <w:tc>
          <w:tcPr>
            <w:tcW w:type="dxa" w:w="30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Household type</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Floor area per person s (m²)</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Residents N</w:t>
            </w:r>
          </w:p>
        </w:tc>
        <w:tc>
          <w:tcPr>
            <w:tcW w:type="dxa" w:w="10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Floor area A (m²)</w:t>
            </w:r>
          </w:p>
        </w:tc>
        <w:tc>
          <w:tcPr>
            <w:tcW w:type="dxa" w:w="13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E = aA + bN (kWh/yr)</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kWh per person</w:t>
            </w:r>
          </w:p>
        </w:tc>
        <w:tc>
          <w:tcPr>
            <w:tcW w:type="dxa" w:w="1012"/>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kWh per m²</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5"/>
                <w:szCs w:val="15"/>
              </w:rPr>
              <w:t xml:space="preserve">Audited student room (this audit)</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7.5</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2.0</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15.0</w:t>
            </w:r>
          </w:p>
        </w:tc>
        <w:tc>
          <w:tcPr>
            <w:tcW w:type="dxa" w:w="1300"/>
            <w:tcMar>
              <w:top w:type="dxa" w:w="50"/>
              <w:left w:type="dxa" w:w="90"/>
              <w:bottom w:type="dxa" w:w="50"/>
              <w:right w:type="dxa" w:w="90"/>
            </w:tcMar>
            <w:vAlign w:val="center"/>
          </w:tcPr>
          <w:p>
            <w:pPr>
              <w:spacing w:after="0" w:line="240"/>
              <w:jc w:val="right"/>
            </w:pPr>
            <w:r>
              <w:rPr>
                <w:b w:val="false"/>
                <w:bCs w:val="false"/>
                <w:sz w:val="15"/>
                <w:szCs w:val="15"/>
              </w:rPr>
              <w:t xml:space="preserve">2,586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1,293</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172.4</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5"/>
                <w:szCs w:val="15"/>
              </w:rPr>
              <w:t xml:space="preserve">Sha Tin public rental flat</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14.1</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2.6</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36.7</w:t>
            </w:r>
          </w:p>
        </w:tc>
        <w:tc>
          <w:tcPr>
            <w:tcW w:type="dxa" w:w="1300"/>
            <w:tcMar>
              <w:top w:type="dxa" w:w="50"/>
              <w:left w:type="dxa" w:w="90"/>
              <w:bottom w:type="dxa" w:w="50"/>
              <w:right w:type="dxa" w:w="90"/>
            </w:tcMar>
            <w:vAlign w:val="center"/>
          </w:tcPr>
          <w:p>
            <w:pPr>
              <w:spacing w:after="0" w:line="240"/>
              <w:jc w:val="right"/>
            </w:pPr>
            <w:r>
              <w:rPr>
                <w:b w:val="false"/>
                <w:bCs w:val="false"/>
                <w:sz w:val="15"/>
                <w:szCs w:val="15"/>
              </w:rPr>
              <w:t xml:space="preserve">4,423</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1,701</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120.7</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5"/>
                <w:szCs w:val="15"/>
              </w:rPr>
              <w:t xml:space="preserve">Sha Tin average household</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16.0</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2.7</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43.2</w:t>
            </w:r>
          </w:p>
        </w:tc>
        <w:tc>
          <w:tcPr>
            <w:tcW w:type="dxa" w:w="1300"/>
            <w:tcMar>
              <w:top w:type="dxa" w:w="50"/>
              <w:left w:type="dxa" w:w="90"/>
              <w:bottom w:type="dxa" w:w="50"/>
              <w:right w:type="dxa" w:w="90"/>
            </w:tcMar>
            <w:vAlign w:val="center"/>
          </w:tcPr>
          <w:p>
            <w:pPr>
              <w:spacing w:after="0" w:line="240"/>
              <w:jc w:val="right"/>
            </w:pPr>
            <w:r>
              <w:rPr>
                <w:b w:val="false"/>
                <w:bCs w:val="false"/>
                <w:sz w:val="15"/>
                <w:szCs w:val="15"/>
              </w:rPr>
              <w:t xml:space="preserve">4,911</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1,819</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113.7</w:t>
            </w:r>
          </w:p>
        </w:tc>
      </w:tr>
      <w:tr>
        <w:trPr>
          <w:cantSplit/>
        </w:trPr>
        <w:tc>
          <w:tcPr>
            <w:tcW w:type="dxa" w:w="3000"/>
            <w:tcMar>
              <w:top w:type="dxa" w:w="50"/>
              <w:left w:type="dxa" w:w="90"/>
              <w:bottom w:type="dxa" w:w="50"/>
              <w:right w:type="dxa" w:w="90"/>
            </w:tcMar>
            <w:vAlign w:val="center"/>
          </w:tcPr>
          <w:p>
            <w:pPr>
              <w:spacing w:after="0" w:line="240"/>
              <w:jc w:val="left"/>
            </w:pPr>
            <w:r>
              <w:rPr>
                <w:b w:val="false"/>
                <w:bCs w:val="false"/>
                <w:sz w:val="15"/>
                <w:szCs w:val="15"/>
              </w:rPr>
              <w:t xml:space="preserve">Private flat (47 m², Sha Tin household size)</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17.4</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2.7</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47.0</w:t>
            </w:r>
          </w:p>
        </w:tc>
        <w:tc>
          <w:tcPr>
            <w:tcW w:type="dxa" w:w="1300"/>
            <w:tcMar>
              <w:top w:type="dxa" w:w="50"/>
              <w:left w:type="dxa" w:w="90"/>
              <w:bottom w:type="dxa" w:w="50"/>
              <w:right w:type="dxa" w:w="90"/>
            </w:tcMar>
            <w:vAlign w:val="center"/>
          </w:tcPr>
          <w:p>
            <w:pPr>
              <w:spacing w:after="0" w:line="240"/>
              <w:jc w:val="right"/>
            </w:pPr>
            <w:r>
              <w:rPr>
                <w:b w:val="false"/>
                <w:bCs w:val="false"/>
                <w:sz w:val="15"/>
                <w:szCs w:val="15"/>
              </w:rPr>
              <w:t xml:space="preserve">5,146</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1,906</w:t>
            </w:r>
          </w:p>
        </w:tc>
        <w:tc>
          <w:tcPr>
            <w:tcW w:type="dxa" w:w="1012"/>
            <w:tcMar>
              <w:top w:type="dxa" w:w="50"/>
              <w:left w:type="dxa" w:w="90"/>
              <w:bottom w:type="dxa" w:w="50"/>
              <w:right w:type="dxa" w:w="90"/>
            </w:tcMar>
            <w:vAlign w:val="center"/>
          </w:tcPr>
          <w:p>
            <w:pPr>
              <w:spacing w:after="0" w:line="240"/>
              <w:jc w:val="right"/>
            </w:pPr>
            <w:r>
              <w:rPr>
                <w:b w:val="false"/>
                <w:bCs w:val="false"/>
                <w:sz w:val="15"/>
                <w:szCs w:val="15"/>
              </w:rPr>
              <w:t xml:space="preserve">109.5</w:t>
            </w:r>
          </w:p>
        </w:tc>
      </w:tr>
    </w:tbl>
    <w:p>
      <w:pPr>
        <w:keepNext/>
        <w:spacing w:after="40" w:before="120"/>
        <w:jc w:val="center"/>
      </w:pPr>
      <w:r>
        <w:drawing>
          <wp:inline distT="0" distB="0" distL="0" distR="0">
            <wp:extent cx="5810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2667000"/>
                    </a:xfrm>
                    <a:prstGeom prst="rect">
                      <a:avLst/>
                    </a:prstGeom>
                  </pic:spPr>
                </pic:pic>
              </a:graphicData>
            </a:graphic>
          </wp:inline>
        </w:drawing>
      </w:r>
    </w:p>
    <w:p>
      <w:pPr>
        <w:spacing w:after="200" w:before="60"/>
        <w:jc w:val="center"/>
      </w:pPr>
      <w:r>
        <w:rPr>
          <w:b w:val="false"/>
          <w:bCs w:val="false"/>
          <w:i/>
          <w:iCs/>
          <w:color w:val="52514E"/>
          <w:sz w:val="17"/>
          <w:szCs w:val="17"/>
        </w:rPr>
        <w:t xml:space="preserve">Figure 10.2: Electricity per person against floor area per person - composite, per-capita and per-m² factors</w:t>
      </w:r>
    </w:p>
    <w:p>
      <w:pPr>
        <w:spacing w:after="120" w:before="0" w:line="276"/>
        <w:jc w:val="both"/>
      </w:pPr>
      <w:r>
        <w:rPr>
          <w:b w:val="false"/>
          <w:bCs w:val="false"/>
        </w:rPr>
        <w:t xml:space="preserve">Applied to Sha Tin, the composite factor gives 61.8 × 10,996,800 m² + 829 × 687,300 residents = </w:t>
      </w:r>
      <w:r>
        <w:rPr>
          <w:b/>
          <w:bCs/>
        </w:rPr>
        <w:t xml:space="preserve">1,250 GWh/yr</w:t>
      </w:r>
      <w:r>
        <w:rPr>
          <w:b w:val="false"/>
          <w:bCs w:val="false"/>
        </w:rPr>
        <w:t xml:space="preserve">. That is within 2% of the EMSD-based benchmark, and 1,195 GWh/yr with the method-2 floor area. For a Sha Tin household of average size (2.7 persons, 43.2 m²) it predicts 4,911 kWh/yr. That is within 0.4% of Hong Kong's 2021 residential average of 4,930 kWh per household [38]. Agreement this close is partly fortunate, but it shows that a factor using both drivers transfers between dwelling types far better than either single factor.</w:t>
      </w:r>
    </w:p>
    <w:p>
      <w:pPr>
        <w:keepNext/>
        <w:spacing w:after="40" w:before="0" w:line="276"/>
        <w:jc w:val="both"/>
      </w:pPr>
      <w:r>
        <w:rPr>
          <w:b/>
          <w:bCs/>
        </w:rPr>
        <w:t xml:space="preserve">Limitations of the scale-up.</w:t>
      </w:r>
    </w:p>
    <w:p>
      <w:pPr>
        <w:pStyle w:val="ListParagraph"/>
        <w:numPr>
          <w:ilvl w:val="0"/>
          <w:numId w:val="2"/>
        </w:numPr>
        <w:spacing w:after="60" w:line="264"/>
      </w:pPr>
      <w:r>
        <w:rPr>
          <w:b w:val="false"/>
          <w:bCs w:val="false"/>
        </w:rPr>
        <w:t xml:space="preserve">The factors come from one all-electric student household. Many Hong Kong homes heat water and cook with Towngas or LPG. If half of Sha Tin's residents do, the composite electricity estimate falls to 1,087 GWh/yr (-11%).</w:t>
      </w:r>
    </w:p>
    <w:p>
      <w:pPr>
        <w:pStyle w:val="ListParagraph"/>
        <w:numPr>
          <w:ilvl w:val="0"/>
          <w:numId w:val="2"/>
        </w:numPr>
        <w:spacing w:after="60" w:line="264"/>
      </w:pPr>
      <w:r>
        <w:rPr>
          <w:b w:val="false"/>
          <w:bCs w:val="false"/>
        </w:rPr>
        <w:t xml:space="preserve">AC use per m² in a small, fully occupied room may differ from that in larger flats with unoccupied rooms.</w:t>
      </w:r>
    </w:p>
    <w:p>
      <w:pPr>
        <w:pStyle w:val="ListParagraph"/>
        <w:numPr>
          <w:ilvl w:val="0"/>
          <w:numId w:val="2"/>
        </w:numPr>
        <w:spacing w:after="60" w:line="264"/>
      </w:pPr>
      <w:r>
        <w:rPr>
          <w:b w:val="false"/>
          <w:bCs w:val="false"/>
        </w:rPr>
        <w:t xml:space="preserve">The district data mix years (2016 By-census floor-area medians, 2021 Census housing mix, 2025 population and 2026 Housing Authority counts) and use different area definitions (internal floor area for public rental housing, saleable area for private flats).</w:t>
      </w:r>
    </w:p>
    <w:p>
      <w:pPr>
        <w:pStyle w:val="ListParagraph"/>
        <w:numPr>
          <w:ilvl w:val="0"/>
          <w:numId w:val="2"/>
        </w:numPr>
        <w:spacing w:after="60" w:line="264"/>
      </w:pPr>
      <w:r>
        <w:rPr>
          <w:b w:val="false"/>
          <w:bCs w:val="false"/>
        </w:rPr>
        <w:t xml:space="preserve">The benchmarks are territory-wide averages, not Sha Tin measurements.</w:t>
      </w:r>
    </w:p>
    <w:p>
      <w:pPr>
        <w:pStyle w:val="Heading1"/>
        <w:pageBreakBefore/>
      </w:pPr>
      <w:r>
        <w:rPr>
          <w:b w:val="false"/>
          <w:bCs w:val="false"/>
        </w:rPr>
        <w:t xml:space="preserve">11  Recommendations, implementation and M&amp;V (EAC §7.6)</w:t>
      </w:r>
    </w:p>
    <w:p>
      <w:pPr>
        <w:pStyle w:val="Heading2"/>
      </w:pPr>
      <w:r>
        <w:rPr>
          <w:b w:val="false"/>
          <w:bCs w:val="false"/>
        </w:rPr>
        <w:t xml:space="preserve">11.1  Implementation plan</w:t>
      </w:r>
    </w:p>
    <w:p>
      <w:pPr>
        <w:keepNext/>
        <w:spacing w:after="80" w:before="160"/>
      </w:pPr>
      <w:r>
        <w:rPr>
          <w:b/>
          <w:bCs/>
          <w:color w:val="1F3864"/>
          <w:sz w:val="18"/>
          <w:szCs w:val="18"/>
        </w:rPr>
        <w:t xml:space="preserve">Table 11.1: Action plan</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3912"/>
        <w:gridCol w:w="1500"/>
        <w:gridCol w:w="1100"/>
        <w:gridCol w:w="1400"/>
      </w:tblGrid>
      <w:tr>
        <w:trPr>
          <w:tblHeader/>
        </w:trPr>
        <w:tc>
          <w:tcPr>
            <w:tcW w:type="dxa" w:w="15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When</w:t>
            </w:r>
          </w:p>
        </w:tc>
        <w:tc>
          <w:tcPr>
            <w:tcW w:type="dxa" w:w="3912"/>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Action</w:t>
            </w:r>
          </w:p>
        </w:tc>
        <w:tc>
          <w:tcPr>
            <w:tcW w:type="dxa" w:w="15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Who</w:t>
            </w:r>
          </w:p>
        </w:tc>
        <w:tc>
          <w:tcPr>
            <w:tcW w:type="dxa" w:w="11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Cost</w:t>
            </w:r>
          </w:p>
        </w:tc>
        <w:tc>
          <w:tcPr>
            <w:tcW w:type="dxa" w:w="14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Indicator to track</w:t>
            </w:r>
          </w:p>
        </w:tc>
      </w:tr>
      <w:tr>
        <w:trPr>
          <w:cantSplit/>
        </w:trPr>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Now</w:t>
            </w:r>
          </w:p>
        </w:tc>
        <w:tc>
          <w:tcPr>
            <w:tcW w:type="dxa" w:w="3912"/>
            <w:tcMar>
              <w:top w:type="dxa" w:w="50"/>
              <w:left w:type="dxa" w:w="90"/>
              <w:bottom w:type="dxa" w:w="50"/>
              <w:right w:type="dxa" w:w="90"/>
            </w:tcMar>
            <w:vAlign w:val="center"/>
          </w:tcPr>
          <w:p>
            <w:pPr>
              <w:spacing w:after="0" w:line="240"/>
              <w:jc w:val="left"/>
            </w:pPr>
            <w:r>
              <w:rPr>
                <w:b w:val="false"/>
                <w:bCs w:val="false"/>
                <w:sz w:val="15"/>
                <w:szCs w:val="15"/>
              </w:rPr>
              <w:t xml:space="preserve">EMO-01 to EMO-10: set-point 26 °C + fan, no AC cooling in Dec-Feb, timer-off, filter cleaning, task lighting, 4-min showers at 38 °C, laptop settings, efficient cooking, air-dried laundry</w:t>
            </w:r>
          </w:p>
        </w:tc>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Both occupants</w:t>
            </w:r>
          </w:p>
        </w:tc>
        <w:tc>
          <w:tcPr>
            <w:tcW w:type="dxa" w:w="1100"/>
            <w:tcMar>
              <w:top w:type="dxa" w:w="50"/>
              <w:left w:type="dxa" w:w="90"/>
              <w:bottom w:type="dxa" w:w="50"/>
              <w:right w:type="dxa" w:w="90"/>
            </w:tcMar>
            <w:vAlign w:val="center"/>
          </w:tcPr>
          <w:p>
            <w:pPr>
              <w:spacing w:after="0" w:line="240"/>
              <w:jc w:val="left"/>
            </w:pPr>
            <w:r>
              <w:rPr>
                <w:b w:val="false"/>
                <w:bCs w:val="false"/>
                <w:sz w:val="15"/>
                <w:szCs w:val="15"/>
              </w:rPr>
              <w:t xml:space="preserve">HK$0</w:t>
            </w:r>
          </w:p>
        </w:tc>
        <w:tc>
          <w:tcPr>
            <w:tcW w:type="dxa" w:w="1400"/>
            <w:tcMar>
              <w:top w:type="dxa" w:w="50"/>
              <w:left w:type="dxa" w:w="90"/>
              <w:bottom w:type="dxa" w:w="50"/>
              <w:right w:type="dxa" w:w="90"/>
            </w:tcMar>
            <w:vAlign w:val="center"/>
          </w:tcPr>
          <w:p>
            <w:pPr>
              <w:spacing w:after="0" w:line="240"/>
              <w:jc w:val="left"/>
            </w:pPr>
            <w:r>
              <w:rPr>
                <w:b w:val="false"/>
                <w:bCs w:val="false"/>
                <w:sz w:val="15"/>
                <w:szCs w:val="15"/>
              </w:rPr>
              <w:t xml:space="preserve">Octopus spend per month; shower timer; dryer uses</w:t>
            </w:r>
          </w:p>
        </w:tc>
      </w:tr>
      <w:tr>
        <w:trPr>
          <w:cantSplit/>
        </w:trPr>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Within 1 month</w:t>
            </w:r>
          </w:p>
        </w:tc>
        <w:tc>
          <w:tcPr>
            <w:tcW w:type="dxa" w:w="3912"/>
            <w:tcMar>
              <w:top w:type="dxa" w:w="50"/>
              <w:left w:type="dxa" w:w="90"/>
              <w:bottom w:type="dxa" w:w="50"/>
              <w:right w:type="dxa" w:w="90"/>
            </w:tcMar>
            <w:vAlign w:val="center"/>
          </w:tcPr>
          <w:p>
            <w:pPr>
              <w:spacing w:after="0" w:line="240"/>
              <w:jc w:val="left"/>
            </w:pPr>
            <w:r>
              <w:rPr>
                <w:b w:val="false"/>
                <w:bCs w:val="false"/>
                <w:sz w:val="15"/>
                <w:szCs w:val="15"/>
              </w:rPr>
              <w:t xml:space="preserve">EMO-17: buy a plug-in power meter; measure laptop, fan and AC for 2 weeks</w:t>
            </w:r>
          </w:p>
        </w:tc>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Auditor</w:t>
            </w:r>
          </w:p>
        </w:tc>
        <w:tc>
          <w:tcPr>
            <w:tcW w:type="dxa" w:w="1100"/>
            <w:tcMar>
              <w:top w:type="dxa" w:w="50"/>
              <w:left w:type="dxa" w:w="90"/>
              <w:bottom w:type="dxa" w:w="50"/>
              <w:right w:type="dxa" w:w="90"/>
            </w:tcMar>
            <w:vAlign w:val="center"/>
          </w:tcPr>
          <w:p>
            <w:pPr>
              <w:spacing w:after="0" w:line="240"/>
              <w:jc w:val="left"/>
            </w:pPr>
            <w:r>
              <w:rPr>
                <w:b w:val="false"/>
                <w:bCs w:val="false"/>
                <w:sz w:val="15"/>
                <w:szCs w:val="15"/>
              </w:rPr>
              <w:t xml:space="preserve">About HK$120</w:t>
            </w:r>
          </w:p>
        </w:tc>
        <w:tc>
          <w:tcPr>
            <w:tcW w:type="dxa" w:w="1400"/>
            <w:tcMar>
              <w:top w:type="dxa" w:w="50"/>
              <w:left w:type="dxa" w:w="90"/>
              <w:bottom w:type="dxa" w:w="50"/>
              <w:right w:type="dxa" w:w="90"/>
            </w:tcMar>
            <w:vAlign w:val="center"/>
          </w:tcPr>
          <w:p>
            <w:pPr>
              <w:spacing w:after="0" w:line="240"/>
              <w:jc w:val="left"/>
            </w:pPr>
            <w:r>
              <w:rPr>
                <w:b w:val="false"/>
                <w:bCs w:val="false"/>
                <w:sz w:val="15"/>
                <w:szCs w:val="15"/>
              </w:rPr>
              <w:t xml:space="preserve">Measured W and kWh</w:t>
            </w:r>
          </w:p>
        </w:tc>
      </w:tr>
      <w:tr>
        <w:trPr>
          <w:cantSplit/>
        </w:trPr>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Within 1 month</w:t>
            </w:r>
          </w:p>
        </w:tc>
        <w:tc>
          <w:tcPr>
            <w:tcW w:type="dxa" w:w="3912"/>
            <w:tcMar>
              <w:top w:type="dxa" w:w="50"/>
              <w:left w:type="dxa" w:w="90"/>
              <w:bottom w:type="dxa" w:w="50"/>
              <w:right w:type="dxa" w:w="90"/>
            </w:tcMar>
            <w:vAlign w:val="center"/>
          </w:tcPr>
          <w:p>
            <w:pPr>
              <w:spacing w:after="0" w:line="240"/>
              <w:jc w:val="left"/>
            </w:pPr>
            <w:r>
              <w:rPr>
                <w:b w:val="false"/>
                <w:bCs w:val="false"/>
                <w:sz w:val="15"/>
                <w:szCs w:val="15"/>
              </w:rPr>
              <w:t xml:space="preserve">Send the findings memo (Section 11.3) to the Student Residence Office</w:t>
            </w:r>
          </w:p>
        </w:tc>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Auditor</w:t>
            </w:r>
          </w:p>
        </w:tc>
        <w:tc>
          <w:tcPr>
            <w:tcW w:type="dxa" w:w="1100"/>
            <w:tcMar>
              <w:top w:type="dxa" w:w="50"/>
              <w:left w:type="dxa" w:w="90"/>
              <w:bottom w:type="dxa" w:w="50"/>
              <w:right w:type="dxa" w:w="90"/>
            </w:tcMar>
            <w:vAlign w:val="center"/>
          </w:tcPr>
          <w:p>
            <w:pPr>
              <w:spacing w:after="0" w:line="240"/>
              <w:jc w:val="left"/>
            </w:pPr>
            <w:r>
              <w:rPr>
                <w:b w:val="false"/>
                <w:bCs w:val="false"/>
                <w:sz w:val="15"/>
                <w:szCs w:val="15"/>
              </w:rPr>
              <w:t xml:space="preserve">HK$0</w:t>
            </w:r>
          </w:p>
        </w:tc>
        <w:tc>
          <w:tcPr>
            <w:tcW w:type="dxa" w:w="1400"/>
            <w:tcMar>
              <w:top w:type="dxa" w:w="50"/>
              <w:left w:type="dxa" w:w="90"/>
              <w:bottom w:type="dxa" w:w="50"/>
              <w:right w:type="dxa" w:w="90"/>
            </w:tcMar>
            <w:vAlign w:val="center"/>
          </w:tcPr>
          <w:p>
            <w:pPr>
              <w:spacing w:after="0" w:line="240"/>
              <w:jc w:val="left"/>
            </w:pPr>
            <w:r>
              <w:rPr>
                <w:b w:val="false"/>
                <w:bCs w:val="false"/>
                <w:sz w:val="15"/>
                <w:szCs w:val="15"/>
              </w:rPr>
              <w:t xml:space="preserve">Reply / action from SRO</w:t>
            </w:r>
          </w:p>
        </w:tc>
      </w:tr>
      <w:tr>
        <w:trPr>
          <w:cantSplit/>
        </w:trPr>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Next maintenance cycle</w:t>
            </w:r>
          </w:p>
        </w:tc>
        <w:tc>
          <w:tcPr>
            <w:tcW w:type="dxa" w:w="3912"/>
            <w:tcMar>
              <w:top w:type="dxa" w:w="50"/>
              <w:left w:type="dxa" w:w="90"/>
              <w:bottom w:type="dxa" w:w="50"/>
              <w:right w:type="dxa" w:w="90"/>
            </w:tcMar>
            <w:vAlign w:val="center"/>
          </w:tcPr>
          <w:p>
            <w:pPr>
              <w:spacing w:after="0" w:line="240"/>
              <w:jc w:val="left"/>
            </w:pPr>
            <w:r>
              <w:rPr>
                <w:b w:val="false"/>
                <w:bCs w:val="false"/>
                <w:sz w:val="15"/>
                <w:szCs w:val="15"/>
              </w:rPr>
              <w:t xml:space="preserve">EMO-11 to EMO-16: exhaust-fan control, kitchen-AC timer, dispenser set-back, Grade-1 showerheads, kitchen sensors, AC coil clean</w:t>
            </w:r>
          </w:p>
        </w:tc>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SRO / hall maintenance</w:t>
            </w:r>
          </w:p>
        </w:tc>
        <w:tc>
          <w:tcPr>
            <w:tcW w:type="dxa" w:w="1100"/>
            <w:tcMar>
              <w:top w:type="dxa" w:w="50"/>
              <w:left w:type="dxa" w:w="90"/>
              <w:bottom w:type="dxa" w:w="50"/>
              <w:right w:type="dxa" w:w="90"/>
            </w:tcMar>
            <w:vAlign w:val="center"/>
          </w:tcPr>
          <w:p>
            <w:pPr>
              <w:spacing w:after="0" w:line="240"/>
              <w:jc w:val="left"/>
            </w:pPr>
            <w:r>
              <w:rPr>
                <w:b w:val="false"/>
                <w:bCs w:val="false"/>
                <w:sz w:val="15"/>
                <w:szCs w:val="15"/>
              </w:rPr>
              <w:t xml:space="preserve">HK$200-1,000 each</w:t>
            </w:r>
          </w:p>
        </w:tc>
        <w:tc>
          <w:tcPr>
            <w:tcW w:type="dxa" w:w="1400"/>
            <w:tcMar>
              <w:top w:type="dxa" w:w="50"/>
              <w:left w:type="dxa" w:w="90"/>
              <w:bottom w:type="dxa" w:w="50"/>
              <w:right w:type="dxa" w:w="90"/>
            </w:tcMar>
            <w:vAlign w:val="center"/>
          </w:tcPr>
          <w:p>
            <w:pPr>
              <w:spacing w:after="0" w:line="240"/>
              <w:jc w:val="left"/>
            </w:pPr>
            <w:r>
              <w:rPr>
                <w:b w:val="false"/>
                <w:bCs w:val="false"/>
                <w:sz w:val="15"/>
                <w:szCs w:val="15"/>
              </w:rPr>
              <w:t xml:space="preserve">Fan, light and AC run-hours; kitchen meter</w:t>
            </w:r>
          </w:p>
        </w:tc>
      </w:tr>
      <w:tr>
        <w:trPr>
          <w:cantSplit/>
        </w:trPr>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Next capital plan</w:t>
            </w:r>
          </w:p>
        </w:tc>
        <w:tc>
          <w:tcPr>
            <w:tcW w:type="dxa" w:w="3912"/>
            <w:tcMar>
              <w:top w:type="dxa" w:w="50"/>
              <w:left w:type="dxa" w:w="90"/>
              <w:bottom w:type="dxa" w:w="50"/>
              <w:right w:type="dxa" w:w="90"/>
            </w:tcMar>
            <w:vAlign w:val="center"/>
          </w:tcPr>
          <w:p>
            <w:pPr>
              <w:spacing w:after="0" w:line="240"/>
              <w:jc w:val="left"/>
            </w:pPr>
            <w:r>
              <w:rPr>
                <w:b w:val="false"/>
                <w:bCs w:val="false"/>
                <w:sz w:val="15"/>
                <w:szCs w:val="15"/>
              </w:rPr>
              <w:t xml:space="preserve">EMO-18 and EMO-21: heat-pump hot water and PV feasibility studies</w:t>
            </w:r>
          </w:p>
        </w:tc>
        <w:tc>
          <w:tcPr>
            <w:tcW w:type="dxa" w:w="1500"/>
            <w:tcMar>
              <w:top w:type="dxa" w:w="50"/>
              <w:left w:type="dxa" w:w="90"/>
              <w:bottom w:type="dxa" w:w="50"/>
              <w:right w:type="dxa" w:w="90"/>
            </w:tcMar>
            <w:vAlign w:val="center"/>
          </w:tcPr>
          <w:p>
            <w:pPr>
              <w:spacing w:after="0" w:line="240"/>
              <w:jc w:val="left"/>
            </w:pPr>
            <w:r>
              <w:rPr>
                <w:b w:val="false"/>
                <w:bCs w:val="false"/>
                <w:sz w:val="15"/>
                <w:szCs w:val="15"/>
              </w:rPr>
              <w:t xml:space="preserve">CityU Campus Development</w:t>
            </w:r>
          </w:p>
        </w:tc>
        <w:tc>
          <w:tcPr>
            <w:tcW w:type="dxa" w:w="1100"/>
            <w:tcMar>
              <w:top w:type="dxa" w:w="50"/>
              <w:left w:type="dxa" w:w="90"/>
              <w:bottom w:type="dxa" w:w="50"/>
              <w:right w:type="dxa" w:w="90"/>
            </w:tcMar>
            <w:vAlign w:val="center"/>
          </w:tcPr>
          <w:p>
            <w:pPr>
              <w:spacing w:after="0" w:line="240"/>
              <w:jc w:val="left"/>
            </w:pPr>
            <w:r>
              <w:rPr>
                <w:b w:val="false"/>
                <w:bCs w:val="false"/>
                <w:sz w:val="15"/>
                <w:szCs w:val="15"/>
              </w:rPr>
              <w:t xml:space="preserve">Study cost</w:t>
            </w:r>
          </w:p>
        </w:tc>
        <w:tc>
          <w:tcPr>
            <w:tcW w:type="dxa" w:w="1400"/>
            <w:tcMar>
              <w:top w:type="dxa" w:w="50"/>
              <w:left w:type="dxa" w:w="90"/>
              <w:bottom w:type="dxa" w:w="50"/>
              <w:right w:type="dxa" w:w="90"/>
            </w:tcMar>
            <w:vAlign w:val="center"/>
          </w:tcPr>
          <w:p>
            <w:pPr>
              <w:spacing w:after="0" w:line="240"/>
              <w:jc w:val="left"/>
            </w:pPr>
            <w:r>
              <w:rPr>
                <w:b w:val="false"/>
                <w:bCs w:val="false"/>
                <w:sz w:val="15"/>
                <w:szCs w:val="15"/>
              </w:rPr>
              <w:t xml:space="preserve">Business case</w:t>
            </w:r>
          </w:p>
        </w:tc>
      </w:tr>
    </w:tbl>
    <w:p>
      <w:pPr>
        <w:pStyle w:val="Heading2"/>
      </w:pPr>
      <w:r>
        <w:rPr>
          <w:b w:val="false"/>
          <w:bCs w:val="false"/>
        </w:rPr>
        <w:t xml:space="preserve">11.2  Measurement and verification plan (EAC §7.5.3, §7.6.3)</w:t>
      </w:r>
    </w:p>
    <w:p>
      <w:pPr>
        <w:keepNext/>
        <w:spacing w:after="80" w:before="160"/>
      </w:pPr>
      <w:r>
        <w:rPr>
          <w:b/>
          <w:bCs/>
          <w:color w:val="1F3864"/>
          <w:sz w:val="18"/>
          <w:szCs w:val="18"/>
        </w:rPr>
        <w:t xml:space="preserve">Table 11.2: Metering points, devices and intervals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2912"/>
        <w:gridCol w:w="2500"/>
        <w:gridCol w:w="2000"/>
      </w:tblGrid>
      <w:tr>
        <w:trPr>
          <w:tblHeader/>
        </w:trPr>
        <w:tc>
          <w:tcPr>
            <w:tcW w:type="dxa" w:w="20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Quantity</w:t>
            </w:r>
          </w:p>
        </w:tc>
        <w:tc>
          <w:tcPr>
            <w:tcW w:type="dxa" w:w="2912"/>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Metering point / device</w:t>
            </w:r>
          </w:p>
        </w:tc>
        <w:tc>
          <w:tcPr>
            <w:tcW w:type="dxa" w:w="25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Interval and duration</w:t>
            </w:r>
          </w:p>
        </w:tc>
        <w:tc>
          <w:tcPr>
            <w:tcW w:type="dxa" w:w="20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Adjustment</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Room AC energy</w:t>
            </w:r>
          </w:p>
        </w:tc>
        <w:tc>
          <w:tcPr>
            <w:tcW w:type="dxa" w:w="2912"/>
            <w:tcMar>
              <w:top w:type="dxa" w:w="50"/>
              <w:left w:type="dxa" w:w="90"/>
              <w:bottom w:type="dxa" w:w="50"/>
              <w:right w:type="dxa" w:w="90"/>
            </w:tcMar>
            <w:vAlign w:val="center"/>
          </w:tcPr>
          <w:p>
            <w:pPr>
              <w:spacing w:after="0" w:line="240"/>
              <w:jc w:val="left"/>
            </w:pPr>
            <w:r>
              <w:rPr>
                <w:b w:val="false"/>
                <w:bCs w:val="false"/>
                <w:sz w:val="15"/>
                <w:szCs w:val="15"/>
              </w:rPr>
              <w:t xml:space="preserve">Octopus AC balance (screenshot weekly); plug-in meter if the socket allows</w:t>
            </w:r>
          </w:p>
        </w:tc>
        <w:tc>
          <w:tcPr>
            <w:tcW w:type="dxa" w:w="2500"/>
            <w:tcMar>
              <w:top w:type="dxa" w:w="50"/>
              <w:left w:type="dxa" w:w="90"/>
              <w:bottom w:type="dxa" w:w="50"/>
              <w:right w:type="dxa" w:w="90"/>
            </w:tcMar>
            <w:vAlign w:val="center"/>
          </w:tcPr>
          <w:p>
            <w:pPr>
              <w:spacing w:after="0" w:line="240"/>
              <w:jc w:val="left"/>
            </w:pPr>
            <w:r>
              <w:rPr>
                <w:b w:val="false"/>
                <w:bCs w:val="false"/>
                <w:sz w:val="15"/>
                <w:szCs w:val="15"/>
              </w:rPr>
              <w:t xml:space="preserve">Weekly, 4 weeks before and 4 weeks after the EMOs, in both seasons</w:t>
            </w:r>
          </w:p>
        </w:tc>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Normalise by cooling degree-days from HKO daily data</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Laptop and fan energy</w:t>
            </w:r>
          </w:p>
        </w:tc>
        <w:tc>
          <w:tcPr>
            <w:tcW w:type="dxa" w:w="2912"/>
            <w:tcMar>
              <w:top w:type="dxa" w:w="50"/>
              <w:left w:type="dxa" w:w="90"/>
              <w:bottom w:type="dxa" w:w="50"/>
              <w:right w:type="dxa" w:w="90"/>
            </w:tcMar>
            <w:vAlign w:val="center"/>
          </w:tcPr>
          <w:p>
            <w:pPr>
              <w:spacing w:after="0" w:line="240"/>
              <w:jc w:val="left"/>
            </w:pPr>
            <w:r>
              <w:rPr>
                <w:b w:val="false"/>
                <w:bCs w:val="false"/>
                <w:sz w:val="15"/>
                <w:szCs w:val="15"/>
              </w:rPr>
              <w:t xml:space="preserve">Plug-in power meter</w:t>
            </w:r>
          </w:p>
        </w:tc>
        <w:tc>
          <w:tcPr>
            <w:tcW w:type="dxa" w:w="2500"/>
            <w:tcMar>
              <w:top w:type="dxa" w:w="50"/>
              <w:left w:type="dxa" w:w="90"/>
              <w:bottom w:type="dxa" w:w="50"/>
              <w:right w:type="dxa" w:w="90"/>
            </w:tcMar>
            <w:vAlign w:val="center"/>
          </w:tcPr>
          <w:p>
            <w:pPr>
              <w:spacing w:after="0" w:line="240"/>
              <w:jc w:val="left"/>
            </w:pPr>
            <w:r>
              <w:rPr>
                <w:b w:val="false"/>
                <w:bCs w:val="false"/>
                <w:sz w:val="15"/>
                <w:szCs w:val="15"/>
              </w:rPr>
              <w:t xml:space="preserve">2 weeks each</w:t>
            </w:r>
          </w:p>
        </w:tc>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Per hour of use</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Shower flow and time</w:t>
            </w:r>
          </w:p>
        </w:tc>
        <w:tc>
          <w:tcPr>
            <w:tcW w:type="dxa" w:w="2912"/>
            <w:tcMar>
              <w:top w:type="dxa" w:w="50"/>
              <w:left w:type="dxa" w:w="90"/>
              <w:bottom w:type="dxa" w:w="50"/>
              <w:right w:type="dxa" w:w="90"/>
            </w:tcMar>
            <w:vAlign w:val="center"/>
          </w:tcPr>
          <w:p>
            <w:pPr>
              <w:spacing w:after="0" w:line="240"/>
              <w:jc w:val="left"/>
            </w:pPr>
            <w:r>
              <w:rPr>
                <w:b w:val="false"/>
                <w:bCs w:val="false"/>
                <w:sz w:val="15"/>
                <w:szCs w:val="15"/>
              </w:rPr>
              <w:t xml:space="preserve">Bucket test (L/min) and phone timer</w:t>
            </w:r>
          </w:p>
        </w:tc>
        <w:tc>
          <w:tcPr>
            <w:tcW w:type="dxa" w:w="2500"/>
            <w:tcMar>
              <w:top w:type="dxa" w:w="50"/>
              <w:left w:type="dxa" w:w="90"/>
              <w:bottom w:type="dxa" w:w="50"/>
              <w:right w:type="dxa" w:w="90"/>
            </w:tcMar>
            <w:vAlign w:val="center"/>
          </w:tcPr>
          <w:p>
            <w:pPr>
              <w:spacing w:after="0" w:line="240"/>
              <w:jc w:val="left"/>
            </w:pPr>
            <w:r>
              <w:rPr>
                <w:b w:val="false"/>
                <w:bCs w:val="false"/>
                <w:sz w:val="15"/>
                <w:szCs w:val="15"/>
              </w:rPr>
              <w:t xml:space="preserve">Once; then a weekly sample</w:t>
            </w:r>
          </w:p>
        </w:tc>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Inlet temperature by month (HKO)</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Kitchen AC, lights and exhaust fan hours</w:t>
            </w:r>
          </w:p>
        </w:tc>
        <w:tc>
          <w:tcPr>
            <w:tcW w:type="dxa" w:w="2912"/>
            <w:tcMar>
              <w:top w:type="dxa" w:w="50"/>
              <w:left w:type="dxa" w:w="90"/>
              <w:bottom w:type="dxa" w:w="50"/>
              <w:right w:type="dxa" w:w="90"/>
            </w:tcMar>
            <w:vAlign w:val="center"/>
          </w:tcPr>
          <w:p>
            <w:pPr>
              <w:spacing w:after="0" w:line="240"/>
              <w:jc w:val="left"/>
            </w:pPr>
            <w:r>
              <w:rPr>
                <w:b w:val="false"/>
                <w:bCs w:val="false"/>
                <w:sz w:val="15"/>
                <w:szCs w:val="15"/>
              </w:rPr>
              <w:t xml:space="preserve">Run-hour log or smart-plug data (hall)</w:t>
            </w:r>
          </w:p>
        </w:tc>
        <w:tc>
          <w:tcPr>
            <w:tcW w:type="dxa" w:w="2500"/>
            <w:tcMar>
              <w:top w:type="dxa" w:w="50"/>
              <w:left w:type="dxa" w:w="90"/>
              <w:bottom w:type="dxa" w:w="50"/>
              <w:right w:type="dxa" w:w="90"/>
            </w:tcMar>
            <w:vAlign w:val="center"/>
          </w:tcPr>
          <w:p>
            <w:pPr>
              <w:spacing w:after="0" w:line="240"/>
              <w:jc w:val="left"/>
            </w:pPr>
            <w:r>
              <w:rPr>
                <w:b w:val="false"/>
                <w:bCs w:val="false"/>
                <w:sz w:val="15"/>
                <w:szCs w:val="15"/>
              </w:rPr>
              <w:t xml:space="preserve">Continuous for 1 month</w:t>
            </w:r>
          </w:p>
        </w:tc>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Occupancy (users per day)</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Baseline record</w:t>
            </w:r>
          </w:p>
        </w:tc>
        <w:tc>
          <w:tcPr>
            <w:tcW w:type="dxa" w:w="2912"/>
            <w:tcMar>
              <w:top w:type="dxa" w:w="50"/>
              <w:left w:type="dxa" w:w="90"/>
              <w:bottom w:type="dxa" w:w="50"/>
              <w:right w:type="dxa" w:w="90"/>
            </w:tcMar>
            <w:vAlign w:val="center"/>
          </w:tcPr>
          <w:p>
            <w:pPr>
              <w:spacing w:after="0" w:line="240"/>
              <w:jc w:val="left"/>
            </w:pPr>
            <w:r>
              <w:rPr>
                <w:b w:val="false"/>
                <w:bCs w:val="false"/>
                <w:sz w:val="15"/>
                <w:szCs w:val="15"/>
              </w:rPr>
              <w:t xml:space="preserve">This workbook (Inputs, AC_Baseline, Monthly)</w:t>
            </w:r>
          </w:p>
        </w:tc>
        <w:tc>
          <w:tcPr>
            <w:tcW w:type="dxa" w:w="2500"/>
            <w:tcMar>
              <w:top w:type="dxa" w:w="50"/>
              <w:left w:type="dxa" w:w="90"/>
              <w:bottom w:type="dxa" w:w="50"/>
              <w:right w:type="dxa" w:w="90"/>
            </w:tcMar>
            <w:vAlign w:val="center"/>
          </w:tcPr>
          <w:p>
            <w:pPr>
              <w:spacing w:after="0" w:line="240"/>
              <w:jc w:val="left"/>
            </w:pPr>
            <w:r>
              <w:rPr>
                <w:b w:val="false"/>
                <w:bCs w:val="false"/>
                <w:sz w:val="15"/>
                <w:szCs w:val="15"/>
              </w:rPr>
              <w:t xml:space="preserve">Kept with the report</w:t>
            </w:r>
          </w:p>
        </w:tc>
        <w:tc>
          <w:tcPr>
            <w:tcW w:type="dxa" w:w="2000"/>
            <w:tcMar>
              <w:top w:type="dxa" w:w="50"/>
              <w:left w:type="dxa" w:w="90"/>
              <w:bottom w:type="dxa" w:w="50"/>
              <w:right w:type="dxa" w:w="90"/>
            </w:tcMar>
            <w:vAlign w:val="center"/>
          </w:tcPr>
          <w:p>
            <w:pPr>
              <w:spacing w:after="0" w:line="240"/>
              <w:jc w:val="left"/>
            </w:pPr>
            <w:r>
              <w:rPr>
                <w:b w:val="false"/>
                <w:bCs w:val="false"/>
                <w:sz w:val="15"/>
                <w:szCs w:val="15"/>
              </w:rPr>
              <w:t xml:space="preserve">Re-run with measured values</w:t>
            </w:r>
          </w:p>
        </w:tc>
      </w:tr>
    </w:tbl>
    <w:p>
      <w:pPr>
        <w:pStyle w:val="Heading2"/>
      </w:pPr>
      <w:r>
        <w:rPr>
          <w:b w:val="false"/>
          <w:bCs w:val="false"/>
        </w:rPr>
        <w:t xml:space="preserve">11.3  Communication with hall management (EAC §7.4.3)</w:t>
      </w:r>
    </w:p>
    <w:p>
      <w:pPr>
        <w:keepNext/>
        <w:spacing w:after="40" w:before="0" w:line="276"/>
        <w:jc w:val="both"/>
      </w:pPr>
      <w:r>
        <w:rPr>
          <w:b w:val="false"/>
          <w:bCs w:val="false"/>
        </w:rPr>
        <w:t xml:space="preserve">More than half of the household's energy is used in shared facilities, so the most effective EMOs depend on the Student Residence Office. A short memo should be sent to the SRO. It should:</w:t>
      </w:r>
    </w:p>
    <w:p>
      <w:pPr>
        <w:pStyle w:val="ListParagraph"/>
        <w:numPr>
          <w:ilvl w:val="0"/>
          <w:numId w:val="2"/>
        </w:numPr>
        <w:spacing w:after="60" w:line="264"/>
      </w:pPr>
      <w:r>
        <w:rPr>
          <w:b w:val="false"/>
          <w:bCs w:val="false"/>
        </w:rPr>
        <w:t xml:space="preserve">summarise findings F1, F3-F5, F7, F9 and F10;</w:t>
      </w:r>
    </w:p>
    <w:p>
      <w:pPr>
        <w:pStyle w:val="ListParagraph"/>
        <w:numPr>
          <w:ilvl w:val="0"/>
          <w:numId w:val="2"/>
        </w:numPr>
        <w:spacing w:after="60" w:line="264"/>
      </w:pPr>
      <w:r>
        <w:rPr>
          <w:b w:val="false"/>
          <w:bCs w:val="false"/>
        </w:rPr>
        <w:t xml:space="preserve">quantify the facility-level savings of EMO-11 to EMO-15 (about 1,381 kWh/yr per washroom and kitchen, NPV positive for each) and recommend the coil clean (EMO-16) on hygiene grounds;</w:t>
      </w:r>
    </w:p>
    <w:p>
      <w:pPr>
        <w:pStyle w:val="ListParagraph"/>
        <w:numPr>
          <w:ilvl w:val="0"/>
          <w:numId w:val="2"/>
        </w:numPr>
        <w:spacing w:after="120" w:line="264"/>
      </w:pPr>
      <w:r>
        <w:rPr>
          <w:b w:val="false"/>
          <w:bCs w:val="false"/>
        </w:rPr>
        <w:t xml:space="preserve">suggest piloting them on one floor, with before-and-after readings from the building management system.</w:t>
      </w:r>
    </w:p>
    <w:p>
      <w:pPr>
        <w:spacing w:after="120" w:before="0" w:line="276"/>
        <w:jc w:val="both"/>
      </w:pPr>
      <w:r>
        <w:rPr>
          <w:b w:val="false"/>
          <w:bCs w:val="false"/>
        </w:rPr>
        <w:t xml:space="preserve">This mirrors a corporate audit, where landlord-controlled central services are reported to the responsible persons for follow-up.</w:t>
      </w:r>
    </w:p>
    <w:p>
      <w:pPr>
        <w:pStyle w:val="Heading2"/>
      </w:pPr>
      <w:r>
        <w:rPr>
          <w:b w:val="false"/>
          <w:bCs w:val="false"/>
        </w:rPr>
        <w:t xml:space="preserve">11.4  Further studies (EAC §7.6.5)</w:t>
      </w:r>
    </w:p>
    <w:p>
      <w:pPr>
        <w:pStyle w:val="ListParagraph"/>
        <w:numPr>
          <w:ilvl w:val="0"/>
          <w:numId w:val="2"/>
        </w:numPr>
        <w:spacing w:after="60" w:line="264"/>
      </w:pPr>
      <w:r>
        <w:rPr>
          <w:b w:val="false"/>
          <w:bCs w:val="false"/>
        </w:rPr>
        <w:t xml:space="preserve">Obtain CityU's actual Octopus AC tariff (HK$/kWh) to replace the CLP-average proxy. This is the largest single uncertainty.</w:t>
      </w:r>
    </w:p>
    <w:p>
      <w:pPr>
        <w:pStyle w:val="ListParagraph"/>
        <w:numPr>
          <w:ilvl w:val="0"/>
          <w:numId w:val="2"/>
        </w:numPr>
        <w:spacing w:after="60" w:line="264"/>
      </w:pPr>
      <w:r>
        <w:rPr>
          <w:b w:val="false"/>
          <w:bCs w:val="false"/>
        </w:rPr>
        <w:t xml:space="preserve">Measure the exhaust-fan, desk-light, ceiling-batten and kitchen-light power ratings, and the washroom and kitchen floor areas.</w:t>
      </w:r>
    </w:p>
    <w:p>
      <w:pPr>
        <w:pStyle w:val="ListParagraph"/>
        <w:numPr>
          <w:ilvl w:val="0"/>
          <w:numId w:val="2"/>
        </w:numPr>
        <w:spacing w:after="60" w:line="264"/>
      </w:pPr>
      <w:r>
        <w:rPr>
          <w:b w:val="false"/>
          <w:bCs w:val="false"/>
        </w:rPr>
        <w:t xml:space="preserve">Record the water heater's dial setting, and measure the shower flow with a bucket test.</w:t>
      </w:r>
    </w:p>
    <w:p>
      <w:pPr>
        <w:pStyle w:val="ListParagraph"/>
        <w:numPr>
          <w:ilvl w:val="0"/>
          <w:numId w:val="2"/>
        </w:numPr>
        <w:spacing w:after="60" w:line="264"/>
      </w:pPr>
      <w:r>
        <w:rPr>
          <w:b w:val="false"/>
          <w:bCs w:val="false"/>
        </w:rPr>
        <w:t xml:space="preserve">At hall level: sub-meter the washroom heaters and kitchens, and study the demand-charge benefits of heat-pump water heating.</w:t>
      </w:r>
    </w:p>
    <w:p>
      <w:pPr>
        <w:pStyle w:val="ListParagraph"/>
        <w:numPr>
          <w:ilvl w:val="0"/>
          <w:numId w:val="2"/>
        </w:numPr>
        <w:spacing w:after="60" w:line="264"/>
      </w:pPr>
      <w:r>
        <w:rPr>
          <w:b w:val="false"/>
          <w:bCs w:val="false"/>
        </w:rPr>
        <w:t xml:space="preserve">At district level: refine the composite factor with metered data from flats of different sizes, and with households that use gas.</w:t>
      </w:r>
    </w:p>
    <w:p>
      <w:pPr>
        <w:pStyle w:val="Heading1"/>
        <w:pageBreakBefore/>
      </w:pPr>
      <w:r>
        <w:rPr>
          <w:b w:val="false"/>
          <w:bCs w:val="false"/>
        </w:rPr>
        <w:t xml:space="preserve">12  Uncertainty, limitations and sensitivity</w:t>
      </w:r>
    </w:p>
    <w:p>
      <w:pPr>
        <w:spacing w:after="120" w:before="0" w:line="276"/>
        <w:jc w:val="both"/>
      </w:pPr>
      <w:r>
        <w:rPr>
          <w:b w:val="false"/>
          <w:bCs w:val="false"/>
        </w:rPr>
        <w:t xml:space="preserve">Each key assumption was varied one at a time, and household Scope 2 emissions were recalculated in the workbook (table and figure below).</w:t>
      </w:r>
    </w:p>
    <w:p>
      <w:pPr>
        <w:keepNext/>
        <w:spacing w:after="40" w:before="0" w:line="276"/>
        <w:jc w:val="both"/>
      </w:pPr>
      <w:r>
        <w:rPr>
          <w:b w:val="false"/>
          <w:bCs w:val="false"/>
        </w:rPr>
        <w:t xml:space="preserve">The territory-wide default factor of 0.7 kg/kWh raises the result by 106%. This is a reporting convention rather than an uncertainty, which is why both factors are reported. Among the physical assumptions, the largest effects are:</w:t>
      </w:r>
    </w:p>
    <w:p>
      <w:pPr>
        <w:pStyle w:val="ListParagraph"/>
        <w:numPr>
          <w:ilvl w:val="0"/>
          <w:numId w:val="2"/>
        </w:numPr>
        <w:spacing w:after="60" w:line="264"/>
      </w:pPr>
      <w:r>
        <w:rPr>
          <w:b/>
          <w:bCs/>
        </w:rPr>
        <w:t xml:space="preserve">AC energy:</w:t>
      </w:r>
      <w:r>
        <w:rPr>
          <w:b w:val="false"/>
          <w:bCs w:val="false"/>
        </w:rPr>
        <w:t xml:space="preserve"> -12% to +8% across the alternative Octopus tariffs and the occupants' flat HK$120 estimate;</w:t>
      </w:r>
    </w:p>
    <w:p>
      <w:pPr>
        <w:pStyle w:val="ListParagraph"/>
        <w:numPr>
          <w:ilvl w:val="0"/>
          <w:numId w:val="2"/>
        </w:numPr>
        <w:spacing w:after="60" w:line="264"/>
      </w:pPr>
      <w:r>
        <w:rPr>
          <w:b/>
          <w:bCs/>
        </w:rPr>
        <w:t xml:space="preserve">roommate's habits:</w:t>
      </w:r>
      <w:r>
        <w:rPr>
          <w:b w:val="false"/>
          <w:bCs w:val="false"/>
        </w:rPr>
        <w:t xml:space="preserve"> -12% if the roommate's personal use is half the auditor's;</w:t>
      </w:r>
    </w:p>
    <w:p>
      <w:pPr>
        <w:pStyle w:val="ListParagraph"/>
        <w:numPr>
          <w:ilvl w:val="0"/>
          <w:numId w:val="2"/>
        </w:numPr>
        <w:spacing w:after="120" w:line="264"/>
      </w:pPr>
      <w:r>
        <w:rPr>
          <w:b/>
          <w:bCs/>
        </w:rPr>
        <w:t xml:space="preserve">shower flow rate:</w:t>
      </w:r>
      <w:r>
        <w:rPr>
          <w:b w:val="false"/>
          <w:bCs w:val="false"/>
        </w:rPr>
        <w:t xml:space="preserve"> -5% to +8% for 7-12 L/min.</w:t>
      </w:r>
    </w:p>
    <w:p>
      <w:pPr>
        <w:spacing w:after="120" w:before="0" w:line="276"/>
        <w:jc w:val="both"/>
      </w:pPr>
      <w:r>
        <w:rPr>
          <w:b w:val="false"/>
          <w:bCs w:val="false"/>
        </w:rPr>
        <w:t xml:space="preserve">Combining the main independent uncertainties by root-sum-square gives about </w:t>
      </w:r>
      <w:r>
        <w:rPr>
          <w:b/>
          <w:bCs/>
        </w:rPr>
        <w:t xml:space="preserve">±20%</w:t>
      </w:r>
      <w:r>
        <w:rPr>
          <w:b w:val="false"/>
          <w:bCs w:val="false"/>
        </w:rPr>
        <w:t xml:space="preserve"> on household electricity, i.e. roughly 2,070-3,103 kWh/yr. The district factors inherit this uncertainty; the larger uncertainty there is how representative one dormitory household is (Section 10.4).</w:t>
      </w:r>
    </w:p>
    <w:p>
      <w:pPr>
        <w:keepNext/>
        <w:spacing w:after="80" w:before="160"/>
      </w:pPr>
      <w:r>
        <w:rPr>
          <w:b/>
          <w:bCs/>
          <w:color w:val="1F3864"/>
          <w:sz w:val="18"/>
          <w:szCs w:val="18"/>
        </w:rPr>
        <w:t xml:space="preserve">Table 12.1: One-at-a-time sensitivity (household, CLP factor unless stated)</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450"/>
        <w:gridCol w:w="3762"/>
        <w:gridCol w:w="900"/>
        <w:gridCol w:w="1100"/>
        <w:gridCol w:w="1200"/>
        <w:gridCol w:w="1000"/>
        <w:gridCol w:w="1000"/>
      </w:tblGrid>
      <w:tr>
        <w:trPr>
          <w:tblHeader/>
        </w:trPr>
        <w:tc>
          <w:tcPr>
            <w:tcW w:type="dxa" w:w="450"/>
            <w:shd w:fill="DCE6F0" w:color="auto" w:val="clear"/>
            <w:tcMar>
              <w:top w:type="dxa" w:w="50"/>
              <w:left w:type="dxa" w:w="90"/>
              <w:bottom w:type="dxa" w:w="50"/>
              <w:right w:type="dxa" w:w="90"/>
            </w:tcMar>
            <w:vAlign w:val="center"/>
          </w:tcPr>
          <w:p>
            <w:pPr>
              <w:spacing w:after="0" w:line="240"/>
              <w:jc w:val="center"/>
            </w:pPr>
            <w:r>
              <w:rPr>
                <w:b/>
                <w:bCs/>
                <w:color w:val="1F3864"/>
                <w:sz w:val="15"/>
                <w:szCs w:val="15"/>
              </w:rPr>
              <w:t xml:space="preserve">#</w:t>
            </w:r>
          </w:p>
        </w:tc>
        <w:tc>
          <w:tcPr>
            <w:tcW w:type="dxa" w:w="3762"/>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Scenario</w:t>
            </w:r>
          </w:p>
        </w:tc>
        <w:tc>
          <w:tcPr>
            <w:tcW w:type="dxa" w:w="9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Value</w:t>
            </w:r>
          </w:p>
        </w:tc>
        <w:tc>
          <w:tcPr>
            <w:tcW w:type="dxa" w:w="11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Room AC kWh</w:t>
            </w:r>
          </w:p>
        </w:tc>
        <w:tc>
          <w:tcPr>
            <w:tcW w:type="dxa" w:w="12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Household kWh</w:t>
            </w:r>
          </w:p>
        </w:tc>
        <w:tc>
          <w:tcPr>
            <w:tcW w:type="dxa" w:w="10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Scope 2 kg</w:t>
            </w:r>
          </w:p>
        </w:tc>
        <w:tc>
          <w:tcPr>
            <w:tcW w:type="dxa" w:w="1000"/>
            <w:shd w:fill="DCE6F0" w:color="auto" w:val="clear"/>
            <w:tcMar>
              <w:top w:type="dxa" w:w="50"/>
              <w:left w:type="dxa" w:w="90"/>
              <w:bottom w:type="dxa" w:w="50"/>
              <w:right w:type="dxa" w:w="90"/>
            </w:tcMar>
            <w:vAlign w:val="center"/>
          </w:tcPr>
          <w:p>
            <w:pPr>
              <w:spacing w:after="0" w:line="240"/>
              <w:jc w:val="right"/>
            </w:pPr>
            <w:r>
              <w:rPr>
                <w:b/>
                <w:bCs/>
                <w:color w:val="1F3864"/>
                <w:sz w:val="15"/>
                <w:szCs w:val="15"/>
              </w:rPr>
              <w:t xml:space="preserve">Change</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0</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Base case</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CLP 0.34; HK$1.406/kWh</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2,586</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879</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+0.0%</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1</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CLP 2024 emission factor</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0.380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2,586</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983</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+11.8%</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2</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Territory-wide default factor</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0.700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2,586</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1,810</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+105.9%</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3</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Octopus AC rate HK$1.20/kWh (CUHK level)</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1.20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950</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2,726</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927</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+5.4%</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4</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Octopus AC rate HK$2.31/kWh (HKU level)</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2.31</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494</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2,269</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771</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-12.3%</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5</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Stated flat average HK$120/month</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120.00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1,024</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2,800</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952</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+8.2%</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6</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Bottom-up AC (label 362 kWh/1,200 h)</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362.00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884</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2,660</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904</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+2.8%</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7</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Shower flow 7 L/min (Grade-1 head)</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7.00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2,445</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831</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-5.5%</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8</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Shower flow 12 L/min</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12.00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2,798</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951</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+8.2%</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9</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Laptop average draw 30% of adapter</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0.300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2,510</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854</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-2.9%</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10</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Laptop average draw 80% of adapter</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0.800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2,700</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918</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+4.4%</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11</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Roommate uses half the auditor's personal loads</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0.500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2,275</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774</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-12.0%</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12</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Kitchen allocated over 20 active users (not 32)</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20.00</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811</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2,694</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916</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+4.1%</w:t>
            </w:r>
          </w:p>
        </w:tc>
      </w:tr>
      <w:tr>
        <w:trPr>
          <w:cantSplit/>
        </w:trPr>
        <w:tc>
          <w:tcPr>
            <w:tcW w:type="dxa" w:w="450"/>
            <w:tcMar>
              <w:top w:type="dxa" w:w="50"/>
              <w:left w:type="dxa" w:w="90"/>
              <w:bottom w:type="dxa" w:w="50"/>
              <w:right w:type="dxa" w:w="90"/>
            </w:tcMar>
            <w:vAlign w:val="center"/>
          </w:tcPr>
          <w:p>
            <w:pPr>
              <w:spacing w:after="0" w:line="240"/>
              <w:jc w:val="center"/>
            </w:pPr>
            <w:r>
              <w:rPr>
                <w:b w:val="false"/>
                <w:bCs w:val="false"/>
                <w:sz w:val="15"/>
                <w:szCs w:val="15"/>
              </w:rPr>
              <w:t xml:space="preserve">13</w:t>
            </w:r>
          </w:p>
        </w:tc>
        <w:tc>
          <w:tcPr>
            <w:tcW w:type="dxa" w:w="3762"/>
            <w:tcMar>
              <w:top w:type="dxa" w:w="50"/>
              <w:left w:type="dxa" w:w="90"/>
              <w:bottom w:type="dxa" w:w="50"/>
              <w:right w:type="dxa" w:w="90"/>
            </w:tcMar>
            <w:vAlign w:val="center"/>
          </w:tcPr>
          <w:p>
            <w:pPr>
              <w:spacing w:after="0" w:line="240"/>
              <w:jc w:val="left"/>
            </w:pPr>
            <w:r>
              <w:rPr>
                <w:b w:val="false"/>
                <w:bCs w:val="false"/>
                <w:sz w:val="15"/>
                <w:szCs w:val="15"/>
              </w:rPr>
              <w:t xml:space="preserve">One month away (11 of 12 months occupied)</w:t>
            </w:r>
          </w:p>
        </w:tc>
        <w:tc>
          <w:tcPr>
            <w:tcW w:type="dxa" w:w="900"/>
            <w:tcMar>
              <w:top w:type="dxa" w:w="50"/>
              <w:left w:type="dxa" w:w="90"/>
              <w:bottom w:type="dxa" w:w="50"/>
              <w:right w:type="dxa" w:w="90"/>
            </w:tcMar>
            <w:vAlign w:val="center"/>
          </w:tcPr>
          <w:p>
            <w:pPr>
              <w:spacing w:after="0" w:line="240"/>
              <w:jc w:val="right"/>
            </w:pPr>
            <w:r>
              <w:rPr>
                <w:b w:val="false"/>
                <w:bCs w:val="false"/>
                <w:sz w:val="15"/>
                <w:szCs w:val="15"/>
              </w:rPr>
              <w:t xml:space="preserve">0.917</w:t>
            </w:r>
          </w:p>
        </w:tc>
        <w:tc>
          <w:tcPr>
            <w:tcW w:type="dxa" w:w="1100"/>
            <w:tcMar>
              <w:top w:type="dxa" w:w="50"/>
              <w:left w:type="dxa" w:w="90"/>
              <w:bottom w:type="dxa" w:w="50"/>
              <w:right w:type="dxa" w:w="90"/>
            </w:tcMar>
            <w:vAlign w:val="center"/>
          </w:tcPr>
          <w:p>
            <w:pPr>
              <w:spacing w:after="0" w:line="240"/>
              <w:jc w:val="right"/>
            </w:pPr>
            <w:r>
              <w:rPr>
                <w:b w:val="false"/>
                <w:bCs w:val="false"/>
                <w:sz w:val="15"/>
                <w:szCs w:val="15"/>
              </w:rPr>
              <w:t xml:space="preserve">743</w:t>
            </w:r>
          </w:p>
        </w:tc>
        <w:tc>
          <w:tcPr>
            <w:tcW w:type="dxa" w:w="1200"/>
            <w:tcMar>
              <w:top w:type="dxa" w:w="50"/>
              <w:left w:type="dxa" w:w="90"/>
              <w:bottom w:type="dxa" w:w="50"/>
              <w:right w:type="dxa" w:w="90"/>
            </w:tcMar>
            <w:vAlign w:val="center"/>
          </w:tcPr>
          <w:p>
            <w:pPr>
              <w:spacing w:after="0" w:line="240"/>
              <w:jc w:val="right"/>
            </w:pPr>
            <w:r>
              <w:rPr>
                <w:b w:val="false"/>
                <w:bCs w:val="false"/>
                <w:sz w:val="15"/>
                <w:szCs w:val="15"/>
              </w:rPr>
              <w:t xml:space="preserve">2,398</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815</w:t>
            </w:r>
          </w:p>
        </w:tc>
        <w:tc>
          <w:tcPr>
            <w:tcW w:type="dxa" w:w="1000"/>
            <w:tcMar>
              <w:top w:type="dxa" w:w="50"/>
              <w:left w:type="dxa" w:w="90"/>
              <w:bottom w:type="dxa" w:w="50"/>
              <w:right w:type="dxa" w:w="90"/>
            </w:tcMar>
            <w:vAlign w:val="center"/>
          </w:tcPr>
          <w:p>
            <w:pPr>
              <w:spacing w:after="0" w:line="240"/>
              <w:jc w:val="right"/>
            </w:pPr>
            <w:r>
              <w:rPr>
                <w:b w:val="false"/>
                <w:bCs w:val="false"/>
                <w:sz w:val="15"/>
                <w:szCs w:val="15"/>
              </w:rPr>
              <w:t xml:space="preserve">-7.3%</w:t>
            </w:r>
          </w:p>
        </w:tc>
      </w:tr>
    </w:tbl>
    <w:p>
      <w:pPr>
        <w:keepNext/>
        <w:spacing w:after="40" w:before="120"/>
        <w:jc w:val="center"/>
      </w:pPr>
      <w:r>
        <w:drawing>
          <wp:inline distT="0" distB="0" distL="0" distR="0">
            <wp:extent cx="581025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10250" cy="2533650"/>
                    </a:xfrm>
                    <a:prstGeom prst="rect">
                      <a:avLst/>
                    </a:prstGeom>
                  </pic:spPr>
                </pic:pic>
              </a:graphicData>
            </a:graphic>
          </wp:inline>
        </w:drawing>
      </w:r>
    </w:p>
    <w:p>
      <w:pPr>
        <w:spacing w:after="200" w:before="60"/>
        <w:jc w:val="center"/>
      </w:pPr>
      <w:r>
        <w:rPr>
          <w:b w:val="false"/>
          <w:bCs w:val="false"/>
          <w:i/>
          <w:iCs/>
          <w:color w:val="52514E"/>
          <w:sz w:val="17"/>
          <w:szCs w:val="17"/>
        </w:rPr>
        <w:t xml:space="preserve">Figure 12.1: Sensitivity of household Scope 2 emissions to each assumption</w:t>
      </w:r>
    </w:p>
    <w:p>
      <w:pPr>
        <w:pStyle w:val="Heading2"/>
      </w:pPr>
      <w:r>
        <w:rPr>
          <w:b w:val="false"/>
          <w:bCs w:val="false"/>
        </w:rPr>
        <w:t xml:space="preserve">12.1  Limitations</w:t>
      </w:r>
    </w:p>
    <w:p>
      <w:pPr>
        <w:pStyle w:val="ListParagraph"/>
        <w:numPr>
          <w:ilvl w:val="0"/>
          <w:numId w:val="2"/>
        </w:numPr>
        <w:spacing w:after="60" w:line="264"/>
      </w:pPr>
      <w:r>
        <w:rPr>
          <w:b w:val="false"/>
          <w:bCs w:val="false"/>
        </w:rPr>
        <w:t xml:space="preserve">No sub-metering: only the AC is metered (through spend), and all other loads are estimated from ratings and reported hours.</w:t>
      </w:r>
    </w:p>
    <w:p>
      <w:pPr>
        <w:pStyle w:val="ListParagraph"/>
        <w:numPr>
          <w:ilvl w:val="0"/>
          <w:numId w:val="2"/>
        </w:numPr>
        <w:spacing w:after="60" w:line="264"/>
      </w:pPr>
      <w:r>
        <w:rPr>
          <w:b w:val="false"/>
          <w:bCs w:val="false"/>
        </w:rPr>
        <w:t xml:space="preserve">33 of 124 inputs are typical assumed values. Among them, lighting and fan wattages are assumed because no labels were visible.</w:t>
      </w:r>
    </w:p>
    <w:p>
      <w:pPr>
        <w:pStyle w:val="ListParagraph"/>
        <w:numPr>
          <w:ilvl w:val="0"/>
          <w:numId w:val="2"/>
        </w:numPr>
        <w:spacing w:after="60" w:line="264"/>
      </w:pPr>
      <w:r>
        <w:rPr>
          <w:b w:val="false"/>
          <w:bCs w:val="false"/>
        </w:rPr>
        <w:t xml:space="preserve">The roommate's personal loads are assumed equal to the auditor's, and shared loads are allocated per user, which ignores differences in individual use.</w:t>
      </w:r>
    </w:p>
    <w:p>
      <w:pPr>
        <w:pStyle w:val="ListParagraph"/>
        <w:numPr>
          <w:ilvl w:val="0"/>
          <w:numId w:val="2"/>
        </w:numPr>
        <w:spacing w:after="60" w:line="264"/>
      </w:pPr>
      <w:r>
        <w:rPr>
          <w:b w:val="false"/>
          <w:bCs w:val="false"/>
        </w:rPr>
        <w:t xml:space="preserve">The label-based AC estimate uses the HK test-condition average, not this room's measured load; cold-water inlet temperature is taken as the monthly mean air temperature.</w:t>
      </w:r>
    </w:p>
    <w:p>
      <w:pPr>
        <w:pStyle w:val="ListParagraph"/>
        <w:numPr>
          <w:ilvl w:val="0"/>
          <w:numId w:val="2"/>
        </w:numPr>
        <w:spacing w:after="60" w:line="264"/>
      </w:pPr>
      <w:r>
        <w:rPr>
          <w:b w:val="false"/>
          <w:bCs w:val="false"/>
        </w:rPr>
        <w:t xml:space="preserve">EMO costs are indicative, and life-cycle results depend on the assumed 4% discount rate and 1%/yr degradation.</w:t>
      </w:r>
    </w:p>
    <w:p>
      <w:pPr>
        <w:pStyle w:val="ListParagraph"/>
        <w:numPr>
          <w:ilvl w:val="0"/>
          <w:numId w:val="2"/>
        </w:numPr>
        <w:spacing w:after="60" w:line="264"/>
      </w:pPr>
      <w:r>
        <w:rPr>
          <w:b w:val="false"/>
          <w:bCs w:val="false"/>
        </w:rPr>
        <w:t xml:space="preserve">The Guidelines (2010) are dated; current factors were substituted, using the Guidelines' methods. Daily-activity factors (DESNZ, Scarborough) are not Hong Kong-specific.</w:t>
      </w:r>
    </w:p>
    <w:p>
      <w:pPr>
        <w:pStyle w:val="ListParagraph"/>
        <w:numPr>
          <w:ilvl w:val="0"/>
          <w:numId w:val="2"/>
        </w:numPr>
        <w:spacing w:after="60" w:line="264"/>
      </w:pPr>
      <w:r>
        <w:rPr>
          <w:b w:val="false"/>
          <w:bCs w:val="false"/>
        </w:rPr>
        <w:t xml:space="preserve">District data were taken from official publications as reported in search extracts of those publications; the figures should be checked against the source tables before reuse.</w:t>
      </w:r>
    </w:p>
    <w:p>
      <w:pPr>
        <w:pStyle w:val="Heading1"/>
        <w:pageBreakBefore/>
      </w:pPr>
      <w:r>
        <w:rPr>
          <w:b w:val="false"/>
          <w:bCs w:val="false"/>
        </w:rPr>
        <w:t xml:space="preserve">13  Conclusions and lessons for the corporate carbon audit</w:t>
      </w:r>
    </w:p>
    <w:p>
      <w:pPr>
        <w:pStyle w:val="Heading2"/>
      </w:pPr>
      <w:r>
        <w:rPr>
          <w:b w:val="false"/>
          <w:bCs w:val="false"/>
        </w:rPr>
        <w:t xml:space="preserve">13.1  Conclusions</w:t>
      </w:r>
    </w:p>
    <w:p>
      <w:pPr>
        <w:pStyle w:val="ListParagraph"/>
        <w:numPr>
          <w:ilvl w:val="0"/>
          <w:numId w:val="2"/>
        </w:numPr>
        <w:spacing w:after="60" w:line="264"/>
      </w:pPr>
      <w:r>
        <w:rPr>
          <w:b w:val="false"/>
          <w:bCs w:val="false"/>
        </w:rPr>
        <w:t xml:space="preserve">The household uses about </w:t>
      </w:r>
      <w:r>
        <w:rPr>
          <w:b/>
          <w:bCs/>
        </w:rPr>
        <w:t xml:space="preserve">2,586 kWh/yr</w:t>
      </w:r>
      <w:r>
        <w:rPr>
          <w:b w:val="false"/>
          <w:bCs w:val="false"/>
        </w:rPr>
        <w:t xml:space="preserve"> of electricity: 1,293 kWh per person, and a room EUI of 292.7 MJ/m²/yr. This emits </w:t>
      </w:r>
      <w:r>
        <w:rPr>
          <w:b/>
          <w:bCs/>
        </w:rPr>
        <w:t xml:space="preserve">939 kg </w:t>
      </w:r>
      <w:r>
        <w:rPr>
          <w:b/>
          <w:bCs/>
        </w:rPr>
        <w:t xml:space="preserve">CO</w:t>
      </w:r>
      <w:r>
        <w:rPr>
          <w:b/>
          <w:bCs/>
          <w:vertAlign w:val="subscript"/>
        </w:rPr>
        <w:t xml:space="preserve">2</w:t>
      </w:r>
      <w:r>
        <w:rPr>
          <w:b/>
          <w:bCs/>
        </w:rPr>
        <w:t xml:space="preserve">e/yr</w:t>
      </w:r>
      <w:r>
        <w:rPr>
          <w:b w:val="false"/>
          <w:bCs w:val="false"/>
        </w:rPr>
        <w:t xml:space="preserve"> on CLP's 2025 factor, or 1,870 kg on the 0.7 default. Since move-in (January-September 2026) it has used about 1,956 kWh.</w:t>
      </w:r>
    </w:p>
    <w:p>
      <w:pPr>
        <w:pStyle w:val="ListParagraph"/>
        <w:numPr>
          <w:ilvl w:val="0"/>
          <w:numId w:val="2"/>
        </w:numPr>
        <w:spacing w:after="60" w:line="264"/>
      </w:pPr>
      <w:r>
        <w:rPr>
          <w:b w:val="false"/>
          <w:bCs w:val="false"/>
        </w:rPr>
        <w:t xml:space="preserve">Air-conditioning (34.4%) and shower hot water (24.5%) dominate. Their seasonality runs in opposite directions, which flattens the monthly profile.</w:t>
      </w:r>
    </w:p>
    <w:p>
      <w:pPr>
        <w:pStyle w:val="ListParagraph"/>
        <w:numPr>
          <w:ilvl w:val="0"/>
          <w:numId w:val="2"/>
        </w:numPr>
        <w:spacing w:after="60" w:line="264"/>
      </w:pPr>
      <w:r>
        <w:rPr>
          <w:b w:val="false"/>
          <w:bCs w:val="false"/>
        </w:rPr>
        <w:t xml:space="preserve">The equipment is already efficient (Grade-1 labels, LED lighting). The savings lie in operation: set-points, schedules, run-hours of shared plant, and shower and laundry habits.</w:t>
      </w:r>
    </w:p>
    <w:p>
      <w:pPr>
        <w:pStyle w:val="ListParagraph"/>
        <w:numPr>
          <w:ilvl w:val="0"/>
          <w:numId w:val="2"/>
        </w:numPr>
        <w:spacing w:after="60" w:line="264"/>
      </w:pPr>
      <w:r>
        <w:rPr>
          <w:b w:val="false"/>
          <w:bCs w:val="false"/>
        </w:rPr>
        <w:t xml:space="preserve">52.8% of the household's energy is used in shared facilities, so the hall management is an essential partner.</w:t>
      </w:r>
    </w:p>
    <w:p>
      <w:pPr>
        <w:pStyle w:val="ListParagraph"/>
        <w:numPr>
          <w:ilvl w:val="0"/>
          <w:numId w:val="2"/>
        </w:numPr>
        <w:spacing w:after="60" w:line="264"/>
      </w:pPr>
      <w:r>
        <w:rPr>
          <w:b w:val="false"/>
          <w:bCs w:val="false"/>
        </w:rPr>
        <w:t xml:space="preserve">No-cost Category I measures save about 25.5%. The five main Category II measures at hall level (EMO-11 to EMO-15) pay back in 0.6-3.2 years with positive NPV. Replacing the AC is not viable.</w:t>
      </w:r>
    </w:p>
    <w:p>
      <w:pPr>
        <w:pStyle w:val="ListParagraph"/>
        <w:numPr>
          <w:ilvl w:val="0"/>
          <w:numId w:val="2"/>
        </w:numPr>
        <w:spacing w:after="60" w:line="264"/>
      </w:pPr>
      <w:r>
        <w:rPr>
          <w:b w:val="false"/>
          <w:bCs w:val="false"/>
        </w:rPr>
        <w:t xml:space="preserve">Scaled to Sha Tin, per-capita and per-m² factors give 889 and 1,896 GWh/yr. A composite factor (a = 61.8 kWh/m², b = 829 kWh/person) gives 1,250 GWh/yr, close to the EMSD-based 1,222 GWh/yr.</w:t>
      </w:r>
    </w:p>
    <w:p>
      <w:pPr>
        <w:pStyle w:val="Heading2"/>
      </w:pPr>
      <w:r>
        <w:rPr>
          <w:b w:val="false"/>
          <w:bCs w:val="false"/>
        </w:rPr>
        <w:t xml:space="preserve">13.2  Lessons for the corporate carbon audit</w:t>
      </w:r>
    </w:p>
    <w:p>
      <w:pPr>
        <w:pStyle w:val="ListParagraph"/>
        <w:numPr>
          <w:ilvl w:val="0"/>
          <w:numId w:val="4"/>
        </w:numPr>
        <w:spacing w:after="60" w:line="264"/>
      </w:pPr>
      <w:r>
        <w:rPr>
          <w:b/>
          <w:bCs/>
        </w:rPr>
        <w:t xml:space="preserve">Set the boundary deliberately.</w:t>
      </w:r>
      <w:r>
        <w:rPr>
          <w:b w:val="false"/>
          <w:bCs w:val="false"/>
        </w:rPr>
        <w:t xml:space="preserve"> In a hostel, as in a multi-tenant office, the energy a user causes sits partly in landlord-controlled central services. Organisational and operational boundaries, and the allocation rules between them, must be decided and documented before any data is collected.</w:t>
      </w:r>
    </w:p>
    <w:p>
      <w:pPr>
        <w:pStyle w:val="ListParagraph"/>
        <w:numPr>
          <w:ilvl w:val="0"/>
          <w:numId w:val="4"/>
        </w:numPr>
        <w:spacing w:after="60" w:line="264"/>
      </w:pPr>
      <w:r>
        <w:rPr>
          <w:b/>
          <w:bCs/>
        </w:rPr>
        <w:t xml:space="preserve">Build a data hierarchy and fill gaps transparently.</w:t>
      </w:r>
      <w:r>
        <w:rPr>
          <w:b w:val="false"/>
          <w:bCs w:val="false"/>
        </w:rPr>
        <w:t xml:space="preserve"> Metered data, then nameplate ratings, then reported behaviour, then published values, then assumptions. Each value is tagged and stress-tested.</w:t>
      </w:r>
    </w:p>
    <w:p>
      <w:pPr>
        <w:pStyle w:val="ListParagraph"/>
        <w:numPr>
          <w:ilvl w:val="0"/>
          <w:numId w:val="4"/>
        </w:numPr>
        <w:spacing w:after="60" w:line="264"/>
      </w:pPr>
      <w:r>
        <w:rPr>
          <w:b/>
          <w:bCs/>
        </w:rPr>
        <w:t xml:space="preserve">Triangulate.</w:t>
      </w:r>
      <w:r>
        <w:rPr>
          <w:b w:val="false"/>
          <w:bCs w:val="false"/>
        </w:rPr>
        <w:t xml:space="preserve"> Two independent estimates (financial and engineering) that agree within about 10% give far more confidence than one.</w:t>
      </w:r>
    </w:p>
    <w:p>
      <w:pPr>
        <w:pStyle w:val="ListParagraph"/>
        <w:numPr>
          <w:ilvl w:val="0"/>
          <w:numId w:val="4"/>
        </w:numPr>
        <w:spacing w:after="60" w:line="264"/>
      </w:pPr>
      <w:r>
        <w:rPr>
          <w:b/>
          <w:bCs/>
        </w:rPr>
        <w:t xml:space="preserve">Report emission factors explicitly.</w:t>
      </w:r>
      <w:r>
        <w:rPr>
          <w:b w:val="false"/>
          <w:bCs w:val="false"/>
        </w:rPr>
        <w:t xml:space="preserve"> Hong Kong's Guidelines require both the territory default and the utility-specific factor; the choice alone changes the answer by a factor of two.</w:t>
      </w:r>
    </w:p>
    <w:p>
      <w:pPr>
        <w:pStyle w:val="ListParagraph"/>
        <w:numPr>
          <w:ilvl w:val="0"/>
          <w:numId w:val="4"/>
        </w:numPr>
        <w:spacing w:after="60" w:line="264"/>
      </w:pPr>
      <w:r>
        <w:rPr>
          <w:b/>
          <w:bCs/>
        </w:rPr>
        <w:t xml:space="preserve">Normalise with more than one driver.</w:t>
      </w:r>
      <w:r>
        <w:rPr>
          <w:b w:val="false"/>
          <w:bCs w:val="false"/>
        </w:rPr>
        <w:t xml:space="preserve"> Energy per m² or per person alone misleads when occupancy density differs; a two-driver factor transfers between sites far better, as corporate benchmarking also finds.</w:t>
      </w:r>
    </w:p>
    <w:p>
      <w:pPr>
        <w:pStyle w:val="ListParagraph"/>
        <w:numPr>
          <w:ilvl w:val="0"/>
          <w:numId w:val="4"/>
        </w:numPr>
        <w:spacing w:after="60" w:line="264"/>
      </w:pPr>
      <w:r>
        <w:rPr>
          <w:b/>
          <w:bCs/>
        </w:rPr>
        <w:t xml:space="preserve">Expect Scope 3 to dominate.</w:t>
      </w:r>
      <w:r>
        <w:rPr>
          <w:b w:val="false"/>
          <w:bCs w:val="false"/>
        </w:rPr>
        <w:t xml:space="preserve"> Travel and food far exceeded the home's energy, as purchased goods and business travel typically do in corporate footprints.</w:t>
      </w:r>
    </w:p>
    <w:p>
      <w:pPr>
        <w:pStyle w:val="ListParagraph"/>
        <w:numPr>
          <w:ilvl w:val="0"/>
          <w:numId w:val="4"/>
        </w:numPr>
        <w:spacing w:after="60" w:line="264"/>
      </w:pPr>
      <w:r>
        <w:rPr>
          <w:b/>
          <w:bCs/>
        </w:rPr>
        <w:t xml:space="preserve">Behaviour and governance beat hardware.</w:t>
      </w:r>
      <w:r>
        <w:rPr>
          <w:b w:val="false"/>
          <w:bCs w:val="false"/>
        </w:rPr>
        <w:t xml:space="preserve"> Split incentives (who pays versus who decides) shaped the EMO list as much as engineering did.</w:t>
      </w:r>
    </w:p>
    <w:p>
      <w:pPr>
        <w:pStyle w:val="ListParagraph"/>
        <w:numPr>
          <w:ilvl w:val="0"/>
          <w:numId w:val="4"/>
        </w:numPr>
        <w:spacing w:after="60" w:line="264"/>
      </w:pPr>
      <w:r>
        <w:rPr>
          <w:b/>
          <w:bCs/>
        </w:rPr>
        <w:t xml:space="preserve">Plan M&amp;V from day one.</w:t>
      </w:r>
      <w:r>
        <w:rPr>
          <w:b w:val="false"/>
          <w:bCs w:val="false"/>
        </w:rPr>
        <w:t xml:space="preserve"> Without metering points, savings cannot be verified (EAC §7.5-7.6).</w:t>
      </w:r>
    </w:p>
    <w:p>
      <w:pPr>
        <w:pStyle w:val="Heading1"/>
        <w:pageBreakBefore/>
      </w:pPr>
      <w:r>
        <w:rPr>
          <w:b w:val="false"/>
          <w:bCs w:val="false"/>
        </w:rPr>
        <w:t xml:space="preserve">References</w:t>
      </w:r>
    </w:p>
    <w:p>
      <w:pPr>
        <w:spacing w:after="80" w:line="252"/>
        <w:ind w:left="440" w:hanging="440"/>
      </w:pPr>
      <w:r>
        <w:rPr>
          <w:b w:val="false"/>
          <w:bCs w:val="false"/>
          <w:sz w:val="17"/>
          <w:szCs w:val="17"/>
        </w:rPr>
        <w:t xml:space="preserve">[1] EMSD (2018) Code of Practice for Building Energy Audit (EAC 2018), Buildings Energy Efficiency Ordinance (Cap. 610). Course file EAC_2018.pdf. </w:t>
      </w:r>
    </w:p>
    <w:p>
      <w:pPr>
        <w:spacing w:after="80" w:line="252"/>
        <w:ind w:left="440" w:hanging="440"/>
      </w:pPr>
      <w:r>
        <w:rPr>
          <w:b w:val="false"/>
          <w:bCs w:val="false"/>
          <w:sz w:val="17"/>
          <w:szCs w:val="17"/>
        </w:rPr>
        <w:t xml:space="preserve">[2] EPD &amp; EMSD (2010) Guidelines to Account for and Report on Greenhouse Gas Emissions and Removals for Buildings (Commercial, Residential or Institutional Purposes) in Hong Kong. Course file. </w:t>
      </w:r>
    </w:p>
    <w:p>
      <w:pPr>
        <w:spacing w:after="80" w:line="252"/>
        <w:ind w:left="440" w:hanging="440"/>
      </w:pPr>
      <w:r>
        <w:rPr>
          <w:b w:val="false"/>
          <w:bCs w:val="false"/>
          <w:sz w:val="17"/>
          <w:szCs w:val="17"/>
        </w:rPr>
        <w:t xml:space="preserve">[3] EMSD Technical Form EE-EAes (V.2) - Executive Summary of Energy Audit Report. Course file 2_EE-EAes2018 (V.0)_SEE6115-8115.xls. </w:t>
      </w:r>
    </w:p>
    <w:p>
      <w:pPr>
        <w:spacing w:after="80" w:line="252"/>
        <w:ind w:left="440" w:hanging="440"/>
      </w:pPr>
      <w:r>
        <w:rPr>
          <w:b w:val="false"/>
          <w:bCs w:val="false"/>
          <w:sz w:val="17"/>
          <w:szCs w:val="17"/>
        </w:rPr>
        <w:t xml:space="preserve">[4] Penn State / SMARTdwell Home Energy Audit Tool (course version). Course file 1_SEE6115-8115_Home Energy Audit Tool.xlsx. </w:t>
      </w:r>
    </w:p>
    <w:p>
      <w:pPr>
        <w:spacing w:after="80" w:line="252"/>
        <w:ind w:left="440" w:hanging="440"/>
      </w:pPr>
      <w:r>
        <w:rPr>
          <w:b w:val="false"/>
          <w:bCs w:val="false"/>
          <w:sz w:val="17"/>
          <w:szCs w:val="17"/>
        </w:rPr>
        <w:t xml:space="preserve">[5] CLP Holdings (2026) Sustainability Report 2025 - ESG Data Hub: </w:t>
      </w:r>
      <w:r>
        <w:rPr>
          <w:b w:val="false"/>
          <w:bCs w:val="false"/>
          <w:sz w:val="17"/>
          <w:szCs w:val="17"/>
        </w:rPr>
        <w:t xml:space="preserve">CO</w:t>
      </w:r>
      <w:r>
        <w:rPr>
          <w:b w:val="false"/>
          <w:bCs w:val="false"/>
          <w:sz w:val="17"/>
          <w:szCs w:val="17"/>
          <w:vertAlign w:val="subscript"/>
        </w:rPr>
        <w:t xml:space="preserve">2</w:t>
      </w:r>
      <w:r>
        <w:rPr>
          <w:b w:val="false"/>
          <w:bCs w:val="false"/>
          <w:sz w:val="17"/>
          <w:szCs w:val="17"/>
        </w:rPr>
        <w:t xml:space="preserve">e emissions intensity of electricity sold by CLP Power Hong Kong = 0.34 kg/kWh (2025); 0.38 (2024); 0.39 (2023). </w:t>
      </w:r>
      <w:hyperlink w:history="1" r:id="rIdwufl947_4gbfeivdrxxoe">
        <w:r>
          <w:rPr>
            <w:rStyle w:val="Hyperlink"/>
            <w:sz w:val="17"/>
            <w:szCs w:val="17"/>
          </w:rPr>
          <w:t xml:space="preserve">https://sustainability.clpgroup.com/en/2025/esg-data-hub</w:t>
        </w:r>
      </w:hyperlink>
    </w:p>
    <w:p>
      <w:pPr>
        <w:spacing w:after="80" w:line="252"/>
        <w:ind w:left="440" w:hanging="440"/>
      </w:pPr>
      <w:r>
        <w:rPr>
          <w:b w:val="false"/>
          <w:bCs w:val="false"/>
          <w:sz w:val="17"/>
          <w:szCs w:val="17"/>
        </w:rPr>
        <w:t xml:space="preserve">[6] CLP Power (2025) 2026 Tariff Adjustment - Average Net Tariff 140.6 cents/kWh (Basic Tariff 101.2 + Fuel Cost Adjustment 39.4). </w:t>
      </w:r>
      <w:hyperlink w:history="1" r:id="rIdmm0vrffjysgvuieoclsnb">
        <w:r>
          <w:rPr>
            <w:rStyle w:val="Hyperlink"/>
            <w:sz w:val="17"/>
            <w:szCs w:val="17"/>
          </w:rPr>
          <w:t xml:space="preserve">https://www.clp.com.hk/en/clp-power-tariff-adjustment-2026</w:t>
        </w:r>
      </w:hyperlink>
    </w:p>
    <w:p>
      <w:pPr>
        <w:spacing w:after="80" w:line="252"/>
        <w:ind w:left="440" w:hanging="440"/>
      </w:pPr>
      <w:r>
        <w:rPr>
          <w:b w:val="false"/>
          <w:bCs w:val="false"/>
          <w:sz w:val="17"/>
          <w:szCs w:val="17"/>
        </w:rPr>
        <w:t xml:space="preserve">[7] news.gov.hk (18 Nov 2025) 2026 electricity tariffs reduced - typical 3-person household consuming 275 kWh/month. </w:t>
      </w:r>
      <w:hyperlink w:history="1" r:id="rIdo-l-qb_0xy2euoomnradw">
        <w:r>
          <w:rPr>
            <w:rStyle w:val="Hyperlink"/>
            <w:sz w:val="17"/>
            <w:szCs w:val="17"/>
          </w:rPr>
          <w:t xml:space="preserve">https://www.news.gov.hk/eng/2025/11/20251118/20251118_171441_586.html</w:t>
        </w:r>
      </w:hyperlink>
    </w:p>
    <w:p>
      <w:pPr>
        <w:spacing w:after="80" w:line="252"/>
        <w:ind w:left="440" w:hanging="440"/>
      </w:pPr>
      <w:r>
        <w:rPr>
          <w:b w:val="false"/>
          <w:bCs w:val="false"/>
          <w:sz w:val="17"/>
          <w:szCs w:val="17"/>
        </w:rPr>
        <w:t xml:space="preserve">[8] Hong Kong Observatory - Climatological normals 1991-2020 (10-day and half-monthly mean air temperature, HKO Headquarters). </w:t>
      </w:r>
      <w:hyperlink w:history="1" r:id="rIdcpmjwwk1jce0qayafzdnm">
        <w:r>
          <w:rPr>
            <w:rStyle w:val="Hyperlink"/>
            <w:sz w:val="17"/>
            <w:szCs w:val="17"/>
          </w:rPr>
          <w:t xml:space="preserve">https://www.hko.gov.hk/en/cis/normal/1991_2020/15day_normal.htm</w:t>
        </w:r>
      </w:hyperlink>
    </w:p>
    <w:p>
      <w:pPr>
        <w:spacing w:after="80" w:line="252"/>
        <w:ind w:left="440" w:hanging="440"/>
      </w:pPr>
      <w:r>
        <w:rPr>
          <w:b w:val="false"/>
          <w:bCs w:val="false"/>
          <w:sz w:val="17"/>
          <w:szCs w:val="17"/>
        </w:rPr>
        <w:t xml:space="preserve">[9] EMSD Mandatory Energy Efficiency Labelling Scheme - Room air conditioners: annual energy consumption stated on the label is based on 1,200 hours/year of operation. </w:t>
      </w:r>
      <w:hyperlink w:history="1" r:id="rId-jwgkpp5owkjqlehldyta">
        <w:r>
          <w:rPr>
            <w:rStyle w:val="Hyperlink"/>
            <w:sz w:val="17"/>
            <w:szCs w:val="17"/>
          </w:rPr>
          <w:t xml:space="preserve">https://www.emsd.gov.hk/energylabel/en/households/rac/eels_ac_eot_popup.htm</w:t>
        </w:r>
      </w:hyperlink>
    </w:p>
    <w:p>
      <w:pPr>
        <w:spacing w:after="80" w:line="252"/>
        <w:ind w:left="440" w:hanging="440"/>
      </w:pPr>
      <w:r>
        <w:rPr>
          <w:b w:val="false"/>
          <w:bCs w:val="false"/>
          <w:sz w:val="17"/>
          <w:szCs w:val="17"/>
        </w:rPr>
        <w:t xml:space="preserve">[10] Environment and Ecology Bureau (17 Apr 2025) Hong Kong GHG emission inventory 2023 (AR5): about 4.58 t </w:t>
      </w:r>
      <w:r>
        <w:rPr>
          <w:b w:val="false"/>
          <w:bCs w:val="false"/>
          <w:sz w:val="17"/>
          <w:szCs w:val="17"/>
        </w:rPr>
        <w:t xml:space="preserve">CO</w:t>
      </w:r>
      <w:r>
        <w:rPr>
          <w:b w:val="false"/>
          <w:bCs w:val="false"/>
          <w:sz w:val="17"/>
          <w:szCs w:val="17"/>
          <w:vertAlign w:val="subscript"/>
        </w:rPr>
        <w:t xml:space="preserve">2</w:t>
      </w:r>
      <w:r>
        <w:rPr>
          <w:b w:val="false"/>
          <w:bCs w:val="false"/>
          <w:sz w:val="17"/>
          <w:szCs w:val="17"/>
        </w:rPr>
        <w:t xml:space="preserve">e per capita; electricity generation 61% of total. </w:t>
      </w:r>
      <w:hyperlink w:history="1" r:id="rIdi6wmhfwri7xx30knhmz7s">
        <w:r>
          <w:rPr>
            <w:rStyle w:val="Hyperlink"/>
            <w:sz w:val="17"/>
            <w:szCs w:val="17"/>
          </w:rPr>
          <w:t xml:space="preserve">https://www.news.gov.hk/eng/2025/04/20250417/20250417_120238_003.html</w:t>
        </w:r>
      </w:hyperlink>
    </w:p>
    <w:p>
      <w:pPr>
        <w:spacing w:after="80" w:line="252"/>
        <w:ind w:left="440" w:hanging="440"/>
      </w:pPr>
      <w:r>
        <w:rPr>
          <w:b w:val="false"/>
          <w:bCs w:val="false"/>
          <w:sz w:val="17"/>
          <w:szCs w:val="17"/>
        </w:rPr>
        <w:t xml:space="preserve">[11] Water Supplies Department Annual Report 2023/24 (as cited by HKGBC): unit electricity consumption 0.624 kWh/m3 fresh water, 0.362 kWh/m3 salt water. </w:t>
      </w:r>
      <w:hyperlink w:history="1" r:id="rId7eaiuz-lnrrpffawbqvzr">
        <w:r>
          <w:rPr>
            <w:rStyle w:val="Hyperlink"/>
            <w:sz w:val="17"/>
            <w:szCs w:val="17"/>
          </w:rPr>
          <w:t xml:space="preserve">https://hkgbc.org.hk/eng/resources/publications/HKGBC-Publication/Reports/green-building-in-action/references/2025.jsp</w:t>
        </w:r>
      </w:hyperlink>
    </w:p>
    <w:p>
      <w:pPr>
        <w:spacing w:after="80" w:line="252"/>
        <w:ind w:left="440" w:hanging="440"/>
      </w:pPr>
      <w:r>
        <w:rPr>
          <w:b w:val="false"/>
          <w:bCs w:val="false"/>
          <w:sz w:val="17"/>
          <w:szCs w:val="17"/>
        </w:rPr>
        <w:t xml:space="preserve">[12] Drainage Services Department Sustainability Report 2021/22 (as cited by HKU Water Centre): average unit electricity consumption of sewage treated 0.29 kWh/m3. </w:t>
      </w:r>
      <w:hyperlink w:history="1" r:id="rIdcrrxod6wdncsmbf0oblxf">
        <w:r>
          <w:rPr>
            <w:rStyle w:val="Hyperlink"/>
            <w:sz w:val="17"/>
            <w:szCs w:val="17"/>
          </w:rPr>
          <w:t xml:space="preserve">https://water.hku.hk/wp-content/uploads/2024/05/221200-ECF_Final-report_website-updates.pdf</w:t>
        </w:r>
      </w:hyperlink>
    </w:p>
    <w:p>
      <w:pPr>
        <w:spacing w:after="80" w:line="252"/>
        <w:ind w:left="440" w:hanging="440"/>
      </w:pPr>
      <w:r>
        <w:rPr>
          <w:b w:val="false"/>
          <w:bCs w:val="false"/>
          <w:sz w:val="17"/>
          <w:szCs w:val="17"/>
        </w:rPr>
        <w:t xml:space="preserve">[13] HKU Water Centre - Water conservation: per-capita domestic fresh water consumption 120.9 L/day (2023/24); ~85% of population uses seawater for flushing. </w:t>
      </w:r>
      <w:hyperlink w:history="1" r:id="rId7x2jbm17zk3eiewcocmop">
        <w:r>
          <w:rPr>
            <w:rStyle w:val="Hyperlink"/>
            <w:sz w:val="17"/>
            <w:szCs w:val="17"/>
          </w:rPr>
          <w:t xml:space="preserve">https://water.hku.hk/water-conservation/</w:t>
        </w:r>
      </w:hyperlink>
    </w:p>
    <w:p>
      <w:pPr>
        <w:spacing w:after="80" w:line="252"/>
        <w:ind w:left="440" w:hanging="440"/>
      </w:pPr>
      <w:r>
        <w:rPr>
          <w:b w:val="false"/>
          <w:bCs w:val="false"/>
          <w:sz w:val="17"/>
          <w:szCs w:val="17"/>
        </w:rPr>
        <w:t xml:space="preserve">[14] HKSAR Government (4 Jul 2012) LCQ5: raising indoor temperature by 1 degC can reduce AC electricity by around 3%; 25.5 degC guideline. </w:t>
      </w:r>
      <w:hyperlink w:history="1" r:id="rIdt1uabrnv2tgrd2yl3x8wl">
        <w:r>
          <w:rPr>
            <w:rStyle w:val="Hyperlink"/>
            <w:sz w:val="17"/>
            <w:szCs w:val="17"/>
          </w:rPr>
          <w:t xml:space="preserve">https://www.info.gov.hk/gia/general/201207/04/P201207040635.htm</w:t>
        </w:r>
      </w:hyperlink>
    </w:p>
    <w:p>
      <w:pPr>
        <w:spacing w:after="80" w:line="252"/>
        <w:ind w:left="440" w:hanging="440"/>
      </w:pPr>
      <w:r>
        <w:rPr>
          <w:b w:val="false"/>
          <w:bCs w:val="false"/>
          <w:sz w:val="17"/>
          <w:szCs w:val="17"/>
        </w:rPr>
        <w:t xml:space="preserve">[15] CityUHK (11 Dec 2024) Opening and Naming Ceremony for Lee Shau Kee Student Residence Village, Ma On Shan - 6 halls in 3 towers, ~2,100 residents, MiC with 1,300+ modules, opened Q3 2024, 110 rooftop PV panels. </w:t>
      </w:r>
      <w:hyperlink w:history="1" r:id="rIdiotazd4bbvytjtfxka_uj">
        <w:r>
          <w:rPr>
            <w:rStyle w:val="Hyperlink"/>
            <w:sz w:val="17"/>
            <w:szCs w:val="17"/>
          </w:rPr>
          <w:t xml:space="preserve">https://www.cityu.edu.hk/en/media/press-release/2024/12/11/cityuhk-holds-opening-and-naming-ceremony-lee-shau-kee-student-residence-village</w:t>
        </w:r>
      </w:hyperlink>
    </w:p>
    <w:p>
      <w:pPr>
        <w:spacing w:after="80" w:line="252"/>
        <w:ind w:left="440" w:hanging="440"/>
      </w:pPr>
      <w:r>
        <w:rPr>
          <w:b w:val="false"/>
          <w:bCs w:val="false"/>
          <w:sz w:val="17"/>
          <w:szCs w:val="17"/>
        </w:rPr>
        <w:t xml:space="preserve">[16] Stiebel Eltron DHB-E 27 SLi electronic instantaneous water heater: 27 kW at 400 V / 24.4 kW at 380 V, max 13.8 L/min (HK distributor listing). </w:t>
      </w:r>
      <w:hyperlink w:history="1" r:id="rId3jm6i-8fwfiinmayq3ijn">
        <w:r>
          <w:rPr>
            <w:rStyle w:val="Hyperlink"/>
            <w:sz w:val="17"/>
            <w:szCs w:val="17"/>
          </w:rPr>
          <w:t xml:space="preserve">https://hkele.com.hk/en/DHBE27SLI</w:t>
        </w:r>
      </w:hyperlink>
    </w:p>
    <w:p>
      <w:pPr>
        <w:spacing w:after="80" w:line="252"/>
        <w:ind w:left="440" w:hanging="440"/>
      </w:pPr>
      <w:r>
        <w:rPr>
          <w:b w:val="false"/>
          <w:bCs w:val="false"/>
          <w:sz w:val="17"/>
          <w:szCs w:val="17"/>
        </w:rPr>
        <w:t xml:space="preserve">[17] MTR Corporation CDP Climate Change 2022 response: Hong Kong rail intensity 0.0000723 t </w:t>
      </w:r>
      <w:r>
        <w:rPr>
          <w:b w:val="false"/>
          <w:bCs w:val="false"/>
          <w:sz w:val="17"/>
          <w:szCs w:val="17"/>
        </w:rPr>
        <w:t xml:space="preserve">CO</w:t>
      </w:r>
      <w:r>
        <w:rPr>
          <w:b w:val="false"/>
          <w:bCs w:val="false"/>
          <w:sz w:val="17"/>
          <w:szCs w:val="17"/>
          <w:vertAlign w:val="subscript"/>
        </w:rPr>
        <w:t xml:space="preserve">2</w:t>
      </w:r>
      <w:r>
        <w:rPr>
          <w:b w:val="false"/>
          <w:bCs w:val="false"/>
          <w:sz w:val="17"/>
          <w:szCs w:val="17"/>
        </w:rPr>
        <w:t xml:space="preserve">e per passenger-km (1,079,402 t / 14.93 bn p-km). </w:t>
      </w:r>
      <w:hyperlink w:history="1" r:id="rIdn9dejbq7e3ggznpckufzs">
        <w:r>
          <w:rPr>
            <w:rStyle w:val="Hyperlink"/>
            <w:sz w:val="17"/>
            <w:szCs w:val="17"/>
          </w:rPr>
          <w:t xml:space="preserve">https://www.mtr.com.hk/sustainability/assets/pdf/en/2022/MTR_CDP_Response.pdf</w:t>
        </w:r>
      </w:hyperlink>
    </w:p>
    <w:p>
      <w:pPr>
        <w:spacing w:after="80" w:line="252"/>
        <w:ind w:left="440" w:hanging="440"/>
      </w:pPr>
      <w:r>
        <w:rPr>
          <w:b w:val="false"/>
          <w:bCs w:val="false"/>
          <w:sz w:val="17"/>
          <w:szCs w:val="17"/>
        </w:rPr>
        <w:t xml:space="preserve">[18] UK DESNZ (2025) Greenhouse gas reporting: conversion factors 2025 - Business travel (air), economy class, with radiative forcing (long-haul 0.11704 kg </w:t>
      </w:r>
      <w:r>
        <w:rPr>
          <w:b w:val="false"/>
          <w:bCs w:val="false"/>
          <w:sz w:val="17"/>
          <w:szCs w:val="17"/>
        </w:rPr>
        <w:t xml:space="preserve">CO</w:t>
      </w:r>
      <w:r>
        <w:rPr>
          <w:b w:val="false"/>
          <w:bCs w:val="false"/>
          <w:sz w:val="17"/>
          <w:szCs w:val="17"/>
          <w:vertAlign w:val="subscript"/>
        </w:rPr>
        <w:t xml:space="preserve">2</w:t>
      </w:r>
      <w:r>
        <w:rPr>
          <w:b w:val="false"/>
          <w:bCs w:val="false"/>
          <w:sz w:val="17"/>
          <w:szCs w:val="17"/>
        </w:rPr>
        <w:t xml:space="preserve">e/p-km). </w:t>
      </w:r>
      <w:hyperlink w:history="1" r:id="rIdga9kpwt4zxfhtjx2xud1z">
        <w:r>
          <w:rPr>
            <w:rStyle w:val="Hyperlink"/>
            <w:sz w:val="17"/>
            <w:szCs w:val="17"/>
          </w:rPr>
          <w:t xml:space="preserve">https://www.gov.uk/government/publications/greenhouse-gas-reporting-conversion-factors-2025</w:t>
        </w:r>
      </w:hyperlink>
    </w:p>
    <w:p>
      <w:pPr>
        <w:spacing w:after="80" w:line="252"/>
        <w:ind w:left="440" w:hanging="440"/>
      </w:pPr>
      <w:r>
        <w:rPr>
          <w:b w:val="false"/>
          <w:bCs w:val="false"/>
          <w:sz w:val="17"/>
          <w:szCs w:val="17"/>
        </w:rPr>
        <w:t xml:space="preserve">[19] Scarborough P. et al. (2014) Dietary greenhouse gas emissions of meat-eaters, fish-eaters, vegetarians and vegans in the UK. Climatic Change 125:179-192 (medium meat-eaters 5.63 kg </w:t>
      </w:r>
      <w:r>
        <w:rPr>
          <w:b w:val="false"/>
          <w:bCs w:val="false"/>
          <w:sz w:val="17"/>
          <w:szCs w:val="17"/>
        </w:rPr>
        <w:t xml:space="preserve">CO</w:t>
      </w:r>
      <w:r>
        <w:rPr>
          <w:b w:val="false"/>
          <w:bCs w:val="false"/>
          <w:sz w:val="17"/>
          <w:szCs w:val="17"/>
          <w:vertAlign w:val="subscript"/>
        </w:rPr>
        <w:t xml:space="preserve">2</w:t>
      </w:r>
      <w:r>
        <w:rPr>
          <w:b w:val="false"/>
          <w:bCs w:val="false"/>
          <w:sz w:val="17"/>
          <w:szCs w:val="17"/>
        </w:rPr>
        <w:t xml:space="preserve">e/day). </w:t>
      </w:r>
      <w:hyperlink w:history="1" r:id="rIdao-_u8ir1_uv4qjko--he">
        <w:r>
          <w:rPr>
            <w:rStyle w:val="Hyperlink"/>
            <w:sz w:val="17"/>
            <w:szCs w:val="17"/>
          </w:rPr>
          <w:t xml:space="preserve">https://www.oxfordmartin.ox.ac.uk/publications/dietary-greenhouse-gas-emissions-of-meat-eaters-fish-eaters-vegetarians-and-vegans-in-the-uk</w:t>
        </w:r>
      </w:hyperlink>
    </w:p>
    <w:p>
      <w:pPr>
        <w:spacing w:after="80" w:line="252"/>
        <w:ind w:left="440" w:hanging="440"/>
      </w:pPr>
      <w:r>
        <w:rPr>
          <w:b w:val="false"/>
          <w:bCs w:val="false"/>
          <w:sz w:val="17"/>
          <w:szCs w:val="17"/>
        </w:rPr>
        <w:t xml:space="preserve">[20] US EPA ENERGY STAR Water Coolers Specification V2.0: storage-type hot &amp; cold units &lt;= 0.87 kWh/day standby. </w:t>
      </w:r>
      <w:hyperlink w:history="1" r:id="rIddc65flwcnqv2b9p8-ttq-">
        <w:r>
          <w:rPr>
            <w:rStyle w:val="Hyperlink"/>
            <w:sz w:val="17"/>
            <w:szCs w:val="17"/>
          </w:rPr>
          <w:t xml:space="preserve">https://www.energystar.gov/sites/default/files/ES%20WC%20V2%200%20Spec.pdf</w:t>
        </w:r>
      </w:hyperlink>
    </w:p>
    <w:p>
      <w:pPr>
        <w:spacing w:after="80" w:line="252"/>
        <w:ind w:left="440" w:hanging="440"/>
      </w:pPr>
      <w:r>
        <w:rPr>
          <w:b w:val="false"/>
          <w:bCs w:val="false"/>
          <w:sz w:val="17"/>
          <w:szCs w:val="17"/>
        </w:rPr>
        <w:t xml:space="preserve">[21] IPCC (2006) Guidelines Vol.3 Ch.7 - operating emission factor for residential &amp; commercial AC 1-10% of charge per year (summary: ASHRAE Journal, Oct 2022). </w:t>
      </w:r>
      <w:hyperlink w:history="1" r:id="rIdrw772bmllgp1olre7imn5">
        <w:r>
          <w:rPr>
            <w:rStyle w:val="Hyperlink"/>
            <w:sz w:val="17"/>
            <w:szCs w:val="17"/>
          </w:rPr>
          <w:t xml:space="preserve">https://www.ashrae.org/technical-resources/ashrae-journal/featured-articles/october-2022-analysis-of-refrigerant-use-for-ac-equipment-maintenance</w:t>
        </w:r>
      </w:hyperlink>
    </w:p>
    <w:p>
      <w:pPr>
        <w:spacing w:after="80" w:line="252"/>
        <w:ind w:left="440" w:hanging="440"/>
      </w:pPr>
      <w:r>
        <w:rPr>
          <w:b w:val="false"/>
          <w:bCs w:val="false"/>
          <w:sz w:val="17"/>
          <w:szCs w:val="17"/>
        </w:rPr>
        <w:t xml:space="preserve">[22] CLP Power (26 Apr 2022) Feed-in Tariff rates: HK$4/kWh (&lt;=10 kW), HK$3/kWh (&gt;10-200 kW), HK$2.5/kWh (&gt;200 kW-1 MW). </w:t>
      </w:r>
      <w:hyperlink w:history="1" r:id="rIdjvuavbkktwn6j7t26q8ze">
        <w:r>
          <w:rPr>
            <w:rStyle w:val="Hyperlink"/>
            <w:sz w:val="17"/>
            <w:szCs w:val="17"/>
          </w:rPr>
          <w:t xml:space="preserve">https://www.clpgroup.com/content/dam/clp-group/channels/media/document/2022/20220426_en.pdf.coredownload.pdf</w:t>
        </w:r>
      </w:hyperlink>
    </w:p>
    <w:p>
      <w:pPr>
        <w:spacing w:after="80" w:line="252"/>
        <w:ind w:left="440" w:hanging="440"/>
      </w:pPr>
      <w:r>
        <w:rPr>
          <w:b w:val="false"/>
          <w:bCs w:val="false"/>
          <w:sz w:val="17"/>
          <w:szCs w:val="17"/>
        </w:rPr>
        <w:t xml:space="preserve">[23] Development Bureau LCQ22: median per-capita floor area of domestic households 172 sq ft (~16 m2), 2021 Population Census. </w:t>
      </w:r>
      <w:hyperlink w:history="1" r:id="rIdgenzesgcxfpiqnoqbnydo">
        <w:r>
          <w:rPr>
            <w:rStyle w:val="Hyperlink"/>
            <w:sz w:val="17"/>
            <w:szCs w:val="17"/>
          </w:rPr>
          <w:t xml:space="preserve">https://www.devb.gov.hk/en/sdev/press/index_id_11447.html</w:t>
        </w:r>
      </w:hyperlink>
    </w:p>
    <w:p>
      <w:pPr>
        <w:spacing w:after="80" w:line="252"/>
        <w:ind w:left="440" w:hanging="440"/>
      </w:pPr>
      <w:r>
        <w:rPr>
          <w:b w:val="false"/>
          <w:bCs w:val="false"/>
          <w:sz w:val="17"/>
          <w:szCs w:val="17"/>
        </w:rPr>
        <w:t xml:space="preserve">[24] EMSD - BEC 2021 vs BEC 2024 comparison: maximum lighting power density, Dormitory 6.2 W/m2 (BEC 2021), 6.1 W/m2 (BEC 2024). </w:t>
      </w:r>
      <w:hyperlink w:history="1" r:id="rIdle0y4tfl8qgrwj0pxjtcx">
        <w:r>
          <w:rPr>
            <w:rStyle w:val="Hyperlink"/>
            <w:sz w:val="17"/>
            <w:szCs w:val="17"/>
          </w:rPr>
          <w:t xml:space="preserve">https://emsd.gov.hk/beeo/en/pee/BEC2021vsBEC2024.pdf</w:t>
        </w:r>
      </w:hyperlink>
    </w:p>
    <w:p>
      <w:pPr>
        <w:spacing w:after="80" w:line="252"/>
        <w:ind w:left="440" w:hanging="440"/>
      </w:pPr>
      <w:r>
        <w:rPr>
          <w:b w:val="false"/>
          <w:bCs w:val="false"/>
          <w:sz w:val="17"/>
          <w:szCs w:val="17"/>
        </w:rPr>
        <w:t xml:space="preserve">[25] Comparator hostel AC charges: HKU Jockey Club Student Village IV HK$2.31/kWh (2025/26); CUHK hostels HK$1.2/kWh. </w:t>
      </w:r>
      <w:hyperlink w:history="1" r:id="rIdsd9tnjegxo2mkqzrsecym">
        <w:r>
          <w:rPr>
            <w:rStyle w:val="Hyperlink"/>
            <w:sz w:val="17"/>
            <w:szCs w:val="17"/>
          </w:rPr>
          <w:t xml:space="preserve">https://wys.cuhk.edu.hk/college-life-support/information-for-residents/</w:t>
        </w:r>
      </w:hyperlink>
    </w:p>
    <w:p>
      <w:pPr>
        <w:spacing w:after="80" w:line="252"/>
        <w:ind w:left="440" w:hanging="440"/>
      </w:pPr>
      <w:r>
        <w:rPr>
          <w:b w:val="false"/>
          <w:bCs w:val="false"/>
          <w:sz w:val="17"/>
          <w:szCs w:val="17"/>
        </w:rPr>
        <w:t xml:space="preserve">[26] Siegel J. et al. (2002) Dirty air conditioners: energy implications of coil fouling, LBNL - typical efficiency/capacity degradation &lt; 5%. </w:t>
      </w:r>
      <w:hyperlink w:history="1" r:id="rIdzpfhrmablb4tzmpxhqjof">
        <w:r>
          <w:rPr>
            <w:rStyle w:val="Hyperlink"/>
            <w:sz w:val="17"/>
            <w:szCs w:val="17"/>
          </w:rPr>
          <w:t xml:space="preserve">https://www.osti.gov/biblio/805122</w:t>
        </w:r>
      </w:hyperlink>
    </w:p>
    <w:p>
      <w:pPr>
        <w:spacing w:after="80" w:line="252"/>
        <w:ind w:left="440" w:hanging="440"/>
      </w:pPr>
      <w:r>
        <w:rPr>
          <w:b w:val="false"/>
          <w:bCs w:val="false"/>
          <w:sz w:val="17"/>
          <w:szCs w:val="17"/>
        </w:rPr>
        <w:t xml:space="preserve">[27] Consumer Council (May 2026) test of 13 x 1.5 HP Grade-1 inverter split ACs: CSPF 5.06-7.51 (RTHK report). </w:t>
      </w:r>
      <w:hyperlink w:history="1" r:id="rIdlluju2uoilmxnki0_gedp">
        <w:r>
          <w:rPr>
            <w:rStyle w:val="Hyperlink"/>
            <w:sz w:val="17"/>
            <w:szCs w:val="17"/>
          </w:rPr>
          <w:t xml:space="preserve">https://news.rthk.hk/rthk/en/component/k2/1854660-20260514.htm</w:t>
        </w:r>
      </w:hyperlink>
    </w:p>
    <w:p>
      <w:pPr>
        <w:spacing w:after="80" w:line="252"/>
        <w:ind w:left="440" w:hanging="440"/>
      </w:pPr>
      <w:r>
        <w:rPr>
          <w:b w:val="false"/>
          <w:bCs w:val="false"/>
          <w:sz w:val="17"/>
          <w:szCs w:val="17"/>
        </w:rPr>
        <w:t xml:space="preserve">[28] Midea MW-12CRF8E 1.5 HP R32 inverter window AC - HK retailer specification (auditor screenshot + listing). </w:t>
      </w:r>
      <w:hyperlink w:history="1" r:id="rIdep6ivpxzmqxfy-guaengf">
        <w:r>
          <w:rPr>
            <w:rStyle w:val="Hyperlink"/>
            <w:sz w:val="17"/>
            <w:szCs w:val="17"/>
          </w:rPr>
          <w:t xml:space="preserve">https://www.feverelectrics.com/en/products/midea-mw12crf8e-1-5hp-r32-inverter-window-type-air-conditioner</w:t>
        </w:r>
      </w:hyperlink>
    </w:p>
    <w:p>
      <w:pPr>
        <w:spacing w:after="80" w:line="252"/>
        <w:ind w:left="440" w:hanging="440"/>
      </w:pPr>
      <w:r>
        <w:rPr>
          <w:b w:val="false"/>
          <w:bCs w:val="false"/>
          <w:sz w:val="17"/>
          <w:szCs w:val="17"/>
        </w:rPr>
        <w:t xml:space="preserve">[29] Auditor's completed questionnaire (audit-inputs/QUESTIONNAIRE.md) and 26 site photographs (photos/), Oct 2026. </w:t>
      </w:r>
    </w:p>
    <w:p>
      <w:pPr>
        <w:spacing w:after="80" w:line="252"/>
        <w:ind w:left="440" w:hanging="440"/>
      </w:pPr>
      <w:r>
        <w:rPr>
          <w:b w:val="false"/>
          <w:bCs w:val="false"/>
          <w:sz w:val="17"/>
          <w:szCs w:val="17"/>
        </w:rPr>
        <w:t xml:space="preserve">[30] HKSAR Government press release (26 Jun 2024) Energy Saving and Decarbonisation for All campaign: buildings account for about 90% of Hong Kong's electricity consumption. </w:t>
      </w:r>
      <w:hyperlink w:history="1" r:id="rIdz4qcje5c6oi8hcb5fjnkw">
        <w:r>
          <w:rPr>
            <w:rStyle w:val="Hyperlink"/>
            <w:sz w:val="17"/>
            <w:szCs w:val="17"/>
          </w:rPr>
          <w:t xml:space="preserve">https://www.info.gov.hk/gia/general/202406/26/P2024062600623.htm</w:t>
        </w:r>
      </w:hyperlink>
    </w:p>
    <w:p>
      <w:pPr>
        <w:spacing w:after="80" w:line="252"/>
        <w:ind w:left="440" w:hanging="440"/>
      </w:pPr>
      <w:r>
        <w:rPr>
          <w:b w:val="false"/>
          <w:bCs w:val="false"/>
          <w:sz w:val="17"/>
          <w:szCs w:val="17"/>
        </w:rPr>
        <w:t xml:space="preserve">[31] HKSAR Government (8 Oct 2021) Hong Kong's Climate Action Plan 2050: carbon neutrality before 2050; halve emissions by 2035 vs 2005; cut residential-building electricity use 20-30% (commercial 30-40%) from 2015 levels by 2050, half of that by 2035. </w:t>
      </w:r>
      <w:hyperlink w:history="1" r:id="rId_h7m5tmxubt8clhreyn7l">
        <w:r>
          <w:rPr>
            <w:rStyle w:val="Hyperlink"/>
            <w:sz w:val="17"/>
            <w:szCs w:val="17"/>
          </w:rPr>
          <w:t xml:space="preserve">https://www.info.gov.hk/gia/general/202110/08/P2021100800588.htm</w:t>
        </w:r>
      </w:hyperlink>
    </w:p>
    <w:p>
      <w:pPr>
        <w:spacing w:after="80" w:line="252"/>
        <w:ind w:left="440" w:hanging="440"/>
      </w:pPr>
      <w:r>
        <w:rPr>
          <w:b w:val="false"/>
          <w:bCs w:val="false"/>
          <w:sz w:val="17"/>
          <w:szCs w:val="17"/>
        </w:rPr>
        <w:t xml:space="preserve">[32] US Department of Energy, Energy Saver - Maintaining your air conditioner: replacing a dirty, clogged filter with a clean one can lower AC energy consumption by 5% to 15%. </w:t>
      </w:r>
      <w:hyperlink w:history="1" r:id="rIdezhwdf_vwncrdzowbqvv-">
        <w:r>
          <w:rPr>
            <w:rStyle w:val="Hyperlink"/>
            <w:sz w:val="17"/>
            <w:szCs w:val="17"/>
          </w:rPr>
          <w:t xml:space="preserve">https://www.energy.gov/energysaver/maintaining-your-air-conditioner</w:t>
        </w:r>
      </w:hyperlink>
    </w:p>
    <w:p>
      <w:pPr>
        <w:spacing w:after="80" w:line="252"/>
        <w:ind w:left="440" w:hanging="440"/>
      </w:pPr>
      <w:r>
        <w:rPr>
          <w:b w:val="false"/>
          <w:bCs w:val="false"/>
          <w:sz w:val="17"/>
          <w:szCs w:val="17"/>
        </w:rPr>
        <w:t xml:space="preserve">[33] Census and Statistics Department (26 Mar 2026) Population and Household Statistics Analysed by District Council District 2025 - Sha Tin: land-based non-institutional population 687,300; 248,200 domestic households; average household size 2.7 (2024 edition: 698,900; 251,200; 2.7). </w:t>
      </w:r>
      <w:hyperlink w:history="1" r:id="rIdulprw7fm_easpmgwdzv_m">
        <w:r>
          <w:rPr>
            <w:rStyle w:val="Hyperlink"/>
            <w:sz w:val="17"/>
            <w:szCs w:val="17"/>
          </w:rPr>
          <w:t xml:space="preserve">https://www.info.gov.hk/gia/general/202603/26/P2026032600228.htm</w:t>
        </w:r>
      </w:hyperlink>
    </w:p>
    <w:p>
      <w:pPr>
        <w:spacing w:after="80" w:line="252"/>
        <w:ind w:left="440" w:hanging="440"/>
      </w:pPr>
      <w:r>
        <w:rPr>
          <w:b w:val="false"/>
          <w:bCs w:val="false"/>
          <w:sz w:val="17"/>
          <w:szCs w:val="17"/>
        </w:rPr>
        <w:t xml:space="preserve">[34] Housing Bureau / Hong Kong Housing Authority (2025) Housing in Figures 2025 - average living space per person in public rental housing 14.1 m2 internal floor area (end-Mar 2025; 13.4 in 2020); average household size 2.6. </w:t>
      </w:r>
      <w:hyperlink w:history="1" r:id="rIdar7upobjhwhrnaoatt57o">
        <w:r>
          <w:rPr>
            <w:rStyle w:val="Hyperlink"/>
            <w:sz w:val="17"/>
            <w:szCs w:val="17"/>
          </w:rPr>
          <w:t xml:space="preserve">https://www.housingauthority.gov.hk/en/common/pdf/about-us/publications-and-statistics/HIF2025.pdf</w:t>
        </w:r>
      </w:hyperlink>
    </w:p>
    <w:p>
      <w:pPr>
        <w:spacing w:after="80" w:line="252"/>
        <w:ind w:left="440" w:hanging="440"/>
      </w:pPr>
      <w:r>
        <w:rPr>
          <w:b w:val="false"/>
          <w:bCs w:val="false"/>
          <w:sz w:val="17"/>
          <w:szCs w:val="17"/>
        </w:rPr>
        <w:t xml:space="preserve">[35] Hong Kong Housing Authority (2026) Report on Population and Households in HA Public Rental Housing (as at 30 Jun 2026) - Sha Tin District: about 77,100 households and 190,500 authorised population. </w:t>
      </w:r>
      <w:hyperlink w:history="1" r:id="rIdx5mbsb55wrs1zhksyl0r-">
        <w:r>
          <w:rPr>
            <w:rStyle w:val="Hyperlink"/>
            <w:sz w:val="17"/>
            <w:szCs w:val="17"/>
          </w:rPr>
          <w:t xml:space="preserve">https://www.housingauthority.gov.hk/en/common/pdf/about-us/publications-and-statistics/PopulationReport.pdf</w:t>
        </w:r>
      </w:hyperlink>
    </w:p>
    <w:p>
      <w:pPr>
        <w:spacing w:after="80" w:line="252"/>
        <w:ind w:left="440" w:hanging="440"/>
      </w:pPr>
      <w:r>
        <w:rPr>
          <w:b w:val="false"/>
          <w:bCs w:val="false"/>
          <w:sz w:val="17"/>
          <w:szCs w:val="17"/>
        </w:rPr>
        <w:t xml:space="preserve">[36] HKSAR Government (6 May 2020) LegCo reply annex - 2016 Population By-census median floor area of accommodation per household: public housing 35 m2, private housing 47 m2. </w:t>
      </w:r>
      <w:hyperlink w:history="1" r:id="rIdv5mn29oi4oablelk6inci">
        <w:r>
          <w:rPr>
            <w:rStyle w:val="Hyperlink"/>
            <w:sz w:val="17"/>
            <w:szCs w:val="17"/>
          </w:rPr>
          <w:t xml:space="preserve">https://gia.info.gov.hk/general/202005/06/P2020050600340_340704_1_1588740372450.pdf</w:t>
        </w:r>
      </w:hyperlink>
    </w:p>
    <w:p>
      <w:pPr>
        <w:spacing w:after="80" w:line="252"/>
        <w:ind w:left="440" w:hanging="440"/>
      </w:pPr>
      <w:r>
        <w:rPr>
          <w:b w:val="false"/>
          <w:bCs w:val="false"/>
          <w:sz w:val="17"/>
          <w:szCs w:val="17"/>
        </w:rPr>
        <w:t xml:space="preserve">[37] Census and Statistics Department, 2021 Population Census - Sha Tin occupied domestic units: public rental 79,502; subsidised sale 61,819; private permanent 104,280 (via census-data mirror; population 692,806). </w:t>
      </w:r>
      <w:hyperlink w:history="1" r:id="rIdutzofg2jbatri-haac7ok">
        <w:r>
          <w:rPr>
            <w:rStyle w:val="Hyperlink"/>
            <w:sz w:val="17"/>
            <w:szCs w:val="17"/>
          </w:rPr>
          <w:t xml:space="preserve">http://census.centamap.com/hong-kong/Sha%20Tin</w:t>
        </w:r>
      </w:hyperlink>
    </w:p>
    <w:p>
      <w:pPr>
        <w:spacing w:after="80" w:line="252"/>
        <w:ind w:left="440" w:hanging="440"/>
      </w:pPr>
      <w:r>
        <w:rPr>
          <w:b w:val="false"/>
          <w:bCs w:val="false"/>
          <w:sz w:val="17"/>
          <w:szCs w:val="17"/>
        </w:rPr>
        <w:t xml:space="preserve">[38] EMSD, Hong Kong Energy End-use Data 2023 - residential-sector electricity 2021: 47,464 TJ (13,184 GWh); Hong Kong 2021 Census population 7,413,070 and 2,674,161 domestic households. </w:t>
      </w:r>
      <w:hyperlink w:history="1" r:id="rIdqgn6rguw1bmfwohcspvsq">
        <w:r>
          <w:rPr>
            <w:rStyle w:val="Hyperlink"/>
            <w:sz w:val="17"/>
            <w:szCs w:val="17"/>
          </w:rPr>
          <w:t xml:space="preserve">https://www.emsd.gov.hk/filemanager/en/content_762/HKEEUD2023.pdf</w:t>
        </w:r>
      </w:hyperlink>
    </w:p>
    <w:p>
      <w:pPr>
        <w:spacing w:after="80" w:line="252"/>
        <w:ind w:left="440" w:hanging="440"/>
      </w:pPr>
      <w:r>
        <w:rPr>
          <w:b w:val="false"/>
          <w:bCs w:val="false"/>
          <w:sz w:val="17"/>
          <w:szCs w:val="17"/>
        </w:rPr>
        <w:t xml:space="preserve">[39] CLP Holdings (2026) Annual Report 2025 - CLP Power Hong Kong residential sales 9,966 GWh; 2,528,522 residential customer accounts. </w:t>
      </w:r>
      <w:hyperlink w:history="1" r:id="rIdobjawi8nqvixngdjoo7nu">
        <w:r>
          <w:rPr>
            <w:rStyle w:val="Hyperlink"/>
            <w:sz w:val="17"/>
            <w:szCs w:val="17"/>
          </w:rPr>
          <w:t xml:space="preserve">https://sustainability.clpgroup.com/en/2025/serving-our-stakeholders/customers</w:t>
        </w:r>
      </w:hyperlink>
    </w:p>
    <w:p>
      <w:pPr>
        <w:pStyle w:val="Heading1"/>
        <w:pageBreakBefore/>
      </w:pPr>
      <w:r>
        <w:rPr>
          <w:b w:val="false"/>
          <w:bCs w:val="false"/>
        </w:rPr>
        <w:t xml:space="preserve">Appendix A - Questionnaire responses (summary)</w:t>
      </w:r>
    </w:p>
    <w:p>
      <w:pPr>
        <w:spacing w:after="80" w:before="0" w:line="276"/>
        <w:jc w:val="both"/>
      </w:pPr>
      <w:r>
        <w:rPr>
          <w:b w:val="false"/>
          <w:bCs w:val="false"/>
        </w:rPr>
        <w:t xml:space="preserve">The full answers are in audit-inputs/QUESTIONNAIRE.md in the project repository.</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812"/>
      </w:tblGrid>
      <w:tr>
        <w:trPr>
          <w:tblHeader/>
        </w:trPr>
        <w:tc>
          <w:tcPr>
            <w:tcW w:type="dxa" w:w="26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Question</w:t>
            </w:r>
          </w:p>
        </w:tc>
        <w:tc>
          <w:tcPr>
            <w:tcW w:type="dxa" w:w="6812"/>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Response</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A1-A5 Admin</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Jayash Sahu; SEE8115; Hall 13, 10/F, Room 1003B; survey 01/01/2026 to present; roommate not named</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B6 Floor area</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About 15 m²</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B7 Window direction</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328° NW (phone compass)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B8 Window</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2 × 0.67 m² + 0.209 m²; single glazing; metal frame; curtains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B9 Direct sun</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Afternoon, about 40 minutes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B10 Building age</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Answered 6-12-2024; the residence opened in 2024 [15]</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B11-B12 Washroom / kitchen</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Washroom size unknown (4 users); kitchen shared by 32 residents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C13-C15 Occupancy</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Weekdays 22:00-11:00; weekends in hall (Sat 20 h, Sun 18 h); 1-month break in the last 10 months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D16 AC</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Window, Midea 1.5 HP R32 inverter MW-12CRF8E, 11,400 Btu/h, input 1,192 W</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D17-D18 AC charging</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Octopus card, rate unknown; about HK$120/month combined; hot months HK$140, cold months HK$50</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D19-D21 AC use</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25 °C, on all night; summer 12 h/day, winter 4 h/day; never with window open; filter cleaned 2 months ago</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D22 Fan</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One 20 W electric fan, 12 h/day</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E23-E26 Lighting</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2 LED ceiling lights (6 h/day); 2 LED desk lights (wattage unknown); washroom sensor lights (about 3 h)</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F27-F31 Electronics</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65 W laptop charger, 8 h/day; no monitor/PC/console; phone 1 h/day; no router/printer; nothing left on standby</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G32 Other appliances</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None</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H33-H35 Washroom</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Instantaneous tankless heater, 380 V (Stiebel Eltron DHB-E 27); 5-min showers; exhaust fan always on</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I36-I38 Kitchen</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2 Panasonic NR-BV361B fridges (263 kWh/yr); Toshiba MW2-MM24PC microwave (800 W output); 2 Philips HD4911/80 induction (2,100 W); Aquatek AQ-1323T dispenser (750 W/160 W); cooking 3×/week, 1 h; about 20 active users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J39 Laundry</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1 load/week, 4 kg, 45 min wash, 12 min drying</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K40-K41 Water and paper</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Filtered water 2 L/day; 50 pages printed + 50 sheets used per semester; paper recycled</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L42-L45 Daily activity</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MTR 18 km × 2 × 6/week; 3 trips/month of 22 km × 2; canteen 7 + self-cooked 7 meals/week, mixed diet; 4 flights: HK-Delhi, Delhi-HK, Delhi-Goa, Goa-HK</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15"/>
                <w:szCs w:val="15"/>
              </w:rPr>
              <w:t xml:space="preserve">M46-M48 Observations</w:t>
            </w:r>
          </w:p>
        </w:tc>
        <w:tc>
          <w:tcPr>
            <w:tcW w:type="dxa" w:w="6812"/>
            <w:tcMar>
              <w:top w:type="dxa" w:w="50"/>
              <w:left w:type="dxa" w:w="90"/>
              <w:bottom w:type="dxa" w:w="50"/>
              <w:right w:type="dxa" w:w="90"/>
            </w:tcMar>
            <w:vAlign w:val="center"/>
          </w:tcPr>
          <w:p>
            <w:pPr>
              <w:spacing w:after="0" w:line="240"/>
              <w:jc w:val="left"/>
            </w:pPr>
            <w:r>
              <w:rPr>
                <w:b w:val="false"/>
                <w:bCs w:val="false"/>
                <w:sz w:val="15"/>
                <w:szCs w:val="15"/>
              </w:rPr>
              <w:t xml:space="preserve">Kitchen AC on 8 h+ (Toshiba RAS-24J2KCV-HK, 688 kWh/1,200 h, 7.00 kW, R410A); no changes allowed in the room; budget HK$200</w:t>
            </w:r>
          </w:p>
        </w:tc>
      </w:tr>
    </w:tbl>
    <w:p>
      <w:pPr>
        <w:pStyle w:val="Heading1"/>
        <w:pageBreakBefore/>
      </w:pPr>
      <w:r>
        <w:rPr>
          <w:b w:val="false"/>
          <w:bCs w:val="false"/>
        </w:rPr>
        <w:t xml:space="preserve">Appendix B - Photo log</w:t>
      </w:r>
    </w:p>
    <w:p>
      <w:pPr>
        <w:spacing w:after="80" w:before="0" w:line="276"/>
        <w:jc w:val="both"/>
      </w:pPr>
      <w:r>
        <w:rPr>
          <w:b w:val="false"/>
          <w:bCs w:val="false"/>
        </w:rPr>
        <w:t xml:space="preserve">26 photographs were taken during the audit and are stored in the photos/ folder. Each was used to read a rating or label, or to evidence a finding.</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600"/>
        <w:gridCol w:w="2900"/>
        <w:gridCol w:w="3600"/>
        <w:gridCol w:w="2312"/>
      </w:tblGrid>
      <w:tr>
        <w:trPr>
          <w:tblHeader/>
        </w:trPr>
        <w:tc>
          <w:tcPr>
            <w:tcW w:type="dxa" w:w="6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Ref</w:t>
            </w:r>
          </w:p>
        </w:tc>
        <w:tc>
          <w:tcPr>
            <w:tcW w:type="dxa" w:w="29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File</w:t>
            </w:r>
          </w:p>
        </w:tc>
        <w:tc>
          <w:tcPr>
            <w:tcW w:type="dxa" w:w="36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What it shows</w:t>
            </w:r>
          </w:p>
        </w:tc>
        <w:tc>
          <w:tcPr>
            <w:tcW w:type="dxa" w:w="2312"/>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Data extracted</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01</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01_room_overview.jpg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Room 1003B: twin beds, desks, ceiling LED battens, window AC above NW window</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Room layout; equipment present</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02a</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02a_window_view.jpg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Window and outlook over Tolo Harbour / Ma On Shan</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Single glazing, dark aluminium frame, fly screen</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02b</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02b_window_fixed_pane_measured.jpg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Bottom fixed pane measured 1.10 m x 0.17-0.19 m</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Glazing area 0.209 m²</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02c</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02c_window_casement_measured.jpg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Casement measured 0.53 m x 1.26 m = 0.67 m²</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Two casements 1.34 m²</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02d</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02d_compass_328NW.jpg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Compass 328° NW, 22°26'0"N 114°14'32"E, Ma On Shan, 44 m</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Orientation and location</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02e</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02e_curtain_closed.jpg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Full-height grey curtain closed; AC at upper left</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Internal shading</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03a</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03a_ac_specification.jpg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Midea MW-12CRF8E specification / energy label data</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3.34 kW, 1,192 W, R32, Grade 1, 362 kWh, CSPF 4.66</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03b</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03b_ac_front_louvres.jpg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AC front: dark deposits on discharge louvres; Eco, Timer, Dry modes</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Maintenance finding; controls available</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05a</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05a_ceiling_led_battens.jpg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Two linear LED ceiling battens</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Lighting inventory</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05b</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05b_desk_led_and_fan.jpg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Under-shelf LED desk light and desk fan</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Task lighting</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06a</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06a_laptop_adapter_65W.jpg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HP 65 W adapter TPN-CA17, Efficiency Level VI</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Laptop power</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06b</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06b_desk_fan_label_20W.jpg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Fan label: ZW02-180, 180 mm, 20 W, 220 V</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Fan power</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08a</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08a_water_heater_DHB-E.jpg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Stiebel Eltron DHB-E electronic instantaneous heater, 30-60 °C dial</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Hot-water system type</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08b</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08b_washroom_downlights.jpg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Two LED downlights, exposed services, sensor</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Washroom lighting</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08c</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08c_washroom_light_and_fan.jpg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Downlight and window exhaust fan</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Washroom lighting / ventilation</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08d</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08d_washroom_exhaust_fan.jpg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J.E.E. window exhaust fan (runs 24 h)</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Ventilation finding</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08e</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08e_water_heater_spec.jpg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Heater specification: 380 V, max 60 °C</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Electrical supply</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09a</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09a_dispenser_spec.jpg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Aquatek AQ-1323T: 750 W heater, 160 W compressor, 10 L hot / 7.9 L cold / 3 L ice</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Dispenser ratings</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09b</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09b_water_dispenser.jpg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Dispenser in kitchen, hot water at 98 °C; SRO cleaning notice</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Standing losses</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09c</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09c_induction_cooker_spec.jpg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Philips HD4911: 2,100 W, EEL Grade 2</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Cooking power</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09d</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09d_induction_cooker_product.jpg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Philips 5000 Series HD4911/80 (retailer image)</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Model identification</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09e</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09e_induction_energy_label.jpg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Energy label Grade 2, thermal efficiency 88.1% (I220011/22)</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Cooking efficiency</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09f</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09f_kitchen_split_ac.jpg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Toshiba split AC in kitchen (also used as photo 12 - left on 8 h+)</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Kitchen AC</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09g</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09g_kitchen_ac_energy_label.jpg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Label: 688 kWh/yr @1,200 h, 7.00 kW, R410A, Grade 1</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Kitchen AC energy</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09h</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09h_microwave.jpg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Toshiba MW2-MM24PC 24 L, 800 W output</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Kitchen inventory</w:t>
            </w:r>
          </w:p>
        </w:tc>
      </w:tr>
      <w:tr>
        <w:trPr>
          <w:cantSplit/>
        </w:trPr>
        <w:tc>
          <w:tcPr>
            <w:tcW w:type="dxa" w:w="600"/>
            <w:tcMar>
              <w:top w:type="dxa" w:w="50"/>
              <w:left w:type="dxa" w:w="90"/>
              <w:bottom w:type="dxa" w:w="50"/>
              <w:right w:type="dxa" w:w="90"/>
            </w:tcMar>
            <w:vAlign w:val="center"/>
          </w:tcPr>
          <w:p>
            <w:pPr>
              <w:spacing w:after="0" w:line="240"/>
              <w:jc w:val="left"/>
            </w:pPr>
            <w:r>
              <w:rPr>
                <w:b w:val="false"/>
                <w:bCs w:val="false"/>
                <w:sz w:val="14"/>
                <w:szCs w:val="14"/>
              </w:rPr>
              <w:t xml:space="preserve">09i</w:t>
            </w:r>
          </w:p>
        </w:tc>
        <w:tc>
          <w:tcPr>
            <w:tcW w:type="dxa" w:w="2900"/>
            <w:tcMar>
              <w:top w:type="dxa" w:w="50"/>
              <w:left w:type="dxa" w:w="90"/>
              <w:bottom w:type="dxa" w:w="50"/>
              <w:right w:type="dxa" w:w="90"/>
            </w:tcMar>
            <w:vAlign w:val="center"/>
          </w:tcPr>
          <w:p>
            <w:pPr>
              <w:spacing w:after="0" w:line="240"/>
              <w:jc w:val="left"/>
            </w:pPr>
            <w:r>
              <w:rPr>
                <w:b w:val="false"/>
                <w:bCs w:val="false"/>
                <w:sz w:val="14"/>
                <w:szCs w:val="14"/>
              </w:rPr>
              <w:t xml:space="preserve">09i_fridge_energy_label.jpg</w:t>
            </w:r>
          </w:p>
        </w:tc>
        <w:tc>
          <w:tcPr>
            <w:tcW w:type="dxa" w:w="3600"/>
            <w:tcMar>
              <w:top w:type="dxa" w:w="50"/>
              <w:left w:type="dxa" w:w="90"/>
              <w:bottom w:type="dxa" w:w="50"/>
              <w:right w:type="dxa" w:w="90"/>
            </w:tcMar>
            <w:vAlign w:val="center"/>
          </w:tcPr>
          <w:p>
            <w:pPr>
              <w:spacing w:after="0" w:line="240"/>
              <w:jc w:val="left"/>
            </w:pPr>
            <w:r>
              <w:rPr>
                <w:b w:val="false"/>
                <w:bCs w:val="false"/>
                <w:sz w:val="14"/>
                <w:szCs w:val="14"/>
              </w:rPr>
              <w:t xml:space="preserve">Panasonic NR-BV361B: Grade 1, 263 kWh/yr, 233 + 99 L</w:t>
            </w:r>
          </w:p>
        </w:tc>
        <w:tc>
          <w:tcPr>
            <w:tcW w:type="dxa" w:w="2312"/>
            <w:tcMar>
              <w:top w:type="dxa" w:w="50"/>
              <w:left w:type="dxa" w:w="90"/>
              <w:bottom w:type="dxa" w:w="50"/>
              <w:right w:type="dxa" w:w="90"/>
            </w:tcMar>
            <w:vAlign w:val="center"/>
          </w:tcPr>
          <w:p>
            <w:pPr>
              <w:spacing w:after="0" w:line="240"/>
              <w:jc w:val="left"/>
            </w:pPr>
            <w:r>
              <w:rPr>
                <w:b w:val="false"/>
                <w:bCs w:val="false"/>
                <w:sz w:val="14"/>
                <w:szCs w:val="14"/>
              </w:rPr>
              <w:t xml:space="preserve">Refrigeration energy</w:t>
            </w:r>
          </w:p>
        </w:tc>
      </w:tr>
    </w:tbl>
    <w:p>
      <w:pPr>
        <w:spacing w:after="8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rPr>
          <w:cantSplit/>
        </w:trPr>
        <w:tc>
          <w:tcPr>
            <w:tcW w:type="dxa" w:w="9412"/>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353"/>
              <w:gridCol w:w="2353"/>
              <w:gridCol w:w="2353"/>
              <w:gridCol w:w="2353"/>
            </w:tblGrid>
            <w:tr>
              <w:trPr>
                <w:cantSplit/>
              </w:trPr>
              <w:tc>
                <w:tcPr>
                  <w:tcW w:type="dxa" w:w="2353"/>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6572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57225" cy="142875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02b: fixed pane 1.10 × 0.19 m</w:t>
                  </w:r>
                </w:p>
              </w:tc>
              <w:tc>
                <w:tcPr>
                  <w:tcW w:type="dxa" w:w="2353"/>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076325"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076325" cy="1438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02e: curtain closed</w:t>
                  </w:r>
                </w:p>
              </w:tc>
              <w:tc>
                <w:tcPr>
                  <w:tcW w:type="dxa" w:w="2353"/>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076325"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076325" cy="1438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05b: desk LED and fan</w:t>
                  </w:r>
                </w:p>
              </w:tc>
              <w:tc>
                <w:tcPr>
                  <w:tcW w:type="dxa" w:w="2353"/>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94297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942975" cy="142875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08e: heater spec, 380 V</w:t>
                  </w:r>
                </w:p>
              </w:tc>
            </w:tr>
          </w:tbl>
          <w:p>
            <w:pPr>
              <w:spacing w:after="0" w:line="12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353"/>
              <w:gridCol w:w="2353"/>
              <w:gridCol w:w="2353"/>
              <w:gridCol w:w="2353"/>
            </w:tblGrid>
            <w:tr>
              <w:trPr>
                <w:cantSplit/>
              </w:trPr>
              <w:tc>
                <w:tcPr>
                  <w:tcW w:type="dxa" w:w="2353"/>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04775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047750" cy="1438275"/>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09a: dispenser ratings</w:t>
                  </w:r>
                </w:p>
              </w:tc>
              <w:tc>
                <w:tcPr>
                  <w:tcW w:type="dxa" w:w="2353"/>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17157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171575" cy="142875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09c: hob 2,100 W, Grade 2</w:t>
                  </w:r>
                </w:p>
              </w:tc>
              <w:tc>
                <w:tcPr>
                  <w:tcW w:type="dxa" w:w="2353"/>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0001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000125" cy="142875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09d: Philips HD4911/80</w:t>
                  </w:r>
                </w:p>
              </w:tc>
              <w:tc>
                <w:tcPr>
                  <w:tcW w:type="dxa" w:w="2353"/>
                  <w:tcBorders>
                    <w:top w:val="none" w:color="FFFFFF" w:sz="0"/>
                    <w:left w:val="none" w:color="FFFFFF" w:sz="0"/>
                    <w:bottom w:val="none" w:color="FFFFFF" w:sz="0"/>
                    <w:right w:val="none" w:color="FFFFFF" w:sz="0"/>
                  </w:tcBorders>
                </w:tcPr>
                <w:p>
                  <w:pPr>
                    <w:keepNext/>
                    <w:keepLines/>
                    <w:spacing w:after="40"/>
                    <w:jc w:val="center"/>
                  </w:pPr>
                  <w:r>
                    <w:drawing>
                      <wp:inline distT="0" distB="0" distL="0" distR="0">
                        <wp:extent cx="13716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371600" cy="1028700"/>
                                </a:xfrm>
                                <a:prstGeom prst="rect">
                                  <a:avLst/>
                                </a:prstGeom>
                              </pic:spPr>
                            </pic:pic>
                          </a:graphicData>
                        </a:graphic>
                      </wp:inline>
                    </w:drawing>
                  </w:r>
                </w:p>
                <w:p>
                  <w:pPr>
                    <w:keepNext/>
                    <w:keepLines/>
                    <w:spacing w:after="80"/>
                    <w:jc w:val="center"/>
                  </w:pPr>
                  <w:r>
                    <w:rPr>
                      <w:b w:val="false"/>
                      <w:bCs w:val="false"/>
                      <w:i/>
                      <w:iCs/>
                      <w:color w:val="52514E"/>
                      <w:sz w:val="16"/>
                      <w:szCs w:val="16"/>
                    </w:rPr>
                    <w:t xml:space="preserve">09h: microwave 800 W output</w:t>
                  </w:r>
                </w:p>
              </w:tc>
            </w:tr>
          </w:tbl>
          <w:p>
            <w:pPr>
              <w:spacing w:after="200" w:before="60"/>
              <w:jc w:val="center"/>
            </w:pPr>
            <w:r>
              <w:rPr>
                <w:b w:val="false"/>
                <w:bCs w:val="false"/>
                <w:i/>
                <w:iCs/>
                <w:color w:val="52514E"/>
                <w:sz w:val="17"/>
                <w:szCs w:val="17"/>
              </w:rPr>
              <w:t xml:space="preserve">Figure B.1: Additional evidence photographs</w:t>
            </w:r>
          </w:p>
        </w:tc>
      </w:tr>
    </w:tbl>
    <w:p>
      <w:pPr>
        <w:pStyle w:val="Heading1"/>
        <w:pageBreakBefore/>
      </w:pPr>
      <w:r>
        <w:rPr>
          <w:b w:val="false"/>
          <w:bCs w:val="false"/>
        </w:rPr>
        <w:t xml:space="preserve">Appendix C - Input data register</w:t>
      </w:r>
    </w:p>
    <w:p>
      <w:pPr>
        <w:spacing w:after="80" w:before="0" w:line="276"/>
        <w:jc w:val="both"/>
      </w:pPr>
      <w:r>
        <w:rPr>
          <w:b w:val="false"/>
          <w:bCs w:val="false"/>
        </w:rPr>
        <w:t xml:space="preserve">All 124 inputs used in the calculations, with unit, data-quality class and source ([n] = reference number). Values marked "Assumed" are typical values and are highlighted in yellow in the workbook.</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4300"/>
        <w:gridCol w:w="1000"/>
        <w:gridCol w:w="1612"/>
        <w:gridCol w:w="1600"/>
        <w:gridCol w:w="900"/>
      </w:tblGrid>
      <w:tr>
        <w:trPr>
          <w:tblHeader/>
        </w:trPr>
        <w:tc>
          <w:tcPr>
            <w:tcW w:type="dxa" w:w="43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Parameter</w:t>
            </w:r>
          </w:p>
        </w:tc>
        <w:tc>
          <w:tcPr>
            <w:tcW w:type="dxa" w:w="1000"/>
            <w:shd w:fill="DCE6F0" w:color="auto" w:val="clear"/>
            <w:tcMar>
              <w:top w:type="dxa" w:w="50"/>
              <w:left w:type="dxa" w:w="90"/>
              <w:bottom w:type="dxa" w:w="50"/>
              <w:right w:type="dxa" w:w="90"/>
            </w:tcMar>
            <w:vAlign w:val="center"/>
          </w:tcPr>
          <w:p>
            <w:pPr>
              <w:spacing w:after="0" w:line="240"/>
              <w:jc w:val="right"/>
            </w:pPr>
            <w:r>
              <w:rPr>
                <w:b/>
                <w:bCs/>
                <w:color w:val="1F3864"/>
                <w:sz w:val="14"/>
                <w:szCs w:val="14"/>
              </w:rPr>
              <w:t xml:space="preserve">Value</w:t>
            </w:r>
          </w:p>
        </w:tc>
        <w:tc>
          <w:tcPr>
            <w:tcW w:type="dxa" w:w="1612"/>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Unit</w:t>
            </w:r>
          </w:p>
        </w:tc>
        <w:tc>
          <w:tcPr>
            <w:tcW w:type="dxa" w:w="1600"/>
            <w:shd w:fill="DCE6F0" w:color="auto" w:val="clear"/>
            <w:tcMar>
              <w:top w:type="dxa" w:w="50"/>
              <w:left w:type="dxa" w:w="90"/>
              <w:bottom w:type="dxa" w:w="50"/>
              <w:right w:type="dxa" w:w="90"/>
            </w:tcMar>
            <w:vAlign w:val="center"/>
          </w:tcPr>
          <w:p>
            <w:pPr>
              <w:spacing w:after="0" w:line="240"/>
              <w:jc w:val="left"/>
            </w:pPr>
            <w:r>
              <w:rPr>
                <w:b/>
                <w:bCs/>
                <w:color w:val="1F3864"/>
                <w:sz w:val="14"/>
                <w:szCs w:val="14"/>
              </w:rPr>
              <w:t xml:space="preserve">Quality</w:t>
            </w:r>
          </w:p>
        </w:tc>
        <w:tc>
          <w:tcPr>
            <w:tcW w:type="dxa" w:w="900"/>
            <w:shd w:fill="DCE6F0" w:color="auto" w:val="clear"/>
            <w:tcMar>
              <w:top w:type="dxa" w:w="50"/>
              <w:left w:type="dxa" w:w="90"/>
              <w:bottom w:type="dxa" w:w="50"/>
              <w:right w:type="dxa" w:w="90"/>
            </w:tcMar>
            <w:vAlign w:val="center"/>
          </w:tcPr>
          <w:p>
            <w:pPr>
              <w:spacing w:after="0" w:line="240"/>
              <w:jc w:val="center"/>
            </w:pPr>
            <w:r>
              <w:rPr>
                <w:b/>
                <w:bCs/>
                <w:color w:val="1F3864"/>
                <w:sz w:val="14"/>
                <w:szCs w:val="14"/>
              </w:rPr>
              <w:t xml:space="preserve">Src</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Occupants of Room 1003B (household)</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persons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Users of the shared washroom</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persons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Residents sharing the floor kitchen (allocation basis)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persons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Hours in room per weekday (22:00-11:00)</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Hours in room on Saturday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Hours in room on Sunday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Internal floor area of Room 1003B</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m2</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Days in hot season (May-Oct)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184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days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Derived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Days in cool season (Nov-Apr)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181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days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Derived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Energy conversion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MJ/kWh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Specific heat of water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4.186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kJ/kg.K</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Electricity price used to convert AC spend to kWh (proxy)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1.406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HK$/kWh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[6]</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Comparator hostel AC rate - low</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HK$/kWh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[25]</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Comparator hostel AC rate - high</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2.31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HK$/kWh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[25]</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CLP Power HK emission factor (2025, latest)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0.34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e/kWh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[5]</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CLP Power HK emission factor (2024)</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0.38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e/kWh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[5]</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Territory-wide default electricity factor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0.7</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e/kWh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WSD unit electricity - fresh water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0.624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kWh/m3</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[11]</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WSD unit electricity - salt (flushing) water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0.362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kWh/m3</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[11]</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DSD unit electricity - sewage treated</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0.29</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kWh/m3</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[12]</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Fraction of fresh water entering sewer (residential)</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Paper to landfill emission factor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e/kg</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GWP of HFC-32 (R32)</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650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GWP of R-410A</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1725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Annual refrigerant leak rate (screening)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0.04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fraction/yr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[21]</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Octopus AC spend - hot month (May-Oct), both occupants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140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HK$/month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Octopus AC spend - cool month (Nov-Apr), both occupants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50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HK$/month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Stated overall average AC spend</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120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HK$/month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Rated input power (cooling)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1.192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Rated cooling capacity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3.34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Cooling seasonal performance factor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4.6618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Label annual energy consumption (cooling)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362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Operating hours behind HK label figure</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1200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AC operating hours - typical hot-season day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AC operating hours - typical cool-season day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Usual set-point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degC</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Refrigerant charge (R32) - screening value</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AC energy saving per +1 degC set-point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0.03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fraction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[14]</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Ceiling LED linear battens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Power per ceiling batten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Ceiling lights 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Under-shelf LED desk lights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Power per desk light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Desk lights 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Laptop adapter rating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Average laptop draw as fraction of adapter rating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Laptop use</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Laptops in room (roommate assumed same as auditor)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Phone charger power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Phone charging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Phones charged (both occupants)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Desk fan rated power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Desk fan use</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Showers per person per day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Shower duration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min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Shower flow rate</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9</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L/min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Delivered shower temperature</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degC</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Instantaneous heater efficiency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0.99</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[16]</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Water heater rating at 380 V</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24.4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[16]</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Washroom exhaust fan power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Exhaust fan running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LED downlights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Power per downlight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Sensor lights 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Refrigerators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Label consumption per refrigerator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263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Water dispenser standby + dispensing energy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[20]</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Kitchen split AC label consumption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688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Nameplate / label</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Kitchen AC running - hot season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Kitchen AC running - cool season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Kitchen AC refrigerant charge (R410A) - screening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Kitchen light fittings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Power per kitchen fitting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Kitchen lights 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Cooking sessions per person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 week</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Induction hob on per session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Average hob power while cooking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Laundry loads per person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 week</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Washer energy per cycle (cold wash)</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kWh/cycle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Tumble-dryer heater + drum power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Drying time per load</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min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Water per wash</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L/cycle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Drinking water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L/person/day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Basin, cooking &amp; dish-washing water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L/person/day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Toilet flushing (seawater)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L/person/day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Paper used per semester (50 printed + 50 written)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100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sheets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Semesters per year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no.</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Mass of one A4 80 g/m2 sheet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g</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Derived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Share of used paper recycled</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fraction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MTR commute distance (18 km x 2 x 6 days)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216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km/week</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Weeks of commuting per year</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weeks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Other MTR trips (22 km x 2 x 3 per month)</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132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km/month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Months per year in Hong Kong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months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Reported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MTR rail emission intensity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0.0723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e/p-km</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[17]</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Great-circle distance uplift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1.08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Long-haul economy, with RF</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0.11704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e/p-km</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Short-haul economy, with RF</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0.1258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e/p-km</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Mixed (medium meat-eater) diet</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5.63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kg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Real discount rate for NPV and cost of saved energy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0.04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fraction/yr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Annual decline in savings of hardware EMOs (EAC 7.5.4(b))</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0.01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fraction/yr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Share of tumble-drying replaced by air-drying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fraction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Kitchen lights on with occupancy sensors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Sha Tin population (land-based non-institutional), 2025</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687300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persons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Sha Tin domestic households, 2025</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248200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households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Sha Tin average domestic household size, 2025</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2.7</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persons/household</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Average living space per person in public rental housing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14.1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m2/person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[34]</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Average household size in public rental housing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persons/household</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[34]</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Housing Authority public rental households in Sha Tin</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77100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households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[35]</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Sha Tin subsidised-sale flats (occupied), 2021 Census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61819</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units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[37]</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Sha Tin private permanent housing (occupied), 2021 Census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104280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units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[37]</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Median floor area per household - public housing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m2</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[36]</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Median floor area per household - private housing</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47</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m2</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[36]</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Hong Kong residential electricity, 2021</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13184</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GWh/yr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Hong Kong population, 2021 Census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7413070</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persons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Hong Kong domestic households, 2021 Census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2674161</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households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[38]</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CLP Power residential sales, 2025</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9966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GWh/yr</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CLP Power residential accounts, 2025</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2528522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accounts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[39]</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Share of district residents heating water and cooking with gas (illustrative)</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0.5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fraction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Assumed</w:t>
            </w:r>
          </w:p>
        </w:tc>
        <w:tc>
          <w:tcPr>
            <w:tcW w:type="dxa" w:w="900"/>
            <w:tcMar>
              <w:top w:type="dxa" w:w="50"/>
              <w:left w:type="dxa" w:w="90"/>
              <w:bottom w:type="dxa" w:w="50"/>
              <w:right w:type="dxa" w:w="90"/>
            </w:tcMar>
            <w:vAlign w:val="center"/>
          </w:tcPr>
          <w:p>
            <w:pPr>
              <w:spacing w:after="0" w:line="240"/>
              <w:jc w:val="center"/>
            </w:pP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Typical HK household electricity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275</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kWh/month</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[7]</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Persons in typical household</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3</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persons</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[7]</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Median per-capita floor area (2021 Census)</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16</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m2/person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HK domestic fresh water use</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120.9</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L/person/day</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[13]</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HK per-capita GHG emissions (2023)</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4.58</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t </w:t>
            </w:r>
            <w:r>
              <w:rPr>
                <w:b w:val="false"/>
                <w:bCs w:val="false"/>
                <w:sz w:val="14"/>
                <w:szCs w:val="14"/>
              </w:rPr>
              <w:t xml:space="preserve">CO</w:t>
            </w:r>
            <w:r>
              <w:rPr>
                <w:b w:val="false"/>
                <w:bCs w:val="false"/>
                <w:sz w:val="14"/>
                <w:szCs w:val="14"/>
                <w:vertAlign w:val="subscript"/>
              </w:rPr>
              <w:t xml:space="preserve">2</w:t>
            </w:r>
            <w:r>
              <w:rPr>
                <w:b w:val="false"/>
                <w:bCs w:val="false"/>
                <w:sz w:val="14"/>
                <w:szCs w:val="14"/>
              </w:rPr>
              <w:t xml:space="preserve">e/person</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[10]</w:t>
            </w:r>
          </w:p>
        </w:tc>
      </w:tr>
      <w:tr>
        <w:trPr>
          <w:cantSplit/>
        </w:trPr>
        <w:tc>
          <w:tcPr>
            <w:tcW w:type="dxa" w:w="4300"/>
            <w:tcMar>
              <w:top w:type="dxa" w:w="50"/>
              <w:left w:type="dxa" w:w="90"/>
              <w:bottom w:type="dxa" w:w="50"/>
              <w:right w:type="dxa" w:w="90"/>
            </w:tcMar>
            <w:vAlign w:val="center"/>
          </w:tcPr>
          <w:p>
            <w:pPr>
              <w:spacing w:after="0" w:line="240"/>
              <w:jc w:val="left"/>
            </w:pPr>
            <w:r>
              <w:rPr>
                <w:b w:val="false"/>
                <w:bCs w:val="false"/>
                <w:sz w:val="14"/>
                <w:szCs w:val="14"/>
              </w:rPr>
              <w:t xml:space="preserve">BEC 2021 max lighting power density - dormitory</w:t>
            </w:r>
          </w:p>
        </w:tc>
        <w:tc>
          <w:tcPr>
            <w:tcW w:type="dxa" w:w="1000"/>
            <w:tcMar>
              <w:top w:type="dxa" w:w="50"/>
              <w:left w:type="dxa" w:w="90"/>
              <w:bottom w:type="dxa" w:w="50"/>
              <w:right w:type="dxa" w:w="90"/>
            </w:tcMar>
            <w:vAlign w:val="center"/>
          </w:tcPr>
          <w:p>
            <w:pPr>
              <w:spacing w:after="0" w:line="240"/>
              <w:jc w:val="right"/>
            </w:pPr>
            <w:r>
              <w:rPr>
                <w:b w:val="false"/>
                <w:bCs w:val="false"/>
                <w:sz w:val="14"/>
                <w:szCs w:val="14"/>
              </w:rPr>
              <w:t xml:space="preserve">6.2</w:t>
            </w:r>
          </w:p>
        </w:tc>
        <w:tc>
          <w:tcPr>
            <w:tcW w:type="dxa" w:w="1612"/>
            <w:tcMar>
              <w:top w:type="dxa" w:w="50"/>
              <w:left w:type="dxa" w:w="90"/>
              <w:bottom w:type="dxa" w:w="50"/>
              <w:right w:type="dxa" w:w="90"/>
            </w:tcMar>
            <w:vAlign w:val="center"/>
          </w:tcPr>
          <w:p>
            <w:pPr>
              <w:spacing w:after="0" w:line="240"/>
              <w:jc w:val="left"/>
            </w:pPr>
            <w:r>
              <w:rPr>
                <w:b w:val="false"/>
                <w:bCs w:val="false"/>
                <w:sz w:val="14"/>
                <w:szCs w:val="14"/>
              </w:rPr>
              <w:t xml:space="preserve">W/m2</w:t>
            </w:r>
          </w:p>
        </w:tc>
        <w:tc>
          <w:tcPr>
            <w:tcW w:type="dxa" w:w="1600"/>
            <w:tcMar>
              <w:top w:type="dxa" w:w="50"/>
              <w:left w:type="dxa" w:w="90"/>
              <w:bottom w:type="dxa" w:w="50"/>
              <w:right w:type="dxa" w:w="90"/>
            </w:tcMar>
            <w:vAlign w:val="center"/>
          </w:tcPr>
          <w:p>
            <w:pPr>
              <w:spacing w:after="0" w:line="240"/>
              <w:jc w:val="left"/>
            </w:pPr>
            <w:r>
              <w:rPr>
                <w:b w:val="false"/>
                <w:bCs w:val="false"/>
                <w:sz w:val="14"/>
                <w:szCs w:val="14"/>
              </w:rPr>
              <w:t xml:space="preserve">Published</w:t>
            </w:r>
          </w:p>
        </w:tc>
        <w:tc>
          <w:tcPr>
            <w:tcW w:type="dxa" w:w="900"/>
            <w:tcMar>
              <w:top w:type="dxa" w:w="50"/>
              <w:left w:type="dxa" w:w="90"/>
              <w:bottom w:type="dxa" w:w="50"/>
              <w:right w:type="dxa" w:w="90"/>
            </w:tcMar>
            <w:vAlign w:val="center"/>
          </w:tcPr>
          <w:p>
            <w:pPr>
              <w:spacing w:after="0" w:line="240"/>
              <w:jc w:val="center"/>
            </w:pPr>
            <w:r>
              <w:rPr>
                <w:b w:val="false"/>
                <w:bCs w:val="false"/>
                <w:sz w:val="14"/>
                <w:szCs w:val="14"/>
              </w:rPr>
              <w:t xml:space="preserve">[24]</w:t>
            </w:r>
          </w:p>
        </w:tc>
      </w:tr>
    </w:tbl>
    <w:p>
      <w:pPr>
        <w:pStyle w:val="Heading1"/>
        <w:pageBreakBefore/>
      </w:pPr>
      <w:r>
        <w:rPr>
          <w:b w:val="false"/>
          <w:bCs w:val="false"/>
        </w:rPr>
        <w:t xml:space="preserve">Appendix D - EE-EAes (V.2) form entries</w:t>
      </w:r>
    </w:p>
    <w:p>
      <w:pPr>
        <w:keepNext/>
        <w:spacing w:after="40" w:before="0" w:line="276"/>
        <w:jc w:val="both"/>
      </w:pPr>
      <w:r>
        <w:rPr>
          <w:b w:val="false"/>
          <w:bCs w:val="false"/>
        </w:rPr>
        <w:t xml:space="preserve">The submitted file 2_EE-EAes2018 (V.0)_SEE6115-8115_COMPLETED.xls is the official EMSD form with the entries below. The form is a macro-enabled workbook: its sheets are hidden until it is opened in Excel with macros enabled, and its macros re-hide them when it is saved. The entries were therefore written directly into the form's cells and tick-boxes, so the macros, tick-box behaviour, protection and layout remain exactly as issued. The form's own summary cells were updated to match:</w:t>
      </w:r>
    </w:p>
    <w:p>
      <w:pPr>
        <w:pStyle w:val="ListParagraph"/>
        <w:numPr>
          <w:ilvl w:val="0"/>
          <w:numId w:val="2"/>
        </w:numPr>
        <w:spacing w:after="60" w:line="264"/>
      </w:pPr>
      <w:r>
        <w:rPr>
          <w:b w:val="false"/>
          <w:bCs w:val="false"/>
        </w:rPr>
        <w:t xml:space="preserve">total energy (Part 2 item 3) and EUI (item 4);</w:t>
      </w:r>
    </w:p>
    <w:p>
      <w:pPr>
        <w:pStyle w:val="ListParagraph"/>
        <w:numPr>
          <w:ilvl w:val="0"/>
          <w:numId w:val="2"/>
        </w:numPr>
        <w:spacing w:after="120" w:line="264"/>
      </w:pPr>
      <w:r>
        <w:rPr>
          <w:b w:val="false"/>
          <w:bCs w:val="false"/>
        </w:rPr>
        <w:t xml:space="preserve">the Part 3 category and type counts.</w:t>
      </w:r>
    </w:p>
    <w:p>
      <w:pPr>
        <w:spacing w:after="120" w:before="0" w:line="276"/>
        <w:jc w:val="both"/>
      </w:pPr>
      <w:r>
        <w:rPr>
          <w:b w:val="false"/>
          <w:bCs w:val="false"/>
        </w:rPr>
        <w:t xml:space="preserve">CBSI and lift &amp; escalator items are marked N/A or left blank, as explained in the Executive Summary.</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1300"/>
        <w:gridCol w:w="2900"/>
        <w:gridCol w:w="3912"/>
      </w:tblGrid>
      <w:tr>
        <w:trPr>
          <w:tblHeader/>
        </w:trPr>
        <w:tc>
          <w:tcPr>
            <w:tcW w:type="dxa" w:w="1300"/>
            <w:shd w:fill="DCE6F0" w:color="auto" w:val="clear"/>
            <w:tcMar>
              <w:top w:type="dxa" w:w="50"/>
              <w:left w:type="dxa" w:w="90"/>
              <w:bottom w:type="dxa" w:w="50"/>
              <w:right w:type="dxa" w:w="90"/>
            </w:tcMar>
            <w:vAlign w:val="center"/>
          </w:tcPr>
          <w:p>
            <w:pPr>
              <w:spacing w:after="0" w:line="240"/>
              <w:jc w:val="left"/>
            </w:pPr>
            <w:r>
              <w:rPr>
                <w:b/>
                <w:bCs/>
                <w:color w:val="1F3864"/>
                <w:sz w:val="13"/>
                <w:szCs w:val="13"/>
              </w:rPr>
              <w:t xml:space="preserve">Form sheet</w:t>
            </w:r>
          </w:p>
        </w:tc>
        <w:tc>
          <w:tcPr>
            <w:tcW w:type="dxa" w:w="1300"/>
            <w:shd w:fill="DCE6F0" w:color="auto" w:val="clear"/>
            <w:tcMar>
              <w:top w:type="dxa" w:w="50"/>
              <w:left w:type="dxa" w:w="90"/>
              <w:bottom w:type="dxa" w:w="50"/>
              <w:right w:type="dxa" w:w="90"/>
            </w:tcMar>
            <w:vAlign w:val="center"/>
          </w:tcPr>
          <w:p>
            <w:pPr>
              <w:spacing w:after="0" w:line="240"/>
              <w:jc w:val="left"/>
            </w:pPr>
            <w:r>
              <w:rPr>
                <w:b/>
                <w:bCs/>
                <w:color w:val="1F3864"/>
                <w:sz w:val="13"/>
                <w:szCs w:val="13"/>
              </w:rPr>
              <w:t xml:space="preserve">Cell / control</w:t>
            </w:r>
          </w:p>
        </w:tc>
        <w:tc>
          <w:tcPr>
            <w:tcW w:type="dxa" w:w="2900"/>
            <w:shd w:fill="DCE6F0" w:color="auto" w:val="clear"/>
            <w:tcMar>
              <w:top w:type="dxa" w:w="50"/>
              <w:left w:type="dxa" w:w="90"/>
              <w:bottom w:type="dxa" w:w="50"/>
              <w:right w:type="dxa" w:w="90"/>
            </w:tcMar>
            <w:vAlign w:val="center"/>
          </w:tcPr>
          <w:p>
            <w:pPr>
              <w:spacing w:after="0" w:line="240"/>
              <w:jc w:val="left"/>
            </w:pPr>
            <w:r>
              <w:rPr>
                <w:b/>
                <w:bCs/>
                <w:color w:val="1F3864"/>
                <w:sz w:val="13"/>
                <w:szCs w:val="13"/>
              </w:rPr>
              <w:t xml:space="preserve">Field</w:t>
            </w:r>
          </w:p>
        </w:tc>
        <w:tc>
          <w:tcPr>
            <w:tcW w:type="dxa" w:w="3912"/>
            <w:shd w:fill="DCE6F0" w:color="auto" w:val="clear"/>
            <w:tcMar>
              <w:top w:type="dxa" w:w="50"/>
              <w:left w:type="dxa" w:w="90"/>
              <w:bottom w:type="dxa" w:w="50"/>
              <w:right w:type="dxa" w:w="90"/>
            </w:tcMar>
            <w:vAlign w:val="center"/>
          </w:tcPr>
          <w:p>
            <w:pPr>
              <w:spacing w:after="0" w:line="240"/>
              <w:jc w:val="left"/>
            </w:pPr>
            <w:r>
              <w:rPr>
                <w:b/>
                <w:bCs/>
                <w:color w:val="1F3864"/>
                <w:sz w:val="13"/>
                <w:szCs w:val="13"/>
              </w:rPr>
              <w:t xml:space="preserve">Value entered</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C15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Name of building</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Room 1003B, 10/F, Hall 13, CityU Lee Shau Kee Student Residence Village (household energy audit)</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C16</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Address of building</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Lee Shau Kee Student Residence Village, Ma On Shan, Sha Tin District, New Territories, Hong Kong</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1) Date of commencement of energy audit</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01/01/2026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2) Date of completion of energy audit</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11/10/2026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G21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3) Energy Audit Form issued 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J21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3) Energy Audit Form expired 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4) Energy Audit Report reference no.</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SEE8115-HEA-2026-01</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124</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Import / export energy from/to other building?</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'No'</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E27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Building(s) importing / exporting energy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Building(s) importing / exporting energy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1(A)</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J27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Building(s) importing / exporting energy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1)(b) Portion of the building entity being common area (%)</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0</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H8</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1)(c) No. of blocks of the building entity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2) Total internal floor area (m2)</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15</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H10</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3) No. of floors of the building entity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35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4) Major type of building facade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'Non-curtain wall'</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H12</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Date of issue of occupation approval</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Q3 2024 (residence opened; occupation-approval date not published)</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12</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6) Type of central air-conditioning provided</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'Not applicable'</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H18</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Average weekly operating hours - row 18</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I18</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Daily average no. of occupants - row 18</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Average weekly operating hours - row 19</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I19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Daily average no. of occupants - row 19</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H20</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Average weekly operating hours - row 20</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I20</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Daily average no. of occupants - row 20</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Average weekly operating hours - row 21</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I21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Daily average no. of occupants - row 21</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H22</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Average weekly operating hours - row 22</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Average weekly operating hours - row 23</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I23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Daily average no. of occupants - row 23</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1(B)(I)</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D60</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8)(f) Others (please specify)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 - no CBSI-served area in the audited unit</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E2</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1) Annual electricity, past 1st 12-month (kWh/annum)</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1219.6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G2</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1) Past 2nd 12-month</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I2</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1) Past 3rd 12-month</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E5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2) Other energy, past 1st 12-month (MJ/annum)</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0</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G5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2) Past 2nd 12-month</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2) Past 3rd 12-month</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C14</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1 (Oct)</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32.23</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E14</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2 (Nov)</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16.6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G14</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3 (Dec)</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16.87</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I14</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4 (Jan)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16.87</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C16</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5 (Feb)</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16.06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E16</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6 (Mar)</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16.87</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G16</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7 (Apr)</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16.6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I16</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8 (May)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32.23</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C18</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9 (Jun)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31.96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E18</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10 (Jul)</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32.23</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G18</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11 (Aug)</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32.23</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I18</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5) Monthly EUI - month 12 (Sep)</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31.96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C20</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6) Breakdown - air-conditioning (MJ/annum)</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3234</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E20</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6) Breakdown - lighting (MJ/annum)</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420</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G20</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6) Breakdown - lift &amp; escalator (MJ/annum)</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I20</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6) Breakdown - others (MJ/annum)</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736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I22</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7) Energy supply from CBSI to building's units (%)</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N/A</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2</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I24</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8) Energy bill reference month</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30/09/2026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A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EMO-01</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P9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A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U9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A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AC</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A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Raise the AC set-point from 25 °C to 26 °C and keep the 20 W desk fan running for air movement. Saves 24 kWh/yr, HK$34/yr, 8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HK$0; payback immediate.</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A11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B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EMO-02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P11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B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U11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B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AC</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B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Use the AC's built-in timer to switch off 2 h before waking in hot months (12 to 10 h/day). Saves 100 kWh/yr, HK$140/yr, 34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HK$0; payback immediate.</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A13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C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EMO-04</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P13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C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U13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C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AC</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C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Cool-season 'fan first': no AC cooling in December-February (HKO mean 16.5-18.2 °C); use the desk fan and open window, Dry mode only on humid days. Saves 107 kWh/yr, HK$150/yr, 36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HK$0; payback immediate.</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A15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D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EMO-05</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P15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D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S15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D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LG</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D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Use the desk task lights instead of both ceiling battens for 3 of the 6 lit hours. Saves 44 kWh/yr, HK$62/yr, 15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HK$0; payback immediate.</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A17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E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EMO-06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P17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E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W17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E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Others</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E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Shorten showers from 5 to 4 minutes (phone timer or a 4-minute song). Saves 127 kWh/yr, HK$178/yr, 43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HK$0; payback immediate.</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A19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F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EMO-08</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P19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F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T19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F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EL</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H19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F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Laptop power management: lower brightness, sleep after 10 min idle, battery-saver mode. Saves 28 kWh/yr, HK$40/yr, 10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HK$0; payback immediate.</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A21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G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EMO-10</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P21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G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W21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G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Others</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G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Air-dry laundry on a rack by the open window instead of tumble-drying (keep the dryer for bulky items in humid spells). Saves 50 kWh/yr, HK$70/yr, 17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HK$0; payback immediate.</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A23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H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EMO-11</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Q23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H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U23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H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AC</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H23</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H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Washroom exhaust fan: replace 24 h running with an occupancy / humidistat run-on control (~8 h/day). Saves 175 kWh/yr (household share 88), HK$246/yr, 60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HK$800; payback 3.2 yr; NPV HK$1,117.</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A25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I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EMO-12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Q25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I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U25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I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AC</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H25</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I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Kitchen AC: 7-day timer + occupancy interlock, set-point locked at 25.5 °C (8 to 5 h/day hot, 4 to 2 h/day cool). Saves 524 kWh/yr (household share 33), HK$737/yr, 178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HK$1,000; payback 1.4 yr; NPV HK$4,733.</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A27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J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EMO-14</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Q27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J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W27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J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Others</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H27</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J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Fit a WELS Grade-1 low-flow showerhead (9 to 7 L/min) in the shared washroom. Saves 282 kWh/yr (household share 141), HK$397/yr, 96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HK$250; payback 0.6 yr; NPV HK$1,482.</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A29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K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EMO-18</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R29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K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III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W29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K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Others</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H29</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K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Replace 24.4 kW instantaneous shower heaters with central air-source heat-pump water heating (COP about 3.5) and storage. Saves 910 kWh/yr (household share 455), HK$1,280/yr, 310 kg </w:t>
            </w:r>
            <w:r>
              <w:rPr>
                <w:b w:val="false"/>
                <w:bCs w:val="false"/>
                <w:sz w:val="13"/>
                <w:szCs w:val="13"/>
              </w:rPr>
              <w:t xml:space="preserve">CO</w:t>
            </w:r>
            <w:r>
              <w:rPr>
                <w:b w:val="false"/>
                <w:bCs w:val="false"/>
                <w:sz w:val="13"/>
                <w:szCs w:val="13"/>
                <w:vertAlign w:val="subscript"/>
              </w:rPr>
              <w:t xml:space="preserve">2</w:t>
            </w:r>
            <w:r>
              <w:rPr>
                <w:b w:val="false"/>
                <w:bCs w:val="false"/>
                <w:sz w:val="13"/>
                <w:szCs w:val="13"/>
              </w:rPr>
              <w:t xml:space="preserve">e/yr; cost HK$20,000; payback 15.6 yr; NPV HK$-6,626.</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A31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L - reference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EMO-21</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R31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L - category</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Category III</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tick-box linked to W31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L - type</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Tick Others</w:t>
            </w:r>
          </w:p>
        </w:tc>
      </w:tr>
      <w:tr>
        <w:trPr>
          <w:cantSplit/>
        </w:trPr>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Part 3</w:t>
            </w:r>
          </w:p>
        </w:tc>
        <w:tc>
          <w:tcPr>
            <w:tcW w:type="dxa" w:w="1300"/>
            <w:tcMar>
              <w:top w:type="dxa" w:w="50"/>
              <w:left w:type="dxa" w:w="90"/>
              <w:bottom w:type="dxa" w:w="50"/>
              <w:right w:type="dxa" w:w="90"/>
            </w:tcMar>
            <w:vAlign w:val="center"/>
          </w:tcPr>
          <w:p>
            <w:pPr>
              <w:spacing w:after="0" w:line="240"/>
              <w:jc w:val="left"/>
            </w:pPr>
            <w:r>
              <w:rPr>
                <w:b w:val="false"/>
                <w:bCs w:val="false"/>
                <w:sz w:val="13"/>
                <w:szCs w:val="13"/>
              </w:rPr>
              <w:t xml:space="preserve">H31</w:t>
            </w:r>
          </w:p>
        </w:tc>
        <w:tc>
          <w:tcPr>
            <w:tcW w:type="dxa" w:w="2900"/>
            <w:tcMar>
              <w:top w:type="dxa" w:w="50"/>
              <w:left w:type="dxa" w:w="90"/>
              <w:bottom w:type="dxa" w:w="50"/>
              <w:right w:type="dxa" w:w="90"/>
            </w:tcMar>
            <w:vAlign w:val="center"/>
          </w:tcPr>
          <w:p>
            <w:pPr>
              <w:spacing w:after="0" w:line="240"/>
              <w:jc w:val="left"/>
            </w:pPr>
            <w:r>
              <w:rPr>
                <w:b w:val="false"/>
                <w:bCs w:val="false"/>
                <w:sz w:val="13"/>
                <w:szCs w:val="13"/>
              </w:rPr>
              <w:t xml:space="preserve">EMO slot L - description</w:t>
            </w:r>
          </w:p>
        </w:tc>
        <w:tc>
          <w:tcPr>
            <w:tcW w:type="dxa" w:w="3912"/>
            <w:tcMar>
              <w:top w:type="dxa" w:w="50"/>
              <w:left w:type="dxa" w:w="90"/>
              <w:bottom w:type="dxa" w:w="50"/>
              <w:right w:type="dxa" w:w="90"/>
            </w:tcMar>
            <w:vAlign w:val="center"/>
          </w:tcPr>
          <w:p>
            <w:pPr>
              <w:spacing w:after="0" w:line="240"/>
              <w:jc w:val="left"/>
            </w:pPr>
            <w:r>
              <w:rPr>
                <w:b w:val="false"/>
                <w:bCs w:val="false"/>
                <w:sz w:val="13"/>
                <w:szCs w:val="13"/>
              </w:rPr>
              <w:t xml:space="preserve">Expand rooftop solar PV under the CLP Feed-in Tariff (the village already has 110 panels). Viability statement only (EAC 7.4.4(d)); no saving claimed. Other EMOs (03, 07, 09, 13, 15, 16, 17, 19, 20) are in the report's EMO register (21 EMOs).</w:t>
            </w:r>
          </w:p>
        </w:tc>
      </w:tr>
    </w:tbl>
    <w:p>
      <w:pPr>
        <w:pStyle w:val="Heading1"/>
        <w:pageBreakBefore/>
      </w:pPr>
      <w:r>
        <w:rPr>
          <w:b w:val="false"/>
          <w:bCs w:val="false"/>
        </w:rPr>
        <w:t xml:space="preserve">Appendix E - Completed NELC Home Energy Audit Tool</w:t>
      </w:r>
    </w:p>
    <w:p>
      <w:pPr>
        <w:keepNext/>
        <w:spacing w:after="40" w:before="0" w:line="276"/>
        <w:jc w:val="both"/>
      </w:pPr>
      <w:r>
        <w:rPr>
          <w:b w:val="false"/>
          <w:bCs w:val="false"/>
        </w:rPr>
        <w:t xml:space="preserve">A copy of the course tool (1_SEE6115-8115_Home Energy Audit Tool_COMPLETED.xlsx) was completed. The values were written directly into the tool's input cells, tick-boxes and answer boxes, so its navigation buttons, logo, drop-down lists and formulas are unchanged and the original file is untouched. The tool uses US units, so the following conversions were applied:</w:t>
      </w:r>
    </w:p>
    <w:p>
      <w:pPr>
        <w:pStyle w:val="ListParagraph"/>
        <w:numPr>
          <w:ilvl w:val="0"/>
          <w:numId w:val="2"/>
        </w:numPr>
        <w:spacing w:after="60" w:line="264"/>
      </w:pPr>
      <w:r>
        <w:rPr>
          <w:b w:val="false"/>
          <w:bCs w:val="false"/>
        </w:rPr>
        <w:t xml:space="preserve">15 m² = 161 ft²;</w:t>
      </w:r>
    </w:p>
    <w:p>
      <w:pPr>
        <w:pStyle w:val="ListParagraph"/>
        <w:numPr>
          <w:ilvl w:val="0"/>
          <w:numId w:val="2"/>
        </w:numPr>
        <w:spacing w:after="60" w:line="264"/>
      </w:pPr>
      <w:r>
        <w:rPr>
          <w:b w:val="false"/>
          <w:bCs w:val="false"/>
        </w:rPr>
        <w:t xml:space="preserve">25 °C = 77 °F;</w:t>
      </w:r>
    </w:p>
    <w:p>
      <w:pPr>
        <w:pStyle w:val="ListParagraph"/>
        <w:numPr>
          <w:ilvl w:val="0"/>
          <w:numId w:val="2"/>
        </w:numPr>
        <w:spacing w:after="60" w:line="264"/>
      </w:pPr>
      <w:r>
        <w:rPr>
          <w:b w:val="false"/>
          <w:bCs w:val="false"/>
        </w:rPr>
        <w:t xml:space="preserve">24.4 kW = 83,256 Btu/h;</w:t>
      </w:r>
    </w:p>
    <w:p>
      <w:pPr>
        <w:pStyle w:val="ListParagraph"/>
        <w:numPr>
          <w:ilvl w:val="0"/>
          <w:numId w:val="2"/>
        </w:numPr>
        <w:spacing w:after="60" w:line="264"/>
      </w:pPr>
      <w:r>
        <w:rPr>
          <w:b w:val="false"/>
          <w:bCs w:val="false"/>
        </w:rPr>
        <w:t xml:space="preserve">window dimensions in inches.</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7012"/>
      </w:tblGrid>
      <w:tr>
        <w:trPr>
          <w:tblHeader/>
        </w:trPr>
        <w:tc>
          <w:tcPr>
            <w:tcW w:type="dxa" w:w="24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Sheet</w:t>
            </w:r>
          </w:p>
        </w:tc>
        <w:tc>
          <w:tcPr>
            <w:tcW w:type="dxa" w:w="7012"/>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What was filled</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Main Page</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Project details, occupant contact (no phone/e-mail), electricity price HK$1.406/kWh, home details (2024, 161 ft², 1 bedroom, shared bathroom, unit on 10/F)</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Survey (NELC homeowner survey)</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Home details (time lived there, residents by age, year built, renovations, favourite room, concerns), values and engagement scales, energy quiz, indoor-air, heating/cooling, moisture and fire-safety checks, habits, planned improvements, monitoring and renewables, and the 1-10 satisfaction ratings: 68 tick-boxes and 15 answer boxes</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NELC Questionnaire V1</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Indoor-air-quality questions (air quality, odours, asbestos, VOC and lead paint, humidifiers, symptoms, detectors, radon): 9 tick-boxes</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Questionnaire</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Occupants by age, thermostat (standard), cooling set-point 77 °F, appliance use, laundry (1 cold/cold load, 1 dryer load), weather-stripping, water heating, AC 8 h/day average × 12 months, notes</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Bedrooms</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Renamed 'Room 1003B'; 2 LED fixtures; single-pane aluminium windows with drapes and dimensions; laptops; 1 portable fan; absent equipment entered as 0; notes</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Bathrooms</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Renamed 'Shared washroom (4 users)'; LED downlights; absent equipment entered as 0; notes on heater and 24 h fan</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Kitchen</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LED lighting (6 × 15 W, 16 h/day); electric stove, no oven, water chiller/heater, 2 refrigerators (2023), microwave; absent small appliances entered as 0; notes</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Misc Areas</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Tankless electric water heater (indoors, 0.99, 83,256 Btu/h), room AC 11,400 Btu/h EER 9.6 (2024), no heating, laundry (electric), notes</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Home Exterior</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Orientation NW, 1 storey, rectangle, concrete construction, notes on MiC building</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Appliance Dataplate Info</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10 appliances with manufacturer, model, year and key ratings</w:t>
            </w:r>
          </w:p>
        </w:tc>
      </w:tr>
      <w:tr>
        <w:trPr>
          <w:cantSplit/>
        </w:trPr>
        <w:tc>
          <w:tcPr>
            <w:tcW w:type="dxa" w:w="2400"/>
            <w:tcMar>
              <w:top w:type="dxa" w:w="50"/>
              <w:left w:type="dxa" w:w="90"/>
              <w:bottom w:type="dxa" w:w="50"/>
              <w:right w:type="dxa" w:w="90"/>
            </w:tcMar>
            <w:vAlign w:val="center"/>
          </w:tcPr>
          <w:p>
            <w:pPr>
              <w:spacing w:after="0" w:line="240"/>
              <w:jc w:val="left"/>
            </w:pPr>
            <w:r>
              <w:rPr>
                <w:b w:val="false"/>
                <w:bCs w:val="false"/>
                <w:sz w:val="15"/>
                <w:szCs w:val="15"/>
              </w:rPr>
              <w:t xml:space="preserve">Other Appliances</w:t>
            </w:r>
          </w:p>
        </w:tc>
        <w:tc>
          <w:tcPr>
            <w:tcW w:type="dxa" w:w="7012"/>
            <w:tcMar>
              <w:top w:type="dxa" w:w="50"/>
              <w:left w:type="dxa" w:w="90"/>
              <w:bottom w:type="dxa" w:w="50"/>
              <w:right w:type="dxa" w:w="90"/>
            </w:tcMar>
            <w:vAlign w:val="center"/>
          </w:tcPr>
          <w:p>
            <w:pPr>
              <w:spacing w:after="0" w:line="240"/>
              <w:jc w:val="left"/>
            </w:pPr>
            <w:r>
              <w:rPr>
                <w:b w:val="false"/>
                <w:bCs w:val="false"/>
                <w:sz w:val="15"/>
                <w:szCs w:val="15"/>
              </w:rPr>
              <w:t xml:space="preserve">Laptops and phone chargers with use and wattage</w:t>
            </w:r>
          </w:p>
        </w:tc>
      </w:tr>
    </w:tbl>
    <w:p>
      <w:pPr>
        <w:spacing w:after="120" w:before="0" w:line="276"/>
        <w:jc w:val="both"/>
      </w:pPr>
      <w:r>
        <w:rPr>
          <w:b w:val="false"/>
          <w:bCs w:val="false"/>
          <w:i/>
          <w:iCs/>
          <w:sz w:val="16"/>
          <w:szCs w:val="16"/>
        </w:rPr>
        <w:t xml:space="preserve">Answers on attitudes and satisfaction in the Survey sheet reflect the auditor's questionnaire and behaviour and should be reviewed by the auditor before submission.</w:t>
      </w:r>
    </w:p>
    <w:p>
      <w:pPr>
        <w:pStyle w:val="Heading1"/>
        <w:pageBreakBefore/>
      </w:pPr>
      <w:r>
        <w:rPr>
          <w:b w:val="false"/>
          <w:bCs w:val="false"/>
        </w:rPr>
        <w:t xml:space="preserve">Appendix F - Deliverables and reproducibility</w:t>
      </w:r>
    </w:p>
    <w:tbl>
      <w:tblPr>
        <w:tblW w:type="dxa" w:w="9412"/>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812"/>
      </w:tblGrid>
      <w:tr>
        <w:trPr>
          <w:tblHeader/>
        </w:trPr>
        <w:tc>
          <w:tcPr>
            <w:tcW w:type="dxa" w:w="4600"/>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File</w:t>
            </w:r>
          </w:p>
        </w:tc>
        <w:tc>
          <w:tcPr>
            <w:tcW w:type="dxa" w:w="4812"/>
            <w:shd w:fill="DCE6F0" w:color="auto" w:val="clear"/>
            <w:tcMar>
              <w:top w:type="dxa" w:w="50"/>
              <w:left w:type="dxa" w:w="90"/>
              <w:bottom w:type="dxa" w:w="50"/>
              <w:right w:type="dxa" w:w="90"/>
            </w:tcMar>
            <w:vAlign w:val="center"/>
          </w:tcPr>
          <w:p>
            <w:pPr>
              <w:spacing w:after="0" w:line="240"/>
              <w:jc w:val="left"/>
            </w:pPr>
            <w:r>
              <w:rPr>
                <w:b/>
                <w:bCs/>
                <w:color w:val="1F3864"/>
                <w:sz w:val="15"/>
                <w:szCs w:val="15"/>
              </w:rPr>
              <w:t xml:space="preserve">Purpose</w:t>
            </w:r>
          </w:p>
        </w:tc>
      </w:tr>
      <w:tr>
        <w:trPr>
          <w:cantSplit/>
        </w:trPr>
        <w:tc>
          <w:tcPr>
            <w:tcW w:type="dxa" w:w="4600"/>
            <w:tcMar>
              <w:top w:type="dxa" w:w="50"/>
              <w:left w:type="dxa" w:w="90"/>
              <w:bottom w:type="dxa" w:w="50"/>
              <w:right w:type="dxa" w:w="90"/>
            </w:tcMar>
            <w:vAlign w:val="center"/>
          </w:tcPr>
          <w:p>
            <w:pPr>
              <w:spacing w:after="0" w:line="240"/>
              <w:jc w:val="left"/>
            </w:pPr>
            <w:r>
              <w:rPr>
                <w:b w:val="false"/>
                <w:bCs w:val="false"/>
                <w:sz w:val="15"/>
                <w:szCs w:val="15"/>
              </w:rPr>
              <w:t xml:space="preserve">deliverables/Home_Energy_Carbon_Audit_Report.docx (and .pdf)</w:t>
            </w:r>
          </w:p>
        </w:tc>
        <w:tc>
          <w:tcPr>
            <w:tcW w:type="dxa" w:w="4812"/>
            <w:tcMar>
              <w:top w:type="dxa" w:w="50"/>
              <w:left w:type="dxa" w:w="90"/>
              <w:bottom w:type="dxa" w:w="50"/>
              <w:right w:type="dxa" w:w="90"/>
            </w:tcMar>
            <w:vAlign w:val="center"/>
          </w:tcPr>
          <w:p>
            <w:pPr>
              <w:spacing w:after="0" w:line="240"/>
              <w:jc w:val="left"/>
            </w:pPr>
            <w:r>
              <w:rPr>
                <w:b w:val="false"/>
                <w:bCs w:val="false"/>
                <w:sz w:val="15"/>
                <w:szCs w:val="15"/>
              </w:rPr>
              <w:t xml:space="preserve">This report</w:t>
            </w:r>
          </w:p>
        </w:tc>
      </w:tr>
      <w:tr>
        <w:trPr>
          <w:cantSplit/>
        </w:trPr>
        <w:tc>
          <w:tcPr>
            <w:tcW w:type="dxa" w:w="4600"/>
            <w:tcMar>
              <w:top w:type="dxa" w:w="50"/>
              <w:left w:type="dxa" w:w="90"/>
              <w:bottom w:type="dxa" w:w="50"/>
              <w:right w:type="dxa" w:w="90"/>
            </w:tcMar>
            <w:vAlign w:val="center"/>
          </w:tcPr>
          <w:p>
            <w:pPr>
              <w:spacing w:after="0" w:line="240"/>
              <w:jc w:val="left"/>
            </w:pPr>
            <w:r>
              <w:rPr>
                <w:b w:val="false"/>
                <w:bCs w:val="false"/>
                <w:sz w:val="15"/>
                <w:szCs w:val="15"/>
              </w:rPr>
              <w:t xml:space="preserve">deliverables/1_SEE6115-8115_Home Energy Audit Tool_COMPLETED.xlsx</w:t>
            </w:r>
          </w:p>
        </w:tc>
        <w:tc>
          <w:tcPr>
            <w:tcW w:type="dxa" w:w="4812"/>
            <w:tcMar>
              <w:top w:type="dxa" w:w="50"/>
              <w:left w:type="dxa" w:w="90"/>
              <w:bottom w:type="dxa" w:w="50"/>
              <w:right w:type="dxa" w:w="90"/>
            </w:tcMar>
            <w:vAlign w:val="center"/>
          </w:tcPr>
          <w:p>
            <w:pPr>
              <w:spacing w:after="0" w:line="240"/>
              <w:jc w:val="left"/>
            </w:pPr>
            <w:r>
              <w:rPr>
                <w:b w:val="false"/>
                <w:bCs w:val="false"/>
                <w:sz w:val="15"/>
                <w:szCs w:val="15"/>
              </w:rPr>
              <w:t xml:space="preserve">Assignment part (1): completed NELC Home Energy Audit Tool</w:t>
            </w:r>
          </w:p>
        </w:tc>
      </w:tr>
      <w:tr>
        <w:trPr>
          <w:cantSplit/>
        </w:trPr>
        <w:tc>
          <w:tcPr>
            <w:tcW w:type="dxa" w:w="4600"/>
            <w:tcMar>
              <w:top w:type="dxa" w:w="50"/>
              <w:left w:type="dxa" w:w="90"/>
              <w:bottom w:type="dxa" w:w="50"/>
              <w:right w:type="dxa" w:w="90"/>
            </w:tcMar>
            <w:vAlign w:val="center"/>
          </w:tcPr>
          <w:p>
            <w:pPr>
              <w:spacing w:after="0" w:line="240"/>
              <w:jc w:val="left"/>
            </w:pPr>
            <w:r>
              <w:rPr>
                <w:b w:val="false"/>
                <w:bCs w:val="false"/>
                <w:sz w:val="15"/>
                <w:szCs w:val="15"/>
              </w:rPr>
              <w:t xml:space="preserve">deliverables/2_EE-EAes2018 (V.0)_SEE6115-8115_COMPLETED.xls</w:t>
            </w:r>
          </w:p>
        </w:tc>
        <w:tc>
          <w:tcPr>
            <w:tcW w:type="dxa" w:w="4812"/>
            <w:tcMar>
              <w:top w:type="dxa" w:w="50"/>
              <w:left w:type="dxa" w:w="90"/>
              <w:bottom w:type="dxa" w:w="50"/>
              <w:right w:type="dxa" w:w="90"/>
            </w:tcMar>
            <w:vAlign w:val="center"/>
          </w:tcPr>
          <w:p>
            <w:pPr>
              <w:spacing w:after="0" w:line="240"/>
              <w:jc w:val="left"/>
            </w:pPr>
            <w:r>
              <w:rPr>
                <w:b w:val="false"/>
                <w:bCs w:val="false"/>
                <w:sz w:val="15"/>
                <w:szCs w:val="15"/>
              </w:rPr>
              <w:t xml:space="preserve">Assignment part (2a): completed EMSD EE-EAes executive-summary form (open in Excel with macros enabled)</w:t>
            </w:r>
          </w:p>
        </w:tc>
      </w:tr>
      <w:tr>
        <w:trPr>
          <w:cantSplit/>
        </w:trPr>
        <w:tc>
          <w:tcPr>
            <w:tcW w:type="dxa" w:w="4600"/>
            <w:tcMar>
              <w:top w:type="dxa" w:w="50"/>
              <w:left w:type="dxa" w:w="90"/>
              <w:bottom w:type="dxa" w:w="50"/>
              <w:right w:type="dxa" w:w="90"/>
            </w:tcMar>
            <w:vAlign w:val="center"/>
          </w:tcPr>
          <w:p>
            <w:pPr>
              <w:spacing w:after="0" w:line="240"/>
              <w:jc w:val="left"/>
            </w:pPr>
            <w:r>
              <w:rPr>
                <w:b w:val="false"/>
                <w:bCs w:val="false"/>
                <w:sz w:val="15"/>
                <w:szCs w:val="15"/>
              </w:rPr>
              <w:t xml:space="preserve">deliverables/Home_Energy_Carbon_Audit_Workbook.xlsx</w:t>
            </w:r>
          </w:p>
        </w:tc>
        <w:tc>
          <w:tcPr>
            <w:tcW w:type="dxa" w:w="4812"/>
            <w:tcMar>
              <w:top w:type="dxa" w:w="50"/>
              <w:left w:type="dxa" w:w="90"/>
              <w:bottom w:type="dxa" w:w="50"/>
              <w:right w:type="dxa" w:w="90"/>
            </w:tcMar>
            <w:vAlign w:val="center"/>
          </w:tcPr>
          <w:p>
            <w:pPr>
              <w:spacing w:after="0" w:line="240"/>
              <w:jc w:val="left"/>
            </w:pPr>
            <w:r>
              <w:rPr>
                <w:b w:val="false"/>
                <w:bCs w:val="false"/>
                <w:sz w:val="15"/>
                <w:szCs w:val="15"/>
              </w:rPr>
              <w:t xml:space="preserve">Calculation workbook - 16 sheets, 1,452 live formulas, no formula errors</w:t>
            </w:r>
          </w:p>
        </w:tc>
      </w:tr>
      <w:tr>
        <w:trPr>
          <w:cantSplit/>
        </w:trPr>
        <w:tc>
          <w:tcPr>
            <w:tcW w:type="dxa" w:w="4600"/>
            <w:tcMar>
              <w:top w:type="dxa" w:w="50"/>
              <w:left w:type="dxa" w:w="90"/>
              <w:bottom w:type="dxa" w:w="50"/>
              <w:right w:type="dxa" w:w="90"/>
            </w:tcMar>
            <w:vAlign w:val="center"/>
          </w:tcPr>
          <w:p>
            <w:pPr>
              <w:spacing w:after="0" w:line="240"/>
              <w:jc w:val="left"/>
            </w:pPr>
            <w:r>
              <w:rPr>
                <w:b w:val="false"/>
                <w:bCs w:val="false"/>
                <w:sz w:val="15"/>
                <w:szCs w:val="15"/>
              </w:rPr>
              <w:t xml:space="preserve">deliverables/figures/</w:t>
            </w:r>
          </w:p>
        </w:tc>
        <w:tc>
          <w:tcPr>
            <w:tcW w:type="dxa" w:w="4812"/>
            <w:tcMar>
              <w:top w:type="dxa" w:w="50"/>
              <w:left w:type="dxa" w:w="90"/>
              <w:bottom w:type="dxa" w:w="50"/>
              <w:right w:type="dxa" w:w="90"/>
            </w:tcMar>
            <w:vAlign w:val="center"/>
          </w:tcPr>
          <w:p>
            <w:pPr>
              <w:spacing w:after="0" w:line="240"/>
              <w:jc w:val="left"/>
            </w:pPr>
            <w:r>
              <w:rPr>
                <w:b w:val="false"/>
                <w:bCs w:val="false"/>
                <w:sz w:val="15"/>
                <w:szCs w:val="15"/>
              </w:rPr>
              <w:t xml:space="preserve">The 15 charts used in this report</w:t>
            </w:r>
          </w:p>
        </w:tc>
      </w:tr>
      <w:tr>
        <w:trPr>
          <w:cantSplit/>
        </w:trPr>
        <w:tc>
          <w:tcPr>
            <w:tcW w:type="dxa" w:w="4600"/>
            <w:tcMar>
              <w:top w:type="dxa" w:w="50"/>
              <w:left w:type="dxa" w:w="90"/>
              <w:bottom w:type="dxa" w:w="50"/>
              <w:right w:type="dxa" w:w="90"/>
            </w:tcMar>
            <w:vAlign w:val="center"/>
          </w:tcPr>
          <w:p>
            <w:pPr>
              <w:spacing w:after="0" w:line="240"/>
              <w:jc w:val="left"/>
            </w:pPr>
            <w:r>
              <w:rPr>
                <w:b w:val="false"/>
                <w:bCs w:val="false"/>
                <w:sz w:val="15"/>
                <w:szCs w:val="15"/>
              </w:rPr>
              <w:t xml:space="preserve">photos/</w:t>
            </w:r>
          </w:p>
        </w:tc>
        <w:tc>
          <w:tcPr>
            <w:tcW w:type="dxa" w:w="4812"/>
            <w:tcMar>
              <w:top w:type="dxa" w:w="50"/>
              <w:left w:type="dxa" w:w="90"/>
              <w:bottom w:type="dxa" w:w="50"/>
              <w:right w:type="dxa" w:w="90"/>
            </w:tcMar>
            <w:vAlign w:val="center"/>
          </w:tcPr>
          <w:p>
            <w:pPr>
              <w:spacing w:after="0" w:line="240"/>
              <w:jc w:val="left"/>
            </w:pPr>
            <w:r>
              <w:rPr>
                <w:b w:val="false"/>
                <w:bCs w:val="false"/>
                <w:sz w:val="15"/>
                <w:szCs w:val="15"/>
              </w:rPr>
              <w:t xml:space="preserve">26 evidence photographs</w:t>
            </w:r>
          </w:p>
        </w:tc>
      </w:tr>
      <w:tr>
        <w:trPr>
          <w:cantSplit/>
        </w:trPr>
        <w:tc>
          <w:tcPr>
            <w:tcW w:type="dxa" w:w="4600"/>
            <w:tcMar>
              <w:top w:type="dxa" w:w="50"/>
              <w:left w:type="dxa" w:w="90"/>
              <w:bottom w:type="dxa" w:w="50"/>
              <w:right w:type="dxa" w:w="90"/>
            </w:tcMar>
            <w:vAlign w:val="center"/>
          </w:tcPr>
          <w:p>
            <w:pPr>
              <w:spacing w:after="0" w:line="240"/>
              <w:jc w:val="left"/>
            </w:pPr>
            <w:r>
              <w:rPr>
                <w:b w:val="false"/>
                <w:bCs w:val="false"/>
                <w:sz w:val="15"/>
                <w:szCs w:val="15"/>
              </w:rPr>
              <w:t xml:space="preserve">audit-inputs/QUESTIONNAIRE.md</w:t>
            </w:r>
          </w:p>
        </w:tc>
        <w:tc>
          <w:tcPr>
            <w:tcW w:type="dxa" w:w="4812"/>
            <w:tcMar>
              <w:top w:type="dxa" w:w="50"/>
              <w:left w:type="dxa" w:w="90"/>
              <w:bottom w:type="dxa" w:w="50"/>
              <w:right w:type="dxa" w:w="90"/>
            </w:tcMar>
            <w:vAlign w:val="center"/>
          </w:tcPr>
          <w:p>
            <w:pPr>
              <w:spacing w:after="0" w:line="240"/>
              <w:jc w:val="left"/>
            </w:pPr>
            <w:r>
              <w:rPr>
                <w:b w:val="false"/>
                <w:bCs w:val="false"/>
                <w:sz w:val="15"/>
                <w:szCs w:val="15"/>
              </w:rPr>
              <w:t xml:space="preserve">Completed questionnaire</w:t>
            </w:r>
          </w:p>
        </w:tc>
      </w:tr>
      <w:tr>
        <w:trPr>
          <w:cantSplit/>
        </w:trPr>
        <w:tc>
          <w:tcPr>
            <w:tcW w:type="dxa" w:w="4600"/>
            <w:tcMar>
              <w:top w:type="dxa" w:w="50"/>
              <w:left w:type="dxa" w:w="90"/>
              <w:bottom w:type="dxa" w:w="50"/>
              <w:right w:type="dxa" w:w="90"/>
            </w:tcMar>
            <w:vAlign w:val="center"/>
          </w:tcPr>
          <w:p>
            <w:pPr>
              <w:spacing w:after="0" w:line="240"/>
              <w:jc w:val="left"/>
            </w:pPr>
            <w:r>
              <w:rPr>
                <w:b w:val="false"/>
                <w:bCs w:val="false"/>
                <w:sz w:val="15"/>
                <w:szCs w:val="15"/>
              </w:rPr>
              <w:t xml:space="preserve">scripts/</w:t>
            </w:r>
          </w:p>
        </w:tc>
        <w:tc>
          <w:tcPr>
            <w:tcW w:type="dxa" w:w="4812"/>
            <w:tcMar>
              <w:top w:type="dxa" w:w="50"/>
              <w:left w:type="dxa" w:w="90"/>
              <w:bottom w:type="dxa" w:w="50"/>
              <w:right w:type="dxa" w:w="90"/>
            </w:tcMar>
            <w:vAlign w:val="center"/>
          </w:tcPr>
          <w:p>
            <w:pPr>
              <w:spacing w:after="0" w:line="240"/>
              <w:jc w:val="left"/>
            </w:pPr>
            <w:r>
              <w:rPr>
                <w:b w:val="false"/>
                <w:bCs w:val="false"/>
                <w:sz w:val="15"/>
                <w:szCs w:val="15"/>
              </w:rPr>
              <w:t xml:space="preserve">Python/Node scripts that rebuild the workbook, verify it against an independent model, fill both course forms and generate this report</w:t>
            </w:r>
          </w:p>
        </w:tc>
      </w:tr>
    </w:tbl>
    <w:p>
      <w:pPr>
        <w:spacing w:after="120" w:before="120" w:line="276"/>
        <w:jc w:val="both"/>
      </w:pPr>
      <w:r>
        <w:rPr>
          <w:b w:val="false"/>
          <w:bCs w:val="false"/>
          <w:sz w:val="17"/>
          <w:szCs w:val="17"/>
        </w:rPr>
        <w:t xml:space="preserve">Rebuild sequence: build_workbook.py, then recalculation, then verify_workbook.py, then fill_home_audit_tool.py and fill_eeaes_form.py, then make_report_assets.py, then build_report.js, then finalize_report.py (contents page numbers and PDF copy). Every number in this report is read from the recalculated workbook.</w:t>
      </w:r>
    </w:p>
    <w:sectPr>
      <w:headerReference w:type="default" r:id="rId7"/>
      <w:footerReference w:type="default" r:id="rId8"/>
      <w:pgSz w:w="11906" w:h="16838" w:orient="portrait"/>
      <w:pgMar w:top="1134" w:right="1247" w:bottom="1134" w:left="1247"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color w:val="52514E"/>
        <w:sz w:val="16"/>
        <w:szCs w:val="16"/>
      </w:rPr>
      <w:t xml:space="preserve">Home Energy Audit [2] - Room 1003B, Hall 13, CityU (Ma On Shan, Sha Tin)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B0B0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120"/>
      <w:outlineLvl w:val="0"/>
    </w:pPr>
    <w:rPr>
      <w:rFonts w:ascii="Arial" w:cs="Arial" w:eastAsia="Arial" w:hAnsi="Arial"/>
      <w:b/>
      <w:bCs/>
      <w:color w:val="1F3864"/>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1F4E5F"/>
      <w:sz w:val="24"/>
      <w:szCs w:val="24"/>
    </w:rPr>
  </w:style>
  <w:style w:type="paragraph" w:styleId="Heading3">
    <w:name w:val="Heading 3"/>
    <w:basedOn w:val="Normal"/>
    <w:next w:val="Normal"/>
    <w:qFormat/>
    <w:pPr>
      <w:keepNext/>
      <w:spacing w:after="80" w:before="180"/>
      <w:outlineLvl w:val="2"/>
    </w:pPr>
    <w:rPr>
      <w:rFonts w:ascii="Arial" w:cs="Arial" w:eastAsia="Arial" w:hAnsi="Arial"/>
      <w:b/>
      <w:bCs/>
      <w:color w:val="0B0B0B"/>
      <w:sz w:val="21"/>
      <w:szCs w:val="21"/>
    </w:rPr>
  </w:style>
  <w:style w:type="paragraph" w:styleId="TOC1">
    <w:name w:val="toc 1"/>
    <w:basedOn w:val="Normal"/>
    <w:next w:val="Normal"/>
    <w:pPr>
      <w:spacing w:after="20" w:before="100"/>
    </w:pPr>
    <w:rPr>
      <w:rFonts w:ascii="Arial" w:cs="Arial" w:eastAsia="Arial" w:hAnsi="Arial"/>
      <w:b/>
      <w:bCs/>
      <w:color w:val="1F3864"/>
      <w:sz w:val="20"/>
      <w:szCs w:val="20"/>
    </w:rPr>
  </w:style>
  <w:style w:type="paragraph" w:styleId="TOC2">
    <w:name w:val="toc 2"/>
    <w:basedOn w:val="Normal"/>
    <w:next w:val="Normal"/>
    <w:pPr>
      <w:spacing w:after="10"/>
      <w:ind w:left="360"/>
    </w:pPr>
    <w:rPr>
      <w:rFonts w:ascii="Arial" w:cs="Arial" w:eastAsia="Arial" w:hAnsi="Arial"/>
      <w:color w:val="0B0B0B"/>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ufl947_4gbfeivdrxxoe" Type="http://schemas.openxmlformats.org/officeDocument/2006/relationships/hyperlink" Target="https://sustainability.clpgroup.com/en/2025/esg-data-hub" TargetMode="External"/><Relationship Id="rIdmm0vrffjysgvuieoclsnb" Type="http://schemas.openxmlformats.org/officeDocument/2006/relationships/hyperlink" Target="https://www.clp.com.hk/en/clp-power-tariff-adjustment-2026" TargetMode="External"/><Relationship Id="rIdo-l-qb_0xy2euoomnradw" Type="http://schemas.openxmlformats.org/officeDocument/2006/relationships/hyperlink" Target="https://www.news.gov.hk/eng/2025/11/20251118/20251118_171441_586.html" TargetMode="External"/><Relationship Id="rIdcpmjwwk1jce0qayafzdnm" Type="http://schemas.openxmlformats.org/officeDocument/2006/relationships/hyperlink" Target="https://www.hko.gov.hk/en/cis/normal/1991_2020/15day_normal.htm" TargetMode="External"/><Relationship Id="rId-jwgkpp5owkjqlehldyta" Type="http://schemas.openxmlformats.org/officeDocument/2006/relationships/hyperlink" Target="https://www.emsd.gov.hk/energylabel/en/households/rac/eels_ac_eot_popup.htm" TargetMode="External"/><Relationship Id="rIdi6wmhfwri7xx30knhmz7s" Type="http://schemas.openxmlformats.org/officeDocument/2006/relationships/hyperlink" Target="https://www.news.gov.hk/eng/2025/04/20250417/20250417_120238_003.html" TargetMode="External"/><Relationship Id="rId7eaiuz-lnrrpffawbqvzr" Type="http://schemas.openxmlformats.org/officeDocument/2006/relationships/hyperlink" Target="https://hkgbc.org.hk/eng/resources/publications/HKGBC-Publication/Reports/green-building-in-action/references/2025.jsp" TargetMode="External"/><Relationship Id="rIdcrrxod6wdncsmbf0oblxf" Type="http://schemas.openxmlformats.org/officeDocument/2006/relationships/hyperlink" Target="https://water.hku.hk/wp-content/uploads/2024/05/221200-ECF_Final-report_website-updates.pdf" TargetMode="External"/><Relationship Id="rId7x2jbm17zk3eiewcocmop" Type="http://schemas.openxmlformats.org/officeDocument/2006/relationships/hyperlink" Target="https://water.hku.hk/water-conservation/" TargetMode="External"/><Relationship Id="rIdt1uabrnv2tgrd2yl3x8wl" Type="http://schemas.openxmlformats.org/officeDocument/2006/relationships/hyperlink" Target="https://www.info.gov.hk/gia/general/201207/04/P201207040635.htm" TargetMode="External"/><Relationship Id="rIdiotazd4bbvytjtfxka_uj" Type="http://schemas.openxmlformats.org/officeDocument/2006/relationships/hyperlink" Target="https://www.cityu.edu.hk/en/media/press-release/2024/12/11/cityuhk-holds-opening-and-naming-ceremony-lee-shau-kee-student-residence-village" TargetMode="External"/><Relationship Id="rId3jm6i-8fwfiinmayq3ijn" Type="http://schemas.openxmlformats.org/officeDocument/2006/relationships/hyperlink" Target="https://hkele.com.hk/en/DHBE27SLI" TargetMode="External"/><Relationship Id="rIdn9dejbq7e3ggznpckufzs" Type="http://schemas.openxmlformats.org/officeDocument/2006/relationships/hyperlink" Target="https://www.mtr.com.hk/sustainability/assets/pdf/en/2022/MTR_CDP_Response.pdf" TargetMode="External"/><Relationship Id="rIdga9kpwt4zxfhtjx2xud1z" Type="http://schemas.openxmlformats.org/officeDocument/2006/relationships/hyperlink" Target="https://www.gov.uk/government/publications/greenhouse-gas-reporting-conversion-factors-2025" TargetMode="External"/><Relationship Id="rIdao-_u8ir1_uv4qjko--he" Type="http://schemas.openxmlformats.org/officeDocument/2006/relationships/hyperlink" Target="https://www.oxfordmartin.ox.ac.uk/publications/dietary-greenhouse-gas-emissions-of-meat-eaters-fish-eaters-vegetarians-and-vegans-in-the-uk" TargetMode="External"/><Relationship Id="rIddc65flwcnqv2b9p8-ttq-" Type="http://schemas.openxmlformats.org/officeDocument/2006/relationships/hyperlink" Target="https://www.energystar.gov/sites/default/files/ES%20WC%20V2%200%20Spec.pdf" TargetMode="External"/><Relationship Id="rIdrw772bmllgp1olre7imn5" Type="http://schemas.openxmlformats.org/officeDocument/2006/relationships/hyperlink" Target="https://www.ashrae.org/technical-resources/ashrae-journal/featured-articles/october-2022-analysis-of-refrigerant-use-for-ac-equipment-maintenance" TargetMode="External"/><Relationship Id="rIdjvuavbkktwn6j7t26q8ze" Type="http://schemas.openxmlformats.org/officeDocument/2006/relationships/hyperlink" Target="https://www.clpgroup.com/content/dam/clp-group/channels/media/document/2022/20220426_en.pdf.coredownload.pdf" TargetMode="External"/><Relationship Id="rIdgenzesgcxfpiqnoqbnydo" Type="http://schemas.openxmlformats.org/officeDocument/2006/relationships/hyperlink" Target="https://www.devb.gov.hk/en/sdev/press/index_id_11447.html" TargetMode="External"/><Relationship Id="rIdle0y4tfl8qgrwj0pxjtcx" Type="http://schemas.openxmlformats.org/officeDocument/2006/relationships/hyperlink" Target="https://emsd.gov.hk/beeo/en/pee/BEC2021vsBEC2024.pdf" TargetMode="External"/><Relationship Id="rIdsd9tnjegxo2mkqzrsecym" Type="http://schemas.openxmlformats.org/officeDocument/2006/relationships/hyperlink" Target="https://wys.cuhk.edu.hk/college-life-support/information-for-residents/" TargetMode="External"/><Relationship Id="rIdzpfhrmablb4tzmpxhqjof" Type="http://schemas.openxmlformats.org/officeDocument/2006/relationships/hyperlink" Target="https://www.osti.gov/biblio/805122" TargetMode="External"/><Relationship Id="rIdlluju2uoilmxnki0_gedp" Type="http://schemas.openxmlformats.org/officeDocument/2006/relationships/hyperlink" Target="https://news.rthk.hk/rthk/en/component/k2/1854660-20260514.htm" TargetMode="External"/><Relationship Id="rIdep6ivpxzmqxfy-guaengf" Type="http://schemas.openxmlformats.org/officeDocument/2006/relationships/hyperlink" Target="https://www.feverelectrics.com/en/products/midea-mw12crf8e-1-5hp-r32-inverter-window-type-air-conditioner" TargetMode="External"/><Relationship Id="rIdz4qcje5c6oi8hcb5fjnkw" Type="http://schemas.openxmlformats.org/officeDocument/2006/relationships/hyperlink" Target="https://www.info.gov.hk/gia/general/202406/26/P2024062600623.htm" TargetMode="External"/><Relationship Id="rId_h7m5tmxubt8clhreyn7l" Type="http://schemas.openxmlformats.org/officeDocument/2006/relationships/hyperlink" Target="https://www.info.gov.hk/gia/general/202110/08/P2021100800588.htm" TargetMode="External"/><Relationship Id="rIdezhwdf_vwncrdzowbqvv-" Type="http://schemas.openxmlformats.org/officeDocument/2006/relationships/hyperlink" Target="https://www.energy.gov/energysaver/maintaining-your-air-conditioner" TargetMode="External"/><Relationship Id="rIdulprw7fm_easpmgwdzv_m" Type="http://schemas.openxmlformats.org/officeDocument/2006/relationships/hyperlink" Target="https://www.info.gov.hk/gia/general/202603/26/P2026032600228.htm" TargetMode="External"/><Relationship Id="rIdar7upobjhwhrnaoatt57o" Type="http://schemas.openxmlformats.org/officeDocument/2006/relationships/hyperlink" Target="https://www.housingauthority.gov.hk/en/common/pdf/about-us/publications-and-statistics/HIF2025.pdf" TargetMode="External"/><Relationship Id="rIdx5mbsb55wrs1zhksyl0r-" Type="http://schemas.openxmlformats.org/officeDocument/2006/relationships/hyperlink" Target="https://www.housingauthority.gov.hk/en/common/pdf/about-us/publications-and-statistics/PopulationReport.pdf" TargetMode="External"/><Relationship Id="rIdv5mn29oi4oablelk6inci" Type="http://schemas.openxmlformats.org/officeDocument/2006/relationships/hyperlink" Target="https://gia.info.gov.hk/general/202005/06/P2020050600340_340704_1_1588740372450.pdf" TargetMode="External"/><Relationship Id="rIdutzofg2jbatri-haac7ok" Type="http://schemas.openxmlformats.org/officeDocument/2006/relationships/hyperlink" Target="http://census.centamap.com/hong-kong/Sha%20Tin" TargetMode="External"/><Relationship Id="rIdqgn6rguw1bmfwohcspvsq" Type="http://schemas.openxmlformats.org/officeDocument/2006/relationships/hyperlink" Target="https://www.emsd.gov.hk/filemanager/en/content_762/HKEEUD2023.pdf" TargetMode="External"/><Relationship Id="rIdobjawi8nqvixngdjoo7nu" Type="http://schemas.openxmlformats.org/officeDocument/2006/relationships/hyperlink" Target="https://sustainability.clpgroup.com/en/2025/serving-our-stakeholders/customers" TargetMode="External"/><Relationship Id="rId9" Type="http://schemas.openxmlformats.org/officeDocument/2006/relationships/image" Target="media/befdf30b2910cd2787a5d6bef71c64f7e76144f6.jpg"/><Relationship Id="rId10" Type="http://schemas.openxmlformats.org/officeDocument/2006/relationships/image" Target="media/e850087548947fa540f257fc5ac42db7ebcbb241.png"/><Relationship Id="rId11" Type="http://schemas.openxmlformats.org/officeDocument/2006/relationships/image" Target="media/6fa899765e97f90c388d60a2a6ddb5666f565b45.jpg"/><Relationship Id="rId12" Type="http://schemas.openxmlformats.org/officeDocument/2006/relationships/image" Target="media/b0d178fd8da4135ddac0df14b4aeacebd2a29237.jpg"/><Relationship Id="rId13" Type="http://schemas.openxmlformats.org/officeDocument/2006/relationships/image" Target="media/fbaf754ba5ec79afcb4ecdfc2ece2a7952733576.jpg"/><Relationship Id="rId14" Type="http://schemas.openxmlformats.org/officeDocument/2006/relationships/image" Target="media/fff93674c5767220369c87f2ee226e763b989219.jpg"/><Relationship Id="rId15" Type="http://schemas.openxmlformats.org/officeDocument/2006/relationships/image" Target="media/e63b6049168448d19231a2a17d4563c64a6f4f73.jpg"/><Relationship Id="rId16" Type="http://schemas.openxmlformats.org/officeDocument/2006/relationships/image" Target="media/41f1fec3a54f8209e96d04048ad61fa1b56e60e3.jpg"/><Relationship Id="rId17" Type="http://schemas.openxmlformats.org/officeDocument/2006/relationships/image" Target="media/d7bd76a82e2aa94c18fb582ad183a8cea774b809.jpg"/><Relationship Id="rId18" Type="http://schemas.openxmlformats.org/officeDocument/2006/relationships/image" Target="media/b5a27f4ce8d2746dd90fff2c586cfbfd320e3b4b.jpg"/><Relationship Id="rId19" Type="http://schemas.openxmlformats.org/officeDocument/2006/relationships/image" Target="media/4ac482ff33b7bffeb6fad1a713905cf367d6fe17.jpg"/><Relationship Id="rId20" Type="http://schemas.openxmlformats.org/officeDocument/2006/relationships/image" Target="media/a5a4ce1235d6d664838c7a64c46810fdc0234d52.jpg"/><Relationship Id="rId21" Type="http://schemas.openxmlformats.org/officeDocument/2006/relationships/image" Target="media/ac87ece07d8ce8f2606b40aaf93041fdd1e26a96.jpg"/><Relationship Id="rId22" Type="http://schemas.openxmlformats.org/officeDocument/2006/relationships/image" Target="media/b3a62cf6d40e566df5e0553f446d37441e9ab25f.jpg"/><Relationship Id="rId23" Type="http://schemas.openxmlformats.org/officeDocument/2006/relationships/image" Target="media/4dd9ff2c5d7de06944489944732f56535ad65e6e.jpg"/><Relationship Id="rId24" Type="http://schemas.openxmlformats.org/officeDocument/2006/relationships/image" Target="media/18b0d5d2d330d9e60e88697968d783059775bfbe.jpg"/><Relationship Id="rId25" Type="http://schemas.openxmlformats.org/officeDocument/2006/relationships/image" Target="media/262cb2ee8104dd883a35681d8ca0b5e3fcef74af.png"/><Relationship Id="rId26" Type="http://schemas.openxmlformats.org/officeDocument/2006/relationships/image" Target="media/4df6e9f16ee8d5ad0c6258278efd8360060daab8.png"/><Relationship Id="rId27" Type="http://schemas.openxmlformats.org/officeDocument/2006/relationships/image" Target="media/c1380292178d48290d6da06fa8c1646770b30dec.png"/><Relationship Id="rId28" Type="http://schemas.openxmlformats.org/officeDocument/2006/relationships/image" Target="media/bfad8b611d1fa3fa20cf5a787a5798a15277f3f8.png"/><Relationship Id="rId29" Type="http://schemas.openxmlformats.org/officeDocument/2006/relationships/image" Target="media/f42eac14a79df3fbb71cb103bb3a1efa1b6bfa5a.png"/><Relationship Id="rId30" Type="http://schemas.openxmlformats.org/officeDocument/2006/relationships/image" Target="media/3fac73b85dfba99b537af66f3cb5fd3b58ed220f.png"/><Relationship Id="rId31" Type="http://schemas.openxmlformats.org/officeDocument/2006/relationships/image" Target="media/03f2d63361f7e69e3ebef9a355425993b019e26e.png"/><Relationship Id="rId32" Type="http://schemas.openxmlformats.org/officeDocument/2006/relationships/image" Target="media/28acdf7fdc589692350842dc012091bd937c41d3.png"/><Relationship Id="rId33" Type="http://schemas.openxmlformats.org/officeDocument/2006/relationships/image" Target="media/308c5ba33017a34e40c751513540343cb0081f22.png"/><Relationship Id="rId34" Type="http://schemas.openxmlformats.org/officeDocument/2006/relationships/image" Target="media/9ac41fd00f6e60ae68ae56a648237b03d89ab0ef.jpg"/><Relationship Id="rId35" Type="http://schemas.openxmlformats.org/officeDocument/2006/relationships/image" Target="media/9ff1380a8da603cd12875efb5ab18bf3944cda97.jpg"/><Relationship Id="rId36" Type="http://schemas.openxmlformats.org/officeDocument/2006/relationships/image" Target="media/8c36fefbf2f0cbc5f03c6c533ce4334a8eaf4f26.jpg"/><Relationship Id="rId37" Type="http://schemas.openxmlformats.org/officeDocument/2006/relationships/image" Target="media/a0aa1e2d14ee00b3bf81d36055d027b2cfbe76f8.png"/><Relationship Id="rId38" Type="http://schemas.openxmlformats.org/officeDocument/2006/relationships/image" Target="media/844a988821a10368218f198a5a056ca9e2d14a7b.png"/><Relationship Id="rId39" Type="http://schemas.openxmlformats.org/officeDocument/2006/relationships/image" Target="media/edcb3b8e910e7f4c1f0686e7c4444effd6526ab7.png"/><Relationship Id="rId40" Type="http://schemas.openxmlformats.org/officeDocument/2006/relationships/image" Target="media/c1728cc66ae2543e8bbe171bf200988d098fbfc5.png"/><Relationship Id="rId41" Type="http://schemas.openxmlformats.org/officeDocument/2006/relationships/image" Target="media/d7ee50e35f7084592392756b51c2b3f9cddbb6ce.png"/><Relationship Id="rId42" Type="http://schemas.openxmlformats.org/officeDocument/2006/relationships/image" Target="media/c37787369cf2d8f3700862c1ed994303223f7593.jpg"/><Relationship Id="rId43" Type="http://schemas.openxmlformats.org/officeDocument/2006/relationships/image" Target="media/730663dad2618f24b45ae6a2df471ac77d4cc995.jpg"/><Relationship Id="rId44" Type="http://schemas.openxmlformats.org/officeDocument/2006/relationships/image" Target="media/b35c5e10faf235dca9395d6bb21cf6b62578b7e9.jpg"/><Relationship Id="rId45" Type="http://schemas.openxmlformats.org/officeDocument/2006/relationships/image" Target="media/54901c716945732d64666986b9d20836ca9c00e4.jpg"/><Relationship Id="rId46" Type="http://schemas.openxmlformats.org/officeDocument/2006/relationships/image" Target="media/493554d804908c37e9fa305ba3608a881b6681df.jpg"/><Relationship Id="rId47" Type="http://schemas.openxmlformats.org/officeDocument/2006/relationships/image" Target="media/3c7de5b61ab15f1caf393e26fdd00b6f8c25b7d3.jpg"/><Relationship Id="rId48" Type="http://schemas.openxmlformats.org/officeDocument/2006/relationships/image" Target="media/f794fc6ccd40901d848dd4fdd532381feed3dd4e.jpg"/><Relationship Id="rId49" Type="http://schemas.openxmlformats.org/officeDocument/2006/relationships/image" Target="media/aacccb5304975d4b7f4b8379dc90fb5c1f6ce844.jpg"/><Relationship Id="rId8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 Energy Audit [2] - Energy Audit Report of Room 1003B, Hall 13, CityU</dc:title>
  <dc:creator>Jayash Sahu</dc:creator>
  <dc:description>Home energy and carbon audit following EMSD EAC 2018, EE-EAes and the HK GHG Guidelines for Buildings, with a Sha Tin District scale-up</dc:description>
  <cp:lastModifiedBy>Un-named</cp:lastModifiedBy>
  <cp:revision>1</cp:revision>
  <dcterms:created xsi:type="dcterms:W3CDTF">2026-10-11T14:37:10.974Z</dcterms:created>
  <dcterms:modified xsi:type="dcterms:W3CDTF">2026-10-11T14:37:10.974Z</dcterms:modified>
</cp:coreProperties>
</file>

<file path=docProps/custom.xml><?xml version="1.0" encoding="utf-8"?>
<Properties xmlns="http://schemas.openxmlformats.org/officeDocument/2006/custom-properties" xmlns:vt="http://schemas.openxmlformats.org/officeDocument/2006/docPropsVTypes"/>
</file>