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left"/>
      </w:pPr>
      <w:r>
        <w:rPr>
          <w:b/>
          <w:bCs/>
          <w:color w:val="1F3864"/>
          <w:sz w:val="44"/>
          <w:szCs w:val="44"/>
        </w:rPr>
        <w:t xml:space="preserve">HOME ENERGY AUDIT [2]</w:t>
      </w:r>
    </w:p>
    <w:p>
      <w:pPr>
        <w:spacing w:after="120"/>
      </w:pPr>
      <w:r>
        <w:rPr>
          <w:b w:val="false"/>
          <w:bCs w:val="false"/>
          <w:color w:val="1F4E5F"/>
          <w:sz w:val="30"/>
          <w:szCs w:val="30"/>
        </w:rPr>
        <w:t xml:space="preserve">Energy and Carbon Audit of a Shared Student-Hostel Room in Hong Kong</w:t>
      </w:r>
    </w:p>
    <w:p>
      <w:pPr>
        <w:spacing w:after="360"/>
      </w:pPr>
      <w:r>
        <w:rPr>
          <w:b w:val="false"/>
          <w:bCs w:val="false"/>
          <w:color w:val="52514E"/>
          <w:sz w:val="22"/>
          <w:szCs w:val="22"/>
        </w:rPr>
        <w:t xml:space="preserve">Room 1003B, 10/F, Hall 13, CityU Lee Shau Kee Student Residence Village, Ma On Shan, New Territories, Hong Kong</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2143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43125" cy="285750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Room 1003B - the audited home (twin room, 15 m², window facing NW)</w:t>
            </w:r>
          </w:p>
        </w:tc>
      </w:tr>
    </w:tbl>
    <w:p>
      <w:pPr>
        <w:spacing w:after="200"/>
      </w:pP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812"/>
      </w:tblGrid>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8"/>
                <w:szCs w:val="18"/>
              </w:rPr>
              <w:t xml:space="preserve">Course</w:t>
            </w:r>
          </w:p>
        </w:tc>
        <w:tc>
          <w:tcPr>
            <w:tcW w:type="dxa" w:w="6812"/>
            <w:tcMar>
              <w:top w:type="dxa" w:w="50"/>
              <w:left w:type="dxa" w:w="90"/>
              <w:bottom w:type="dxa" w:w="50"/>
              <w:right w:type="dxa" w:w="90"/>
            </w:tcMar>
            <w:vAlign w:val="center"/>
          </w:tcPr>
          <w:p>
            <w:pPr>
              <w:spacing w:after="0" w:line="240"/>
              <w:jc w:val="left"/>
            </w:pPr>
            <w:r>
              <w:rPr>
                <w:b w:val="false"/>
                <w:bCs w:val="false"/>
                <w:sz w:val="18"/>
                <w:szCs w:val="18"/>
              </w:rPr>
              <w:t xml:space="preserve">SEE8115</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8"/>
                <w:szCs w:val="18"/>
              </w:rPr>
              <w:t xml:space="preserve">Prepared by</w:t>
            </w:r>
          </w:p>
        </w:tc>
        <w:tc>
          <w:tcPr>
            <w:tcW w:type="dxa" w:w="6812"/>
            <w:tcMar>
              <w:top w:type="dxa" w:w="50"/>
              <w:left w:type="dxa" w:w="90"/>
              <w:bottom w:type="dxa" w:w="50"/>
              <w:right w:type="dxa" w:w="90"/>
            </w:tcMar>
            <w:vAlign w:val="center"/>
          </w:tcPr>
          <w:p>
            <w:pPr>
              <w:spacing w:after="0" w:line="240"/>
              <w:jc w:val="left"/>
            </w:pPr>
            <w:r>
              <w:rPr>
                <w:b w:val="false"/>
                <w:bCs w:val="false"/>
                <w:sz w:val="18"/>
                <w:szCs w:val="18"/>
              </w:rPr>
              <w:t xml:space="preserve">Jayash Sahu</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8"/>
                <w:szCs w:val="18"/>
              </w:rPr>
              <w:t xml:space="preserve">Student ID</w:t>
            </w:r>
          </w:p>
        </w:tc>
        <w:tc>
          <w:tcPr>
            <w:tcW w:type="dxa" w:w="6812"/>
            <w:tcMar>
              <w:top w:type="dxa" w:w="50"/>
              <w:left w:type="dxa" w:w="90"/>
              <w:bottom w:type="dxa" w:w="50"/>
              <w:right w:type="dxa" w:w="90"/>
            </w:tcMar>
            <w:vAlign w:val="center"/>
          </w:tcPr>
          <w:p>
            <w:pPr>
              <w:spacing w:after="0" w:line="240"/>
              <w:jc w:val="left"/>
            </w:pPr>
            <w:r>
              <w:rPr>
                <w:b w:val="false"/>
                <w:bCs w:val="false"/>
                <w:sz w:val="18"/>
                <w:szCs w:val="18"/>
              </w:rPr>
              <w:t xml:space="preserve">________________</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8"/>
                <w:szCs w:val="18"/>
              </w:rPr>
              <w:t xml:space="preserve">Instructor</w:t>
            </w:r>
          </w:p>
        </w:tc>
        <w:tc>
          <w:tcPr>
            <w:tcW w:type="dxa" w:w="6812"/>
            <w:tcMar>
              <w:top w:type="dxa" w:w="50"/>
              <w:left w:type="dxa" w:w="90"/>
              <w:bottom w:type="dxa" w:w="50"/>
              <w:right w:type="dxa" w:w="90"/>
            </w:tcMar>
            <w:vAlign w:val="center"/>
          </w:tcPr>
          <w:p>
            <w:pPr>
              <w:spacing w:after="0" w:line="240"/>
              <w:jc w:val="left"/>
            </w:pPr>
            <w:r>
              <w:rPr>
                <w:b w:val="false"/>
                <w:bCs w:val="false"/>
                <w:sz w:val="18"/>
                <w:szCs w:val="18"/>
              </w:rPr>
              <w:t xml:space="preserve">________________</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8"/>
                <w:szCs w:val="18"/>
              </w:rPr>
              <w:t xml:space="preserve">Audit period</w:t>
            </w:r>
          </w:p>
        </w:tc>
        <w:tc>
          <w:tcPr>
            <w:tcW w:type="dxa" w:w="6812"/>
            <w:tcMar>
              <w:top w:type="dxa" w:w="50"/>
              <w:left w:type="dxa" w:w="90"/>
              <w:bottom w:type="dxa" w:w="50"/>
              <w:right w:type="dxa" w:w="90"/>
            </w:tcMar>
            <w:vAlign w:val="center"/>
          </w:tcPr>
          <w:p>
            <w:pPr>
              <w:spacing w:after="0" w:line="240"/>
              <w:jc w:val="left"/>
            </w:pPr>
            <w:r>
              <w:rPr>
                <w:b w:val="false"/>
                <w:bCs w:val="false"/>
                <w:sz w:val="18"/>
                <w:szCs w:val="18"/>
              </w:rPr>
              <w:t xml:space="preserve">1 January 2026 - 11 October 2026 (data collection and site survey)</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8"/>
                <w:szCs w:val="18"/>
              </w:rPr>
              <w:t xml:space="preserve">Report date</w:t>
            </w:r>
          </w:p>
        </w:tc>
        <w:tc>
          <w:tcPr>
            <w:tcW w:type="dxa" w:w="6812"/>
            <w:tcMar>
              <w:top w:type="dxa" w:w="50"/>
              <w:left w:type="dxa" w:w="90"/>
              <w:bottom w:type="dxa" w:w="50"/>
              <w:right w:type="dxa" w:w="90"/>
            </w:tcMar>
            <w:vAlign w:val="center"/>
          </w:tcPr>
          <w:p>
            <w:pPr>
              <w:spacing w:after="0" w:line="240"/>
              <w:jc w:val="left"/>
            </w:pPr>
            <w:r>
              <w:rPr>
                <w:b w:val="false"/>
                <w:bCs w:val="false"/>
                <w:sz w:val="18"/>
                <w:szCs w:val="18"/>
              </w:rPr>
              <w:t xml:space="preserve">11 October 2026</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8"/>
                <w:szCs w:val="18"/>
              </w:rPr>
              <w:t xml:space="preserve">Report reference</w:t>
            </w:r>
          </w:p>
        </w:tc>
        <w:tc>
          <w:tcPr>
            <w:tcW w:type="dxa" w:w="6812"/>
            <w:tcMar>
              <w:top w:type="dxa" w:w="50"/>
              <w:left w:type="dxa" w:w="90"/>
              <w:bottom w:type="dxa" w:w="50"/>
              <w:right w:type="dxa" w:w="90"/>
            </w:tcMar>
            <w:vAlign w:val="center"/>
          </w:tcPr>
          <w:p>
            <w:pPr>
              <w:spacing w:after="0" w:line="240"/>
              <w:jc w:val="left"/>
            </w:pPr>
            <w:r>
              <w:rPr>
                <w:b w:val="false"/>
                <w:bCs w:val="false"/>
                <w:sz w:val="18"/>
                <w:szCs w:val="18"/>
              </w:rPr>
              <w:t xml:space="preserve">SEE8115-HEA-2026-01</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8"/>
                <w:szCs w:val="18"/>
              </w:rPr>
              <w:t xml:space="preserve">Methods</w:t>
            </w:r>
          </w:p>
        </w:tc>
        <w:tc>
          <w:tcPr>
            <w:tcW w:type="dxa" w:w="6812"/>
            <w:tcMar>
              <w:top w:type="dxa" w:w="50"/>
              <w:left w:type="dxa" w:w="90"/>
              <w:bottom w:type="dxa" w:w="50"/>
              <w:right w:type="dxa" w:w="90"/>
            </w:tcMar>
            <w:vAlign w:val="center"/>
          </w:tcPr>
          <w:p>
            <w:pPr>
              <w:spacing w:after="0" w:line="240"/>
              <w:jc w:val="left"/>
            </w:pPr>
            <w:r>
              <w:rPr>
                <w:b w:val="false"/>
                <w:bCs w:val="false"/>
                <w:sz w:val="18"/>
                <w:szCs w:val="18"/>
              </w:rPr>
              <w:t xml:space="preserve">EMSD Code of Practice for Building Energy Audit (EAC 2018); EPD/EMSD Guidelines to Account for and Report on GHG Emissions and Removals for Buildings in Hong Kong (2010)</w:t>
            </w:r>
          </w:p>
        </w:tc>
      </w:tr>
    </w:tbl>
    <w:p>
      <w:pPr>
        <w:sectPr>
          <w:pgSz w:w="11906" w:h="16838" w:orient="portrait"/>
          <w:pgMar w:top="1134" w:right="1247" w:bottom="1134" w:left="1247" w:header="567" w:footer="567" w:gutter="0"/>
          <w:pgNumType/>
          <w:docGrid w:linePitch="360"/>
        </w:sectPr>
      </w:pPr>
    </w:p>
    <w:p>
      <w:pPr>
        <w:spacing w:after="160"/>
      </w:pPr>
      <w:r>
        <w:rPr>
          <w:b/>
          <w:bCs/>
          <w:color w:val="1F3864"/>
          <w:sz w:val="30"/>
          <w:szCs w:val="30"/>
        </w:rPr>
        <w:t xml:space="preserve">Contents</w:t>
      </w:r>
    </w:p>
    <w:sdt>
      <w:sdtPr>
        <w:alias w:val="Contents"/>
      </w:sdtPr>
      <w:sdtContent>
        <w:p>
          <w:pPr>
            <w:pStyle w:val="TOC1"/>
            <w:tabs>
              <w:tab w:val="right" w:leader="dot" w:pos="9402"/>
            </w:tabs>
          </w:pPr>
          <w:r>
            <w:fldChar w:fldCharType="begin" w:dirty="true"/>
          </w:r>
          <w:r>
            <w:instrText xml:space="preserve">TOC \h \o "1-2"</w:instrText>
          </w:r>
          <w:r>
            <w:fldChar w:fldCharType="separate"/>
          </w:r>
          <w:r>
            <w:t xml:space="preserve">Executive summary</w:t>
          </w:r>
          <w:r>
            <w:tab/>
          </w:r>
          <w:r>
            <w:t>5</w:t>
          </w:r>
        </w:p>
        <w:p>
          <w:pPr>
            <w:pStyle w:val="TOC1"/>
            <w:tabs>
              <w:tab w:val="right" w:leader="dot" w:pos="9402"/>
            </w:tabs>
          </w:pPr>
          <w:r>
            <w:t xml:space="preserve">1  Introduction</w:t>
          </w:r>
          <w:r>
            <w:tab/>
          </w:r>
          <w:r>
            <w:t>7</w:t>
          </w:r>
        </w:p>
        <w:p>
          <w:pPr>
            <w:pStyle w:val="TOC2"/>
            <w:tabs>
              <w:tab w:val="right" w:leader="dot" w:pos="9402"/>
            </w:tabs>
          </w:pPr>
          <w:r>
            <w:t xml:space="preserve">1.1  Background</w:t>
          </w:r>
          <w:r>
            <w:tab/>
          </w:r>
          <w:r>
            <w:t>7</w:t>
          </w:r>
        </w:p>
        <w:p>
          <w:pPr>
            <w:pStyle w:val="TOC2"/>
            <w:tabs>
              <w:tab w:val="right" w:leader="dot" w:pos="9402"/>
            </w:tabs>
          </w:pPr>
          <w:r>
            <w:t xml:space="preserve">1.2  Objectives</w:t>
          </w:r>
          <w:r>
            <w:tab/>
          </w:r>
          <w:r>
            <w:t>7</w:t>
          </w:r>
        </w:p>
        <w:p>
          <w:pPr>
            <w:pStyle w:val="TOC2"/>
            <w:tabs>
              <w:tab w:val="right" w:leader="dot" w:pos="9402"/>
            </w:tabs>
          </w:pPr>
          <w:r>
            <w:t xml:space="preserve">1.3  Administrative information</w:t>
          </w:r>
          <w:r>
            <w:tab/>
          </w:r>
          <w:r>
            <w:t>7</w:t>
          </w:r>
        </w:p>
        <w:p>
          <w:pPr>
            <w:pStyle w:val="TOC2"/>
            <w:tabs>
              <w:tab w:val="right" w:leader="dot" w:pos="9402"/>
            </w:tabs>
          </w:pPr>
          <w:r>
            <w:t xml:space="preserve">1.4  Scope of the audit (EAC §8.1(a))</w:t>
          </w:r>
          <w:r>
            <w:tab/>
          </w:r>
          <w:r>
            <w:t>7</w:t>
          </w:r>
        </w:p>
        <w:p>
          <w:pPr>
            <w:pStyle w:val="TOC2"/>
            <w:tabs>
              <w:tab w:val="right" w:leader="dot" w:pos="9402"/>
            </w:tabs>
          </w:pPr>
          <w:r>
            <w:t xml:space="preserve">1.5  Regulatory and methodological basis</w:t>
          </w:r>
          <w:r>
            <w:tab/>
          </w:r>
          <w:r>
            <w:t>8</w:t>
          </w:r>
        </w:p>
        <w:p>
          <w:pPr>
            <w:pStyle w:val="TOC1"/>
            <w:tabs>
              <w:tab w:val="right" w:leader="dot" w:pos="9402"/>
            </w:tabs>
          </w:pPr>
          <w:r>
            <w:t xml:space="preserve">2  Audit methodology</w:t>
          </w:r>
          <w:r>
            <w:tab/>
          </w:r>
          <w:r>
            <w:t>9</w:t>
          </w:r>
        </w:p>
        <w:p>
          <w:pPr>
            <w:pStyle w:val="TOC2"/>
            <w:tabs>
              <w:tab w:val="right" w:leader="dot" w:pos="9402"/>
            </w:tabs>
          </w:pPr>
          <w:r>
            <w:t xml:space="preserve">2.1  The six EAC steps applied to a home</w:t>
          </w:r>
          <w:r>
            <w:tab/>
          </w:r>
          <w:r>
            <w:t>9</w:t>
          </w:r>
        </w:p>
        <w:p>
          <w:pPr>
            <w:pStyle w:val="TOC2"/>
            <w:tabs>
              <w:tab w:val="right" w:leader="dot" w:pos="9402"/>
            </w:tabs>
          </w:pPr>
          <w:r>
            <w:t xml:space="preserve">2.2  Calculation methods</w:t>
          </w:r>
          <w:r>
            <w:tab/>
          </w:r>
          <w:r>
            <w:t>9</w:t>
          </w:r>
        </w:p>
        <w:p>
          <w:pPr>
            <w:pStyle w:val="TOC2"/>
            <w:tabs>
              <w:tab w:val="right" w:leader="dot" w:pos="9402"/>
            </w:tabs>
          </w:pPr>
          <w:r>
            <w:t xml:space="preserve">2.3  Data sources and data quality</w:t>
          </w:r>
          <w:r>
            <w:tab/>
          </w:r>
          <w:r>
            <w:t>9</w:t>
          </w:r>
        </w:p>
        <w:p>
          <w:pPr>
            <w:pStyle w:val="TOC2"/>
            <w:tabs>
              <w:tab w:val="right" w:leader="dot" w:pos="9402"/>
            </w:tabs>
          </w:pPr>
          <w:r>
            <w:t xml:space="preserve">2.4  Tools and deliverables</w:t>
          </w:r>
          <w:r>
            <w:tab/>
          </w:r>
          <w:r>
            <w:t>10</w:t>
          </w:r>
        </w:p>
        <w:p>
          <w:pPr>
            <w:pStyle w:val="TOC1"/>
            <w:tabs>
              <w:tab w:val="right" w:leader="dot" w:pos="9402"/>
            </w:tabs>
          </w:pPr>
          <w:r>
            <w:t xml:space="preserve">3  Audit boundary and reporting period</w:t>
          </w:r>
          <w:r>
            <w:tab/>
          </w:r>
          <w:r>
            <w:t>11</w:t>
          </w:r>
        </w:p>
        <w:p>
          <w:pPr>
            <w:pStyle w:val="TOC2"/>
            <w:tabs>
              <w:tab w:val="right" w:leader="dot" w:pos="9402"/>
            </w:tabs>
          </w:pPr>
          <w:r>
            <w:t xml:space="preserve">3.1  Reporting entity and physical boundary</w:t>
          </w:r>
          <w:r>
            <w:tab/>
          </w:r>
          <w:r>
            <w:t>11</w:t>
          </w:r>
        </w:p>
        <w:p>
          <w:pPr>
            <w:pStyle w:val="TOC2"/>
            <w:tabs>
              <w:tab w:val="right" w:leader="dot" w:pos="9402"/>
            </w:tabs>
          </w:pPr>
          <w:r>
            <w:t xml:space="preserve">3.2  Operational boundary</w:t>
          </w:r>
          <w:r>
            <w:tab/>
          </w:r>
          <w:r>
            <w:t>11</w:t>
          </w:r>
        </w:p>
        <w:p>
          <w:pPr>
            <w:pStyle w:val="TOC2"/>
            <w:tabs>
              <w:tab w:val="right" w:leader="dot" w:pos="9402"/>
            </w:tabs>
          </w:pPr>
          <w:r>
            <w:t xml:space="preserve">3.3  Reporting period</w:t>
          </w:r>
          <w:r>
            <w:tab/>
          </w:r>
          <w:r>
            <w:t>12</w:t>
          </w:r>
        </w:p>
        <w:p>
          <w:pPr>
            <w:pStyle w:val="TOC1"/>
            <w:tabs>
              <w:tab w:val="right" w:leader="dot" w:pos="9402"/>
            </w:tabs>
          </w:pPr>
          <w:r>
            <w:t xml:space="preserve">4  Site and building characteristics (EAC §8.1(b))</w:t>
          </w:r>
          <w:r>
            <w:tab/>
          </w:r>
          <w:r>
            <w:t>13</w:t>
          </w:r>
        </w:p>
        <w:p>
          <w:pPr>
            <w:pStyle w:val="TOC2"/>
            <w:tabs>
              <w:tab w:val="right" w:leader="dot" w:pos="9402"/>
            </w:tabs>
          </w:pPr>
          <w:r>
            <w:t xml:space="preserve">4.1  Location and climate</w:t>
          </w:r>
          <w:r>
            <w:tab/>
          </w:r>
          <w:r>
            <w:t>13</w:t>
          </w:r>
        </w:p>
        <w:p>
          <w:pPr>
            <w:pStyle w:val="TOC2"/>
            <w:tabs>
              <w:tab w:val="right" w:leader="dot" w:pos="9402"/>
            </w:tabs>
          </w:pPr>
          <w:r>
            <w:t xml:space="preserve">4.2  The building</w:t>
          </w:r>
          <w:r>
            <w:tab/>
          </w:r>
          <w:r>
            <w:t>13</w:t>
          </w:r>
        </w:p>
        <w:p>
          <w:pPr>
            <w:pStyle w:val="TOC2"/>
            <w:tabs>
              <w:tab w:val="right" w:leader="dot" w:pos="9402"/>
            </w:tabs>
          </w:pPr>
          <w:r>
            <w:t xml:space="preserve">4.3  The audited room</w:t>
          </w:r>
          <w:r>
            <w:tab/>
          </w:r>
          <w:r>
            <w:t>13</w:t>
          </w:r>
        </w:p>
        <w:p>
          <w:pPr>
            <w:pStyle w:val="TOC2"/>
            <w:tabs>
              <w:tab w:val="right" w:leader="dot" w:pos="9402"/>
            </w:tabs>
          </w:pPr>
          <w:r>
            <w:t xml:space="preserve">4.4  Occupancy profile</w:t>
          </w:r>
          <w:r>
            <w:tab/>
          </w:r>
          <w:r>
            <w:t>14</w:t>
          </w:r>
        </w:p>
        <w:p>
          <w:pPr>
            <w:pStyle w:val="TOC2"/>
            <w:tabs>
              <w:tab w:val="right" w:leader="dot" w:pos="9402"/>
            </w:tabs>
          </w:pPr>
          <w:r>
            <w:t xml:space="preserve">4.5  Shared facilities</w:t>
          </w:r>
          <w:r>
            <w:tab/>
          </w:r>
          <w:r>
            <w:t>14</w:t>
          </w:r>
        </w:p>
        <w:p>
          <w:pPr>
            <w:pStyle w:val="TOC1"/>
            <w:tabs>
              <w:tab w:val="right" w:leader="dot" w:pos="9402"/>
            </w:tabs>
          </w:pPr>
          <w:r>
            <w:t xml:space="preserve">5  Equipment inventory and operating characteristics</w:t>
          </w:r>
          <w:r>
            <w:tab/>
          </w:r>
          <w:r>
            <w:t>15</w:t>
          </w:r>
        </w:p>
        <w:p>
          <w:pPr>
            <w:pStyle w:val="TOC2"/>
            <w:tabs>
              <w:tab w:val="right" w:leader="dot" w:pos="9402"/>
            </w:tabs>
          </w:pPr>
          <w:r>
            <w:t xml:space="preserve">5.1  Air-conditioning (EAC §8.1(e))</w:t>
          </w:r>
          <w:r>
            <w:tab/>
          </w:r>
          <w:r>
            <w:t>15</w:t>
          </w:r>
        </w:p>
        <w:p>
          <w:pPr>
            <w:pStyle w:val="TOC2"/>
            <w:tabs>
              <w:tab w:val="right" w:leader="dot" w:pos="9402"/>
            </w:tabs>
          </w:pPr>
          <w:r>
            <w:t xml:space="preserve">5.2  Lighting (EAC §8.1(f))</w:t>
          </w:r>
          <w:r>
            <w:tab/>
          </w:r>
          <w:r>
            <w:t>16</w:t>
          </w:r>
        </w:p>
        <w:p>
          <w:pPr>
            <w:pStyle w:val="TOC2"/>
            <w:tabs>
              <w:tab w:val="right" w:leader="dot" w:pos="9402"/>
            </w:tabs>
          </w:pPr>
          <w:r>
            <w:t xml:space="preserve">5.3  Plug loads and the desk fan</w:t>
          </w:r>
          <w:r>
            <w:tab/>
          </w:r>
          <w:r>
            <w:t>16</w:t>
          </w:r>
        </w:p>
        <w:p>
          <w:pPr>
            <w:pStyle w:val="TOC2"/>
            <w:tabs>
              <w:tab w:val="right" w:leader="dot" w:pos="9402"/>
            </w:tabs>
          </w:pPr>
          <w:r>
            <w:t xml:space="preserve">5.4  Water heating and washroom ventilation</w:t>
          </w:r>
          <w:r>
            <w:tab/>
          </w:r>
          <w:r>
            <w:t>17</w:t>
          </w:r>
        </w:p>
        <w:p>
          <w:pPr>
            <w:pStyle w:val="TOC2"/>
            <w:tabs>
              <w:tab w:val="right" w:leader="dot" w:pos="9402"/>
            </w:tabs>
          </w:pPr>
          <w:r>
            <w:t xml:space="preserve">5.5  Kitchen and laundry appliances</w:t>
          </w:r>
          <w:r>
            <w:tab/>
          </w:r>
          <w:r>
            <w:t>17</w:t>
          </w:r>
        </w:p>
        <w:p>
          <w:pPr>
            <w:pStyle w:val="TOC1"/>
            <w:tabs>
              <w:tab w:val="right" w:leader="dot" w:pos="9402"/>
            </w:tabs>
          </w:pPr>
          <w:r>
            <w:t xml:space="preserve">6  Energy consumption analysis (EAC §8.1(d), (g))</w:t>
          </w:r>
          <w:r>
            <w:tab/>
          </w:r>
          <w:r>
            <w:t>18</w:t>
          </w:r>
        </w:p>
        <w:p>
          <w:pPr>
            <w:pStyle w:val="TOC2"/>
            <w:tabs>
              <w:tab w:val="right" w:leader="dot" w:pos="9402"/>
            </w:tabs>
          </w:pPr>
          <w:r>
            <w:t xml:space="preserve">6.1  Room air-conditioning baseline: two independent methods</w:t>
          </w:r>
          <w:r>
            <w:tab/>
          </w:r>
          <w:r>
            <w:t>18</w:t>
          </w:r>
        </w:p>
        <w:p>
          <w:pPr>
            <w:pStyle w:val="TOC2"/>
            <w:tabs>
              <w:tab w:val="right" w:leader="dot" w:pos="9402"/>
            </w:tabs>
          </w:pPr>
          <w:r>
            <w:t xml:space="preserve">6.2  Shower hot water</w:t>
          </w:r>
          <w:r>
            <w:tab/>
          </w:r>
          <w:r>
            <w:t>19</w:t>
          </w:r>
        </w:p>
        <w:p>
          <w:pPr>
            <w:pStyle w:val="TOC2"/>
            <w:tabs>
              <w:tab w:val="right" w:leader="dot" w:pos="9402"/>
            </w:tabs>
          </w:pPr>
          <w:r>
            <w:t xml:space="preserve">6.3  Annual consumption and end-use breakdown</w:t>
          </w:r>
          <w:r>
            <w:tab/>
          </w:r>
          <w:r>
            <w:t>19</w:t>
          </w:r>
        </w:p>
        <w:p>
          <w:pPr>
            <w:pStyle w:val="TOC2"/>
            <w:tabs>
              <w:tab w:val="right" w:leader="dot" w:pos="9402"/>
            </w:tabs>
          </w:pPr>
          <w:r>
            <w:t xml:space="preserve">6.4  Breakdown by EAC installation category (EAC §8.1(g)(iv))</w:t>
          </w:r>
          <w:r>
            <w:tab/>
          </w:r>
          <w:r>
            <w:t>20</w:t>
          </w:r>
        </w:p>
        <w:p>
          <w:pPr>
            <w:pStyle w:val="TOC2"/>
            <w:tabs>
              <w:tab w:val="right" w:leader="dot" w:pos="9402"/>
            </w:tabs>
          </w:pPr>
          <w:r>
            <w:t xml:space="preserve">6.5  Monthly profile and monthly EUI (EAC §8.1(g)(iii))</w:t>
          </w:r>
          <w:r>
            <w:tab/>
          </w:r>
          <w:r>
            <w:t>21</w:t>
          </w:r>
        </w:p>
        <w:p>
          <w:pPr>
            <w:pStyle w:val="TOC2"/>
            <w:tabs>
              <w:tab w:val="right" w:leader="dot" w:pos="9402"/>
            </w:tabs>
          </w:pPr>
          <w:r>
            <w:t xml:space="preserve">6.6  Energy Utilisation Index and benchmarks</w:t>
          </w:r>
          <w:r>
            <w:tab/>
          </w:r>
          <w:r>
            <w:t>22</w:t>
          </w:r>
        </w:p>
        <w:p>
          <w:pPr>
            <w:pStyle w:val="TOC2"/>
            <w:tabs>
              <w:tab w:val="right" w:leader="dot" w:pos="9402"/>
            </w:tabs>
          </w:pPr>
          <w:r>
            <w:t xml:space="preserve">6.7  Energy used outside the room (EAC §8.1(h))</w:t>
          </w:r>
          <w:r>
            <w:tab/>
          </w:r>
          <w:r>
            <w:t>23</w:t>
          </w:r>
        </w:p>
        <w:p>
          <w:pPr>
            <w:pStyle w:val="TOC1"/>
            <w:tabs>
              <w:tab w:val="right" w:leader="dot" w:pos="9402"/>
            </w:tabs>
          </w:pPr>
          <w:r>
            <w:t xml:space="preserve">7  Greenhouse-gas inventory</w:t>
          </w:r>
          <w:r>
            <w:tab/>
          </w:r>
          <w:r>
            <w:t>24</w:t>
          </w:r>
        </w:p>
        <w:p>
          <w:pPr>
            <w:pStyle w:val="TOC2"/>
            <w:tabs>
              <w:tab w:val="right" w:leader="dot" w:pos="9402"/>
            </w:tabs>
          </w:pPr>
          <w:r>
            <w:t xml:space="preserve">7.1  Emission factors</w:t>
          </w:r>
          <w:r>
            <w:tab/>
          </w:r>
          <w:r>
            <w:t>24</w:t>
          </w:r>
        </w:p>
        <w:p>
          <w:pPr>
            <w:pStyle w:val="TOC2"/>
            <w:tabs>
              <w:tab w:val="right" w:leader="dot" w:pos="9402"/>
            </w:tabs>
          </w:pPr>
          <w:r>
            <w:t xml:space="preserve">7.2  Scope 1 - direct emissions</w:t>
          </w:r>
          <w:r>
            <w:tab/>
          </w:r>
          <w:r>
            <w:t>24</w:t>
          </w:r>
        </w:p>
        <w:p>
          <w:pPr>
            <w:pStyle w:val="TOC2"/>
            <w:tabs>
              <w:tab w:val="right" w:leader="dot" w:pos="9402"/>
            </w:tabs>
          </w:pPr>
          <w:r>
            <w:t xml:space="preserve">7.3  Scope 2 - purchased electricity</w:t>
          </w:r>
          <w:r>
            <w:tab/>
          </w:r>
          <w:r>
            <w:t>24</w:t>
          </w:r>
        </w:p>
        <w:p>
          <w:pPr>
            <w:pStyle w:val="TOC2"/>
            <w:tabs>
              <w:tab w:val="right" w:leader="dot" w:pos="9402"/>
            </w:tabs>
          </w:pPr>
          <w:r>
            <w:t xml:space="preserve">7.4  Scope 3 - water, sewage and paper</w:t>
          </w:r>
          <w:r>
            <w:tab/>
          </w:r>
          <w:r>
            <w:t>25</w:t>
          </w:r>
        </w:p>
        <w:p>
          <w:pPr>
            <w:pStyle w:val="TOC2"/>
            <w:tabs>
              <w:tab w:val="right" w:leader="dot" w:pos="9402"/>
            </w:tabs>
          </w:pPr>
          <w:r>
            <w:t xml:space="preserve">7.5  Inventory summary</w:t>
          </w:r>
          <w:r>
            <w:tab/>
          </w:r>
          <w:r>
            <w:t>25</w:t>
          </w:r>
        </w:p>
        <w:p>
          <w:pPr>
            <w:pStyle w:val="TOC2"/>
            <w:tabs>
              <w:tab w:val="right" w:leader="dot" w:pos="9402"/>
            </w:tabs>
          </w:pPr>
          <w:r>
            <w:t xml:space="preserve">7.6  Daily-activity extension (reported separately)</w:t>
          </w:r>
          <w:r>
            <w:tab/>
          </w:r>
          <w:r>
            <w:t>26</w:t>
          </w:r>
        </w:p>
        <w:p>
          <w:pPr>
            <w:pStyle w:val="TOC1"/>
            <w:tabs>
              <w:tab w:val="right" w:leader="dot" w:pos="9402"/>
            </w:tabs>
          </w:pPr>
          <w:r>
            <w:t xml:space="preserve">8  Walk-through findings (EAC §7.4.5, §8.1(i))</w:t>
          </w:r>
          <w:r>
            <w:tab/>
          </w:r>
          <w:r>
            <w:t>27</w:t>
          </w:r>
        </w:p>
        <w:p>
          <w:pPr>
            <w:pStyle w:val="TOC1"/>
            <w:tabs>
              <w:tab w:val="right" w:leader="dot" w:pos="9402"/>
            </w:tabs>
          </w:pPr>
          <w:r>
            <w:t xml:space="preserve">9  Energy Management Opportunities (EAC §6.2, §7.4-7.5)</w:t>
          </w:r>
          <w:r>
            <w:tab/>
          </w:r>
          <w:r>
            <w:t>28</w:t>
          </w:r>
        </w:p>
        <w:p>
          <w:pPr>
            <w:pStyle w:val="TOC2"/>
            <w:tabs>
              <w:tab w:val="right" w:leader="dot" w:pos="9402"/>
            </w:tabs>
          </w:pPr>
          <w:r>
            <w:t xml:space="preserve">9.1  Category I - housekeeping (no cost)</w:t>
          </w:r>
          <w:r>
            <w:tab/>
          </w:r>
          <w:r>
            <w:t>29</w:t>
          </w:r>
        </w:p>
        <w:p>
          <w:pPr>
            <w:pStyle w:val="TOC2"/>
            <w:tabs>
              <w:tab w:val="right" w:leader="dot" w:pos="9402"/>
            </w:tabs>
          </w:pPr>
          <w:r>
            <w:t xml:space="preserve">9.2  Category II - low-cost operational changes</w:t>
          </w:r>
          <w:r>
            <w:tab/>
          </w:r>
          <w:r>
            <w:t>29</w:t>
          </w:r>
        </w:p>
        <w:p>
          <w:pPr>
            <w:pStyle w:val="TOC2"/>
            <w:tabs>
              <w:tab w:val="right" w:leader="dot" w:pos="9402"/>
            </w:tabs>
          </w:pPr>
          <w:r>
            <w:t xml:space="preserve">9.3  Category III - capital measures and cost-benefit with service life (EAC §7.5.4)</w:t>
          </w:r>
          <w:r>
            <w:tab/>
          </w:r>
          <w:r>
            <w:t>30</w:t>
          </w:r>
        </w:p>
        <w:p>
          <w:pPr>
            <w:pStyle w:val="TOC2"/>
            <w:tabs>
              <w:tab w:val="right" w:leader="dot" w:pos="9402"/>
            </w:tabs>
          </w:pPr>
          <w:r>
            <w:t xml:space="preserve">9.4  Energy recovery and renewable energy (EAC §7.4.4(c)-(d), §8.1(l)(iii))</w:t>
          </w:r>
          <w:r>
            <w:tab/>
          </w:r>
          <w:r>
            <w:t>30</w:t>
          </w:r>
        </w:p>
        <w:p>
          <w:pPr>
            <w:pStyle w:val="TOC1"/>
            <w:tabs>
              <w:tab w:val="right" w:leader="dot" w:pos="9402"/>
            </w:tabs>
          </w:pPr>
          <w:r>
            <w:t xml:space="preserve">10  Recommendations, implementation and M&amp;V (EAC §7.6)</w:t>
          </w:r>
          <w:r>
            <w:tab/>
          </w:r>
          <w:r>
            <w:t>32</w:t>
          </w:r>
        </w:p>
        <w:p>
          <w:pPr>
            <w:pStyle w:val="TOC2"/>
            <w:tabs>
              <w:tab w:val="right" w:leader="dot" w:pos="9402"/>
            </w:tabs>
          </w:pPr>
          <w:r>
            <w:t xml:space="preserve">10.1  Implementation plan</w:t>
          </w:r>
          <w:r>
            <w:tab/>
          </w:r>
          <w:r>
            <w:t>32</w:t>
          </w:r>
        </w:p>
        <w:p>
          <w:pPr>
            <w:pStyle w:val="TOC2"/>
            <w:tabs>
              <w:tab w:val="right" w:leader="dot" w:pos="9402"/>
            </w:tabs>
          </w:pPr>
          <w:r>
            <w:t xml:space="preserve">10.2  Measurement and verification plan (EAC §7.5.3, §7.6.3)</w:t>
          </w:r>
          <w:r>
            <w:tab/>
          </w:r>
          <w:r>
            <w:t>32</w:t>
          </w:r>
        </w:p>
        <w:p>
          <w:pPr>
            <w:pStyle w:val="TOC2"/>
            <w:tabs>
              <w:tab w:val="right" w:leader="dot" w:pos="9402"/>
            </w:tabs>
          </w:pPr>
          <w:r>
            <w:t xml:space="preserve">10.3  Communication with hall management (EAC §7.4.3)</w:t>
          </w:r>
          <w:r>
            <w:tab/>
          </w:r>
          <w:r>
            <w:t>32</w:t>
          </w:r>
        </w:p>
        <w:p>
          <w:pPr>
            <w:pStyle w:val="TOC2"/>
            <w:tabs>
              <w:tab w:val="right" w:leader="dot" w:pos="9402"/>
            </w:tabs>
          </w:pPr>
          <w:r>
            <w:t xml:space="preserve">10.4  Further studies (EAC §7.6.5)</w:t>
          </w:r>
          <w:r>
            <w:tab/>
          </w:r>
          <w:r>
            <w:t>32</w:t>
          </w:r>
        </w:p>
        <w:p>
          <w:pPr>
            <w:pStyle w:val="TOC1"/>
            <w:tabs>
              <w:tab w:val="right" w:leader="dot" w:pos="9402"/>
            </w:tabs>
          </w:pPr>
          <w:r>
            <w:t xml:space="preserve">11  Uncertainty, limitations and sensitivity</w:t>
          </w:r>
          <w:r>
            <w:tab/>
          </w:r>
          <w:r>
            <w:t>34</w:t>
          </w:r>
        </w:p>
        <w:p>
          <w:pPr>
            <w:pStyle w:val="TOC2"/>
            <w:tabs>
              <w:tab w:val="right" w:leader="dot" w:pos="9402"/>
            </w:tabs>
          </w:pPr>
          <w:r>
            <w:t xml:space="preserve">11.1  Limitations</w:t>
          </w:r>
          <w:r>
            <w:tab/>
          </w:r>
          <w:r>
            <w:t>35</w:t>
          </w:r>
        </w:p>
        <w:p>
          <w:pPr>
            <w:pStyle w:val="TOC1"/>
            <w:tabs>
              <w:tab w:val="right" w:leader="dot" w:pos="9402"/>
            </w:tabs>
          </w:pPr>
          <w:r>
            <w:t xml:space="preserve">12  Conclusions and lessons for the corporate carbon audit</w:t>
          </w:r>
          <w:r>
            <w:tab/>
          </w:r>
          <w:r>
            <w:t>36</w:t>
          </w:r>
        </w:p>
        <w:p>
          <w:pPr>
            <w:pStyle w:val="TOC2"/>
            <w:tabs>
              <w:tab w:val="right" w:leader="dot" w:pos="9402"/>
            </w:tabs>
          </w:pPr>
          <w:r>
            <w:t xml:space="preserve">12.1  Conclusions</w:t>
          </w:r>
          <w:r>
            <w:tab/>
          </w:r>
          <w:r>
            <w:t>36</w:t>
          </w:r>
        </w:p>
        <w:p>
          <w:pPr>
            <w:pStyle w:val="TOC2"/>
            <w:tabs>
              <w:tab w:val="right" w:leader="dot" w:pos="9402"/>
            </w:tabs>
          </w:pPr>
          <w:r>
            <w:t xml:space="preserve">12.2  Lessons for the corporate carbon audit</w:t>
          </w:r>
          <w:r>
            <w:tab/>
          </w:r>
          <w:r>
            <w:t>36</w:t>
          </w:r>
        </w:p>
        <w:p>
          <w:pPr>
            <w:pStyle w:val="TOC1"/>
            <w:tabs>
              <w:tab w:val="right" w:leader="dot" w:pos="9402"/>
            </w:tabs>
          </w:pPr>
          <w:r>
            <w:t xml:space="preserve">References</w:t>
          </w:r>
          <w:r>
            <w:tab/>
          </w:r>
          <w:r>
            <w:t>37</w:t>
          </w:r>
        </w:p>
        <w:p>
          <w:pPr>
            <w:pStyle w:val="TOC1"/>
            <w:tabs>
              <w:tab w:val="right" w:leader="dot" w:pos="9402"/>
            </w:tabs>
          </w:pPr>
          <w:r>
            <w:t xml:space="preserve">Appendix A - Questionnaire responses (summary)</w:t>
          </w:r>
          <w:r>
            <w:tab/>
          </w:r>
          <w:r>
            <w:t>39</w:t>
          </w:r>
        </w:p>
        <w:p>
          <w:pPr>
            <w:pStyle w:val="TOC1"/>
            <w:tabs>
              <w:tab w:val="right" w:leader="dot" w:pos="9402"/>
            </w:tabs>
          </w:pPr>
          <w:r>
            <w:t xml:space="preserve">Appendix B - Photo log</w:t>
          </w:r>
          <w:r>
            <w:tab/>
          </w:r>
          <w:r>
            <w:t>40</w:t>
          </w:r>
        </w:p>
        <w:p>
          <w:pPr>
            <w:pStyle w:val="TOC1"/>
            <w:tabs>
              <w:tab w:val="right" w:leader="dot" w:pos="9402"/>
            </w:tabs>
          </w:pPr>
          <w:r>
            <w:t xml:space="preserve">Appendix C - Input data register</w:t>
          </w:r>
          <w:r>
            <w:tab/>
          </w:r>
          <w:r>
            <w:t>42</w:t>
          </w:r>
        </w:p>
        <w:p>
          <w:pPr>
            <w:pStyle w:val="TOC1"/>
            <w:tabs>
              <w:tab w:val="right" w:leader="dot" w:pos="9402"/>
            </w:tabs>
          </w:pPr>
          <w:r>
            <w:t xml:space="preserve">Appendix D - Executive summary in EE-EAes structure</w:t>
          </w:r>
          <w:r>
            <w:tab/>
          </w:r>
          <w:r>
            <w:t>45</w:t>
          </w:r>
        </w:p>
        <w:p>
          <w:pPr>
            <w:pStyle w:val="TOC1"/>
            <w:tabs>
              <w:tab w:val="right" w:leader="dot" w:pos="9402"/>
            </w:tabs>
          </w:pPr>
          <w:r>
            <w:t xml:space="preserve">Appendix E - Completed Penn State Home Energy Audit Tool</w:t>
          </w:r>
          <w:r>
            <w:tab/>
          </w:r>
          <w:r>
            <w:t>46</w:t>
          </w:r>
        </w:p>
        <w:p>
          <w:pPr>
            <w:pStyle w:val="TOC1"/>
            <w:tabs>
              <w:tab w:val="right" w:leader="dot" w:pos="9402"/>
            </w:tabs>
          </w:pPr>
          <w:r>
            <w:t xml:space="preserve">Appendix F - Deliverables and reproducibility</w:t>
          </w:r>
          <w:r>
            <w:tab/>
          </w:r>
          <w:r>
            <w:t>47</w:t>
          </w:r>
          <w:r>
            <w:fldChar w:fldCharType="end"/>
          </w:r>
        </w:p>
      </w:sdtContent>
    </w:sdt>
    <w:p>
      <w:pPr>
        <w:spacing w:before="120"/>
      </w:pPr>
      <w:r>
        <w:rPr>
          <w:b w:val="false"/>
          <w:bCs w:val="false"/>
          <w:i/>
          <w:iCs/>
          <w:color w:val="52514E"/>
          <w:sz w:val="16"/>
          <w:szCs w:val="16"/>
        </w:rPr>
        <w:t xml:space="preserve">After editing the report in Word, right-click the contents list and choose Update Field to refresh the page numbers.</w:t>
      </w:r>
    </w:p>
    <w:p>
      <w:r>
        <w:br w:type="page"/>
      </w:r>
    </w:p>
    <w:p>
      <w:pPr>
        <w:spacing w:after="120"/>
      </w:pPr>
      <w:r>
        <w:rPr>
          <w:b/>
          <w:bCs/>
          <w:color w:val="1F3864"/>
          <w:sz w:val="26"/>
          <w:szCs w:val="26"/>
        </w:rPr>
        <w:t xml:space="preserve">Abbreviations</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212"/>
      </w:tblGrid>
      <w:tr>
        <w:trPr>
          <w:tblHeader/>
        </w:trPr>
        <w:tc>
          <w:tcPr>
            <w:tcW w:type="dxa" w:w="2200"/>
            <w:shd w:fill="DCE6F0" w:color="auto" w:val="clear"/>
            <w:tcMar>
              <w:top w:type="dxa" w:w="50"/>
              <w:left w:type="dxa" w:w="90"/>
              <w:bottom w:type="dxa" w:w="50"/>
              <w:right w:type="dxa" w:w="90"/>
            </w:tcMar>
            <w:vAlign w:val="center"/>
          </w:tcPr>
          <w:p>
            <w:pPr>
              <w:spacing w:after="0" w:line="240"/>
              <w:jc w:val="left"/>
            </w:pPr>
            <w:r>
              <w:rPr>
                <w:b/>
                <w:bCs/>
                <w:color w:val="1F3864"/>
                <w:sz w:val="17"/>
                <w:szCs w:val="17"/>
              </w:rPr>
              <w:t xml:space="preserve">Term</w:t>
            </w:r>
          </w:p>
        </w:tc>
        <w:tc>
          <w:tcPr>
            <w:tcW w:type="dxa" w:w="7212"/>
            <w:shd w:fill="DCE6F0" w:color="auto" w:val="clear"/>
            <w:tcMar>
              <w:top w:type="dxa" w:w="50"/>
              <w:left w:type="dxa" w:w="90"/>
              <w:bottom w:type="dxa" w:w="50"/>
              <w:right w:type="dxa" w:w="90"/>
            </w:tcMar>
            <w:vAlign w:val="center"/>
          </w:tcPr>
          <w:p>
            <w:pPr>
              <w:spacing w:after="0" w:line="240"/>
              <w:jc w:val="left"/>
            </w:pPr>
            <w:r>
              <w:rPr>
                <w:b/>
                <w:bCs/>
                <w:color w:val="1F3864"/>
                <w:sz w:val="17"/>
                <w:szCs w:val="17"/>
              </w:rPr>
              <w:t xml:space="preserve">Meaning</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AC</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Air-conditioning / air-conditioner</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BEC / BEEO</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Building Energy Code / Buildings Energy Efficiency Ordinance (Cap. 610)</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CBSI</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Central building services installation (EAC term)</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CLP</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CLP Power Hong Kong Ltd, the electricity supplier to Ma On Shan</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Carbon dioxide equivalent</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CSPF / EER</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Cooling seasonal performance factor / energy efficiency ratio (rated capacity ÷ rated input)</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DSD / WSD</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Drainage Services Department / Water Supplies Department</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EAC</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Code of Practice for Building Energy Audit (EMSD, 2018 edition)</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EE-EAes</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EMSD technical form: Executive Summary of an Energy Audit Report</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EMO</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Energy Management Opportunity (Category I, II or III)</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EMSD / EPD / EEB</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Electrical and Mechanical Services Department / Environmental Protection Department / Environment and Ecology Bureau</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EUI</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Energy Utilisation Index (MJ/m²/yr; kWh/m²/yr = MJ/m²/yr ÷ 3.6)</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FiT</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Feed-in Tariff (CLP renewable-energy scheme)</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GHG / GWP</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Greenhouse gas / global warming potential</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HKO</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Hong Kong Observatory</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LPD</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Lighting power density (W/m²)</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M&amp;V</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Measurement and verification of savings</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MiC</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Modular integrated construction</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RF</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Radiative forcing uplift for aviation emissions</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SRO</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CityU Student Residence Office (hall management)</w:t>
            </w:r>
          </w:p>
        </w:tc>
      </w:tr>
      <w:tr>
        <w:trPr>
          <w:cantSplit/>
        </w:trPr>
        <w:tc>
          <w:tcPr>
            <w:tcW w:type="dxa" w:w="2200"/>
            <w:tcMar>
              <w:top w:type="dxa" w:w="50"/>
              <w:left w:type="dxa" w:w="90"/>
              <w:bottom w:type="dxa" w:w="50"/>
              <w:right w:type="dxa" w:w="90"/>
            </w:tcMar>
            <w:vAlign w:val="center"/>
          </w:tcPr>
          <w:p>
            <w:pPr>
              <w:spacing w:after="0" w:line="240"/>
              <w:jc w:val="left"/>
            </w:pPr>
            <w:r>
              <w:rPr>
                <w:b w:val="false"/>
                <w:bCs w:val="false"/>
                <w:sz w:val="17"/>
                <w:szCs w:val="17"/>
              </w:rPr>
              <w:t xml:space="preserve">WELS</w:t>
            </w:r>
          </w:p>
        </w:tc>
        <w:tc>
          <w:tcPr>
            <w:tcW w:type="dxa" w:w="7212"/>
            <w:tcMar>
              <w:top w:type="dxa" w:w="50"/>
              <w:left w:type="dxa" w:w="90"/>
              <w:bottom w:type="dxa" w:w="50"/>
              <w:right w:type="dxa" w:w="90"/>
            </w:tcMar>
            <w:vAlign w:val="center"/>
          </w:tcPr>
          <w:p>
            <w:pPr>
              <w:spacing w:after="0" w:line="240"/>
              <w:jc w:val="left"/>
            </w:pPr>
            <w:r>
              <w:rPr>
                <w:b w:val="false"/>
                <w:bCs w:val="false"/>
                <w:sz w:val="17"/>
                <w:szCs w:val="17"/>
              </w:rPr>
              <w:t xml:space="preserve">Water Efficiency Labelling Scheme (WSD)</w:t>
            </w:r>
          </w:p>
        </w:tc>
      </w:tr>
    </w:tbl>
    <w:p>
      <w:pPr>
        <w:pStyle w:val="Heading1"/>
        <w:pageBreakBefore/>
      </w:pPr>
      <w:r>
        <w:rPr>
          <w:b w:val="false"/>
          <w:bCs w:val="false"/>
        </w:rPr>
        <w:t xml:space="preserve">Executive summary</w:t>
      </w:r>
    </w:p>
    <w:p>
      <w:pPr>
        <w:spacing w:after="120" w:before="0" w:line="276"/>
        <w:jc w:val="both"/>
      </w:pPr>
      <w:r>
        <w:rPr>
          <w:b w:val="false"/>
          <w:bCs w:val="false"/>
        </w:rPr>
        <w:t xml:space="preserve">This report presents a systematic energy and carbon audit of the auditor's home: </w:t>
      </w:r>
      <w:r>
        <w:rPr>
          <w:b/>
          <w:bCs/>
        </w:rPr>
        <w:t xml:space="preserve">Room 1003B, 10/F</w:t>
      </w:r>
      <w:r>
        <w:rPr>
          <w:b w:val="false"/>
          <w:bCs w:val="false"/>
        </w:rPr>
        <w:t xml:space="preserve">, a 15 m² twin room in </w:t>
      </w:r>
      <w:r>
        <w:rPr>
          <w:b/>
          <w:bCs/>
        </w:rPr>
        <w:t xml:space="preserve">Hall 13, CityU Lee Shau Kee Student Residence Village</w:t>
      </w:r>
      <w:r>
        <w:rPr>
          <w:b w:val="false"/>
          <w:bCs w:val="false"/>
        </w:rPr>
        <w:t xml:space="preserve"> (Ma On Shan, New Territories, Hong Kong), together with the household's share of the shared washroom, floor kitchen and hall laundry. The audit follows the six steps of the EMSD Code of Practice for Building Energy Audit (EAC 2018) [1] and quantifies greenhouse-gas emissions with the EPD/EMSD Guidelines for buildings in Hong Kong [2]. Its purpose is to establish a baseline, explain the consumption pattern and identify Energy Management Opportunities (EMOs) before progressing to a corporate carbon audit.</w:t>
      </w:r>
    </w:p>
    <w:p>
      <w:pPr>
        <w:keepNext/>
        <w:spacing w:after="80" w:before="160"/>
      </w:pPr>
      <w:r>
        <w:rPr>
          <w:b/>
          <w:bCs/>
          <w:color w:val="1F3864"/>
          <w:sz w:val="18"/>
          <w:szCs w:val="18"/>
        </w:rPr>
        <w:t xml:space="preserve">Table ES.1: Key results (typical 12-month baseline year)</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5512"/>
      </w:tblGrid>
      <w:tr>
        <w:trPr>
          <w:tblHeader/>
        </w:trPr>
        <w:tc>
          <w:tcPr>
            <w:tcW w:type="dxa" w:w="3900"/>
            <w:shd w:fill="DCE6F0" w:color="auto" w:val="clear"/>
            <w:tcMar>
              <w:top w:type="dxa" w:w="50"/>
              <w:left w:type="dxa" w:w="90"/>
              <w:bottom w:type="dxa" w:w="50"/>
              <w:right w:type="dxa" w:w="90"/>
            </w:tcMar>
            <w:vAlign w:val="center"/>
          </w:tcPr>
          <w:p>
            <w:pPr>
              <w:spacing w:after="0" w:line="240"/>
              <w:jc w:val="left"/>
            </w:pPr>
            <w:r>
              <w:rPr>
                <w:b/>
                <w:bCs/>
                <w:color w:val="1F3864"/>
                <w:sz w:val="17"/>
                <w:szCs w:val="17"/>
              </w:rPr>
              <w:t xml:space="preserve">Indicator</w:t>
            </w:r>
          </w:p>
        </w:tc>
        <w:tc>
          <w:tcPr>
            <w:tcW w:type="dxa" w:w="5512"/>
            <w:shd w:fill="DCE6F0" w:color="auto" w:val="clear"/>
            <w:tcMar>
              <w:top w:type="dxa" w:w="50"/>
              <w:left w:type="dxa" w:w="90"/>
              <w:bottom w:type="dxa" w:w="50"/>
              <w:right w:type="dxa" w:w="90"/>
            </w:tcMar>
            <w:vAlign w:val="center"/>
          </w:tcPr>
          <w:p>
            <w:pPr>
              <w:spacing w:after="0" w:line="240"/>
              <w:jc w:val="left"/>
            </w:pPr>
            <w:r>
              <w:rPr>
                <w:b/>
                <w:bCs/>
                <w:color w:val="1F3864"/>
                <w:sz w:val="17"/>
                <w:szCs w:val="17"/>
              </w:rPr>
              <w:t xml:space="preserve">Result</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Household electricity (room + allocated shared services)</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2,586 kWh/yr (1,293 kWh per person)</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Electricity used inside the 15 m² room</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1,220 kWh/yr (47.2% of household); 52.8% is used in shared facilities</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Room air-conditioning baseline (Octopus spend)</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811 kWh/yr; independent energy-label check 884 kWh/yr (+9.1%)</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Energy Utilisation Index of the room (EAC §8.1(g)(ii))</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292.7 MJ/m²/yr (81.3 kWh/m²/yr), 1.18 × a typical Hong Kong home</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Largest end-uses</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Air-conditioning 34.4%, shower hot water 24.5%, cooking 12.1%</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GHG emissions - CLP factor 0.34 kg/kWh</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939 kg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e/yr (470 kg per person)</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GHG emissions - territory default 0.7 kg/kWh</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1,870 kg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e/yr (935 kg per person)</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Scope split (CLP basis)</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Scope 1 16 kg; Scope 2 879 kg (93.6%); Scope 3 43 kg</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Auditor's wider footprint (travel and diet added)</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5.1 t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e/yr - home energy and water are only 9%</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EMOs identified</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18 (8 Category I, 6 Category II, 4 Category III)</w:t>
            </w:r>
          </w:p>
        </w:tc>
      </w:tr>
      <w:tr>
        <w:trPr>
          <w:cantSplit/>
        </w:trPr>
        <w:tc>
          <w:tcPr>
            <w:tcW w:type="dxa" w:w="3900"/>
            <w:tcMar>
              <w:top w:type="dxa" w:w="50"/>
              <w:left w:type="dxa" w:w="90"/>
              <w:bottom w:type="dxa" w:w="50"/>
              <w:right w:type="dxa" w:w="90"/>
            </w:tcMar>
            <w:vAlign w:val="center"/>
          </w:tcPr>
          <w:p>
            <w:pPr>
              <w:spacing w:after="0" w:line="240"/>
              <w:jc w:val="left"/>
            </w:pPr>
            <w:r>
              <w:rPr>
                <w:b w:val="false"/>
                <w:bCs w:val="false"/>
                <w:sz w:val="17"/>
                <w:szCs w:val="17"/>
              </w:rPr>
              <w:t xml:space="preserve">No-cost Category I package</w:t>
            </w:r>
          </w:p>
        </w:tc>
        <w:tc>
          <w:tcPr>
            <w:tcW w:type="dxa" w:w="5512"/>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503 kWh/yr (19.5%) and 171 kg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e/yr saved</w:t>
            </w:r>
          </w:p>
        </w:tc>
      </w:tr>
    </w:tbl>
    <w:p>
      <w:pPr>
        <w:spacing w:after="80"/>
      </w:pPr>
    </w:p>
    <w:p>
      <w:pPr>
        <w:spacing w:after="60" w:before="0" w:line="276"/>
        <w:jc w:val="both"/>
      </w:pPr>
      <w:r>
        <w:rPr>
          <w:b/>
          <w:bCs/>
        </w:rPr>
        <w:t xml:space="preserve">Main findings</w:t>
      </w:r>
    </w:p>
    <w:p>
      <w:pPr>
        <w:pStyle w:val="ListParagraph"/>
        <w:numPr>
          <w:ilvl w:val="0"/>
          <w:numId w:val="2"/>
        </w:numPr>
        <w:spacing w:after="60" w:line="264"/>
      </w:pPr>
      <w:r>
        <w:rPr>
          <w:b/>
          <w:bCs/>
        </w:rPr>
        <w:t xml:space="preserve">Operation, not equipment, drives use.</w:t>
      </w:r>
      <w:r>
        <w:rPr>
          <w:b w:val="false"/>
          <w:bCs w:val="false"/>
        </w:rPr>
        <w:t xml:space="preserve"> The room AC (Midea MW-12CRF8E) and the kitchen appliances already carry Grade 1 HK Energy Labels. Energy is driven by all-night AC operation at 25 °C, a washroom exhaust fan that runs 24 hours a day and a kitchen AC that residents leave on for 8 h or more.</w:t>
      </w:r>
    </w:p>
    <w:p>
      <w:pPr>
        <w:pStyle w:val="ListParagraph"/>
        <w:numPr>
          <w:ilvl w:val="0"/>
          <w:numId w:val="2"/>
        </w:numPr>
        <w:spacing w:after="60" w:line="264"/>
      </w:pPr>
      <w:r>
        <w:rPr>
          <w:b/>
          <w:bCs/>
        </w:rPr>
        <w:t xml:space="preserve">More than half of the "home" is outside the room.</w:t>
      </w:r>
      <w:r>
        <w:rPr>
          <w:b w:val="false"/>
          <w:bCs w:val="false"/>
        </w:rPr>
        <w:t xml:space="preserve"> 52.8% of the household's electricity is used in shared facilities that students do not control. The largest shares are shower water heating with a 24.4 kW instantaneous heater, the washroom fan and the kitchen.</w:t>
      </w:r>
    </w:p>
    <w:p>
      <w:pPr>
        <w:pStyle w:val="ListParagraph"/>
        <w:numPr>
          <w:ilvl w:val="0"/>
          <w:numId w:val="2"/>
        </w:numPr>
        <w:spacing w:after="60" w:line="264"/>
      </w:pPr>
      <w:r>
        <w:rPr>
          <w:b/>
          <w:bCs/>
        </w:rPr>
        <w:t xml:space="preserve">Hot water is seasonal.</w:t>
      </w:r>
      <w:r>
        <w:rPr>
          <w:b w:val="false"/>
          <w:bCs w:val="false"/>
        </w:rPr>
        <w:t xml:space="preserve"> Shower energy is 2.12 times higher in January than in July because the cold-water inlet falls from about 29 °C to 16.5 °C [8].</w:t>
      </w:r>
    </w:p>
    <w:p>
      <w:pPr>
        <w:pStyle w:val="ListParagraph"/>
        <w:numPr>
          <w:ilvl w:val="0"/>
          <w:numId w:val="2"/>
        </w:numPr>
        <w:spacing w:after="60" w:line="264"/>
      </w:pPr>
      <w:r>
        <w:rPr>
          <w:b/>
          <w:bCs/>
        </w:rPr>
        <w:t xml:space="preserve">Lighting is already efficient.</w:t>
      </w:r>
      <w:r>
        <w:rPr>
          <w:b w:val="false"/>
          <w:bCs w:val="false"/>
        </w:rPr>
        <w:t xml:space="preserve"> It is all-LED, and the room's lighting power density of 4.0 W/m² is within the BEC 2021 dormitory limit of 6.2 W/m² [24].</w:t>
      </w:r>
    </w:p>
    <w:p>
      <w:pPr>
        <w:pStyle w:val="ListParagraph"/>
        <w:numPr>
          <w:ilvl w:val="0"/>
          <w:numId w:val="2"/>
        </w:numPr>
        <w:spacing w:after="60" w:line="264"/>
      </w:pPr>
      <w:r>
        <w:rPr>
          <w:b/>
          <w:bCs/>
        </w:rPr>
        <w:t xml:space="preserve">The emission factor doubles the answer.</w:t>
      </w:r>
      <w:r>
        <w:rPr>
          <w:b w:val="false"/>
          <w:bCs w:val="false"/>
        </w:rPr>
        <w:t xml:space="preserve"> Scope 2 is 93.6% of the inventory, and the CLP-specific factor (0.34) and the territory-wide default (0.7) differ by a factor of two, so both are reported as the Guidelines require [2], [5].</w:t>
      </w:r>
    </w:p>
    <w:p>
      <w:pPr>
        <w:spacing w:after="60" w:before="60" w:line="276"/>
        <w:jc w:val="both"/>
      </w:pPr>
      <w:r>
        <w:rPr>
          <w:b/>
          <w:bCs/>
        </w:rPr>
        <w:t xml:space="preserve">Recommendations</w:t>
      </w:r>
    </w:p>
    <w:p>
      <w:pPr>
        <w:pStyle w:val="ListParagraph"/>
        <w:numPr>
          <w:ilvl w:val="0"/>
          <w:numId w:val="2"/>
        </w:numPr>
        <w:spacing w:after="40" w:line="264"/>
      </w:pPr>
      <w:r>
        <w:rPr>
          <w:b w:val="false"/>
          <w:bCs w:val="false"/>
        </w:rPr>
        <w:t xml:space="preserve">Implement the eight </w:t>
      </w:r>
      <w:r>
        <w:rPr>
          <w:b/>
          <w:bCs/>
        </w:rPr>
        <w:t xml:space="preserve">Category I</w:t>
      </w:r>
      <w:r>
        <w:rPr>
          <w:b w:val="false"/>
          <w:bCs w:val="false"/>
        </w:rPr>
        <w:t xml:space="preserve"> measures now:</w:t>
      </w:r>
    </w:p>
    <w:p>
      <w:pPr>
        <w:pStyle w:val="ListParagraph"/>
        <w:numPr>
          <w:ilvl w:val="1"/>
          <w:numId w:val="2"/>
        </w:numPr>
        <w:spacing w:after="40" w:line="264"/>
      </w:pPr>
      <w:r>
        <w:rPr>
          <w:b w:val="false"/>
          <w:bCs w:val="false"/>
        </w:rPr>
        <w:t xml:space="preserve">raise the AC set-point to 26 °C with the fan on;</w:t>
      </w:r>
    </w:p>
    <w:p>
      <w:pPr>
        <w:pStyle w:val="ListParagraph"/>
        <w:numPr>
          <w:ilvl w:val="1"/>
          <w:numId w:val="2"/>
        </w:numPr>
        <w:spacing w:after="40" w:line="264"/>
      </w:pPr>
      <w:r>
        <w:rPr>
          <w:b w:val="false"/>
          <w:bCs w:val="false"/>
        </w:rPr>
        <w:t xml:space="preserve">use the AC timer to stop 2 h before waking;</w:t>
      </w:r>
    </w:p>
    <w:p>
      <w:pPr>
        <w:pStyle w:val="ListParagraph"/>
        <w:numPr>
          <w:ilvl w:val="1"/>
          <w:numId w:val="2"/>
        </w:numPr>
        <w:spacing w:after="40" w:line="264"/>
      </w:pPr>
      <w:r>
        <w:rPr>
          <w:b w:val="false"/>
          <w:bCs w:val="false"/>
        </w:rPr>
        <w:t xml:space="preserve">clean the AC filter fortnightly;</w:t>
      </w:r>
    </w:p>
    <w:p>
      <w:pPr>
        <w:pStyle w:val="ListParagraph"/>
        <w:numPr>
          <w:ilvl w:val="1"/>
          <w:numId w:val="2"/>
        </w:numPr>
        <w:spacing w:after="40" w:line="264"/>
      </w:pPr>
      <w:r>
        <w:rPr>
          <w:b w:val="false"/>
          <w:bCs w:val="false"/>
        </w:rPr>
        <w:t xml:space="preserve">use task lighting;</w:t>
      </w:r>
    </w:p>
    <w:p>
      <w:pPr>
        <w:pStyle w:val="ListParagraph"/>
        <w:numPr>
          <w:ilvl w:val="1"/>
          <w:numId w:val="2"/>
        </w:numPr>
        <w:spacing w:after="40" w:line="264"/>
      </w:pPr>
      <w:r>
        <w:rPr>
          <w:b w:val="false"/>
          <w:bCs w:val="false"/>
        </w:rPr>
        <w:t xml:space="preserve">take 4-minute showers at 38 °C;</w:t>
      </w:r>
    </w:p>
    <w:p>
      <w:pPr>
        <w:pStyle w:val="ListParagraph"/>
        <w:numPr>
          <w:ilvl w:val="1"/>
          <w:numId w:val="2"/>
        </w:numPr>
        <w:spacing w:after="40" w:line="264"/>
      </w:pPr>
      <w:r>
        <w:rPr>
          <w:b w:val="false"/>
          <w:bCs w:val="false"/>
        </w:rPr>
        <w:t xml:space="preserve">use laptop power management;</w:t>
      </w:r>
    </w:p>
    <w:p>
      <w:pPr>
        <w:pStyle w:val="ListParagraph"/>
        <w:numPr>
          <w:ilvl w:val="1"/>
          <w:numId w:val="2"/>
        </w:numPr>
        <w:spacing w:after="40" w:line="264"/>
      </w:pPr>
      <w:r>
        <w:rPr>
          <w:b w:val="false"/>
          <w:bCs w:val="false"/>
        </w:rPr>
        <w:t xml:space="preserve">cook efficiently.</w:t>
      </w:r>
    </w:p>
    <w:p>
      <w:pPr>
        <w:spacing w:after="80" w:before="40" w:line="264"/>
        <w:ind w:left="400"/>
      </w:pPr>
      <w:r>
        <w:rPr>
          <w:b w:val="false"/>
          <w:bCs w:val="false"/>
        </w:rPr>
        <w:t xml:space="preserve">Together they save about 503 kWh/yr at no cost, including HK$231 a year of Octopus AC charges.</w:t>
      </w:r>
    </w:p>
    <w:p>
      <w:pPr>
        <w:pStyle w:val="ListParagraph"/>
        <w:numPr>
          <w:ilvl w:val="0"/>
          <w:numId w:val="2"/>
        </w:numPr>
        <w:spacing w:after="40" w:line="264"/>
      </w:pPr>
      <w:r>
        <w:rPr>
          <w:b w:val="false"/>
          <w:bCs w:val="false"/>
        </w:rPr>
        <w:t xml:space="preserve">Ask the Student Residence Office to implement four low-cost </w:t>
      </w:r>
      <w:r>
        <w:rPr>
          <w:b/>
          <w:bCs/>
        </w:rPr>
        <w:t xml:space="preserve">Category II</w:t>
      </w:r>
      <w:r>
        <w:rPr>
          <w:b w:val="false"/>
          <w:bCs w:val="false"/>
        </w:rPr>
        <w:t xml:space="preserve"> measures:</w:t>
      </w:r>
    </w:p>
    <w:p>
      <w:pPr>
        <w:pStyle w:val="ListParagraph"/>
        <w:numPr>
          <w:ilvl w:val="1"/>
          <w:numId w:val="2"/>
        </w:numPr>
        <w:spacing w:after="40" w:line="264"/>
      </w:pPr>
      <w:r>
        <w:rPr>
          <w:b w:val="false"/>
          <w:bCs w:val="false"/>
        </w:rPr>
        <w:t xml:space="preserve">an exhaust-fan run-on/humidistat control;</w:t>
      </w:r>
    </w:p>
    <w:p>
      <w:pPr>
        <w:pStyle w:val="ListParagraph"/>
        <w:numPr>
          <w:ilvl w:val="1"/>
          <w:numId w:val="2"/>
        </w:numPr>
        <w:spacing w:after="40" w:line="264"/>
      </w:pPr>
      <w:r>
        <w:rPr>
          <w:b w:val="false"/>
          <w:bCs w:val="false"/>
        </w:rPr>
        <w:t xml:space="preserve">a kitchen-AC timer with the set-point fixed at 25.5 °C;</w:t>
      </w:r>
    </w:p>
    <w:p>
      <w:pPr>
        <w:pStyle w:val="ListParagraph"/>
        <w:numPr>
          <w:ilvl w:val="1"/>
          <w:numId w:val="2"/>
        </w:numPr>
        <w:spacing w:after="40" w:line="264"/>
      </w:pPr>
      <w:r>
        <w:rPr>
          <w:b w:val="false"/>
          <w:bCs w:val="false"/>
        </w:rPr>
        <w:t xml:space="preserve">a night set-back for the water dispenser;</w:t>
      </w:r>
    </w:p>
    <w:p>
      <w:pPr>
        <w:pStyle w:val="ListParagraph"/>
        <w:numPr>
          <w:ilvl w:val="1"/>
          <w:numId w:val="2"/>
        </w:numPr>
        <w:spacing w:after="40" w:line="264"/>
      </w:pPr>
      <w:r>
        <w:rPr>
          <w:b w:val="false"/>
          <w:bCs w:val="false"/>
        </w:rPr>
        <w:t xml:space="preserve">WELS Grade 1 showerheads.</w:t>
      </w:r>
    </w:p>
    <w:p>
      <w:pPr>
        <w:spacing w:after="80" w:before="40" w:line="264"/>
        <w:ind w:left="400"/>
      </w:pPr>
      <w:r>
        <w:rPr>
          <w:b w:val="false"/>
          <w:bCs w:val="false"/>
        </w:rPr>
        <w:t xml:space="preserve">They save about 1,118 kWh/yr at the facility level, with paybacks of 0.6 to 3.2 years.</w:t>
      </w:r>
    </w:p>
    <w:p>
      <w:pPr>
        <w:pStyle w:val="ListParagraph"/>
        <w:numPr>
          <w:ilvl w:val="0"/>
          <w:numId w:val="2"/>
        </w:numPr>
        <w:spacing w:after="60" w:line="264"/>
      </w:pPr>
      <w:r>
        <w:rPr>
          <w:b w:val="false"/>
          <w:bCs w:val="false"/>
        </w:rPr>
        <w:t xml:space="preserve">Treat central heat-pump water heating and more rooftop PV as </w:t>
      </w:r>
      <w:r>
        <w:rPr>
          <w:b/>
          <w:bCs/>
        </w:rPr>
        <w:t xml:space="preserve">Category III</w:t>
      </w:r>
      <w:r>
        <w:rPr>
          <w:b w:val="false"/>
          <w:bCs w:val="false"/>
        </w:rPr>
        <w:t xml:space="preserve"> feasibility studies. Replacing the window AC is </w:t>
      </w:r>
      <w:r>
        <w:rPr>
          <w:b/>
          <w:bCs/>
        </w:rPr>
        <w:t xml:space="preserve">not viable</w:t>
      </w:r>
      <w:r>
        <w:rPr>
          <w:b w:val="false"/>
          <w:bCs w:val="false"/>
        </w:rPr>
        <w:t xml:space="preserve">: its payback of 20.9 years exceeds the 12-year service life.</w:t>
      </w:r>
    </w:p>
    <w:p>
      <w:pPr>
        <w:pStyle w:val="ListParagraph"/>
        <w:numPr>
          <w:ilvl w:val="0"/>
          <w:numId w:val="2"/>
        </w:numPr>
        <w:spacing w:after="60" w:line="264"/>
      </w:pPr>
      <w:r>
        <w:rPr>
          <w:b w:val="false"/>
          <w:bCs w:val="false"/>
        </w:rPr>
        <w:t xml:space="preserve">Buy a plug-in power meter (about HK$120, within the HK$200 budget) and keep weekly Octopus readings so that the savings can be verified (EAC §7.6.3).</w:t>
      </w:r>
    </w:p>
    <w:p>
      <w:pPr>
        <w:keepNext/>
        <w:spacing w:after="80" w:before="160"/>
      </w:pPr>
      <w:r>
        <w:rPr>
          <w:b/>
          <w:bCs/>
          <w:color w:val="1F3864"/>
          <w:sz w:val="18"/>
          <w:szCs w:val="18"/>
        </w:rPr>
        <w:t xml:space="preserve">Table ES.2: Items required in an executive summary by EAC §8.2</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5712"/>
        <w:gridCol w:w="900"/>
      </w:tblGrid>
      <w:tr>
        <w:trPr>
          <w:tblHeader/>
        </w:trPr>
        <w:tc>
          <w:tcPr>
            <w:tcW w:type="dxa" w:w="28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EAC §8.1 item</w:t>
            </w:r>
          </w:p>
        </w:tc>
        <w:tc>
          <w:tcPr>
            <w:tcW w:type="dxa" w:w="57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Summary</w:t>
            </w:r>
          </w:p>
        </w:tc>
        <w:tc>
          <w:tcPr>
            <w:tcW w:type="dxa" w:w="9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Section</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(b) Building characteristics</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Student-hostel room, 10/F, 15 m², 2 occupants (7.5 m²/person), occupied 103 h/week; MiC building opened 2024</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4</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(e)(i) AC cooling capacity and condenser cooling</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Window unit 3.34 kW (11,400 Btu/h), air-cooled, inverter, R32; kitchen split unit 7.0 kW, air-cooled, R410A</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5.1</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(e)(ii) Heat pump heating capacity</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Not applicable (no space heating; cooling-only units)</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5.1</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(f) Total lighting power</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60 W in the room (4.0 W/m²)</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5.2</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(g)(ii) EUI</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292.7 MJ/m²/yr (room); past 2nd/3rd 12-month periods not applicable</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6.6</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(g)(iii) Monthly EUI</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16.1-32.2 MJ/m²/month (cool vs hot months)</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6.5</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(g)(iv) Breakdown</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Room: AC 73.7%, lighting 9.6%, others 16.8%, lift &amp; escalator 0%</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6.4</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(h) Supply from shared services</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52.8% of household electricity</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6.7</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(l)(i) EMO categories</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8 Category I, 6 Category II, 4 Category III</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9</w:t>
            </w:r>
          </w:p>
        </w:tc>
      </w:tr>
      <w:tr>
        <w:trPr>
          <w:cantSplit/>
        </w:trPr>
        <w:tc>
          <w:tcPr>
            <w:tcW w:type="dxa" w:w="2800"/>
            <w:tcMar>
              <w:top w:type="dxa" w:w="50"/>
              <w:left w:type="dxa" w:w="90"/>
              <w:bottom w:type="dxa" w:w="50"/>
              <w:right w:type="dxa" w:w="90"/>
            </w:tcMar>
            <w:vAlign w:val="center"/>
          </w:tcPr>
          <w:p>
            <w:pPr>
              <w:spacing w:after="0" w:line="240"/>
              <w:jc w:val="left"/>
            </w:pPr>
            <w:r>
              <w:rPr>
                <w:b w:val="false"/>
                <w:bCs w:val="false"/>
                <w:sz w:val="16"/>
                <w:szCs w:val="16"/>
              </w:rPr>
              <w:t xml:space="preserve">(m) Administrative information</w:t>
            </w:r>
          </w:p>
        </w:tc>
        <w:tc>
          <w:tcPr>
            <w:tcW w:type="dxa" w:w="5712"/>
            <w:tcMar>
              <w:top w:type="dxa" w:w="50"/>
              <w:left w:type="dxa" w:w="90"/>
              <w:bottom w:type="dxa" w:w="50"/>
              <w:right w:type="dxa" w:w="90"/>
            </w:tcMar>
            <w:vAlign w:val="center"/>
          </w:tcPr>
          <w:p>
            <w:pPr>
              <w:spacing w:after="0" w:line="240"/>
              <w:jc w:val="left"/>
            </w:pPr>
            <w:r>
              <w:rPr>
                <w:b w:val="false"/>
                <w:bCs w:val="false"/>
                <w:sz w:val="16"/>
                <w:szCs w:val="16"/>
              </w:rPr>
              <w:t xml:space="preserve">Cover page and Table 1.1</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1</w:t>
            </w:r>
          </w:p>
        </w:tc>
      </w:tr>
    </w:tbl>
    <w:p>
      <w:pPr>
        <w:pStyle w:val="Heading1"/>
        <w:pageBreakBefore/>
      </w:pPr>
      <w:r>
        <w:rPr>
          <w:b w:val="false"/>
          <w:bCs w:val="false"/>
        </w:rPr>
        <w:t xml:space="preserve">1  Introduction</w:t>
      </w:r>
    </w:p>
    <w:p>
      <w:pPr>
        <w:pStyle w:val="Heading2"/>
      </w:pPr>
      <w:r>
        <w:rPr>
          <w:b w:val="false"/>
          <w:bCs w:val="false"/>
        </w:rPr>
        <w:t xml:space="preserve">1.1  Background</w:t>
      </w:r>
    </w:p>
    <w:p>
      <w:pPr>
        <w:spacing w:after="120" w:before="0" w:line="276"/>
        <w:jc w:val="both"/>
      </w:pPr>
      <w:r>
        <w:rPr>
          <w:b w:val="false"/>
          <w:bCs w:val="false"/>
        </w:rPr>
        <w:t xml:space="preserve">Buildings account for about 90% of Hong Kong's electricity consumption [30]. Electricity generation produced 61% of the territory's greenhouse-gas emissions in 2023, when per-capita emissions were about 4.58 t </w:t>
      </w:r>
      <w:r>
        <w:rPr>
          <w:b w:val="false"/>
          <w:bCs w:val="false"/>
        </w:rPr>
        <w:t xml:space="preserve">CO</w:t>
      </w:r>
      <w:r>
        <w:rPr>
          <w:b w:val="false"/>
          <w:bCs w:val="false"/>
          <w:vertAlign w:val="subscript"/>
        </w:rPr>
        <w:t xml:space="preserve">2</w:t>
      </w:r>
      <w:r>
        <w:rPr>
          <w:b w:val="false"/>
          <w:bCs w:val="false"/>
        </w:rPr>
        <w:t xml:space="preserve">e [10]. Hong Kong's Climate Action Plan 2050 targets carbon neutrality before 2050. It also aims to cut electricity use in residential buildings by 20-30% from 2015 levels by 2050, with half of that reduction by 2035 [31]. Homes are therefore a useful place to practise the audit discipline that the Buildings Energy Efficiency Ordinance (Cap. 610) requires of commercial buildings. A home is small enough to inventory completely, yet it already raises the problems of a corporate audit: boundaries, shared services, missing meters and choice of emission factors.</w:t>
      </w:r>
    </w:p>
    <w:p>
      <w:pPr>
        <w:pStyle w:val="Heading2"/>
      </w:pPr>
      <w:r>
        <w:rPr>
          <w:b w:val="false"/>
          <w:bCs w:val="false"/>
        </w:rPr>
        <w:t xml:space="preserve">1.2  Objectives</w:t>
      </w:r>
    </w:p>
    <w:p>
      <w:pPr>
        <w:pStyle w:val="ListParagraph"/>
        <w:numPr>
          <w:ilvl w:val="0"/>
          <w:numId w:val="3"/>
        </w:numPr>
        <w:spacing w:after="60" w:line="264"/>
      </w:pPr>
      <w:r>
        <w:rPr>
          <w:b w:val="false"/>
          <w:bCs w:val="false"/>
        </w:rPr>
        <w:t xml:space="preserve">Establish an energy baseline for the home (annual and monthly, by end-use and by space).</w:t>
      </w:r>
    </w:p>
    <w:p>
      <w:pPr>
        <w:pStyle w:val="ListParagraph"/>
        <w:numPr>
          <w:ilvl w:val="0"/>
          <w:numId w:val="3"/>
        </w:numPr>
        <w:spacing w:after="60" w:line="264"/>
      </w:pPr>
      <w:r>
        <w:rPr>
          <w:b w:val="false"/>
          <w:bCs w:val="false"/>
        </w:rPr>
        <w:t xml:space="preserve">Identify consumption patterns: seasonal, behavioural and spatial (room versus shared facilities).</w:t>
      </w:r>
    </w:p>
    <w:p>
      <w:pPr>
        <w:pStyle w:val="ListParagraph"/>
        <w:numPr>
          <w:ilvl w:val="0"/>
          <w:numId w:val="3"/>
        </w:numPr>
        <w:spacing w:after="60" w:line="264"/>
      </w:pPr>
      <w:r>
        <w:rPr>
          <w:b w:val="false"/>
          <w:bCs w:val="false"/>
        </w:rPr>
        <w:t xml:space="preserve">Quantify Scope 1, 2 and 3 greenhouse-gas emissions using the Hong Kong building guidelines [2].</w:t>
      </w:r>
    </w:p>
    <w:p>
      <w:pPr>
        <w:pStyle w:val="ListParagraph"/>
        <w:numPr>
          <w:ilvl w:val="0"/>
          <w:numId w:val="3"/>
        </w:numPr>
        <w:spacing w:after="60" w:line="264"/>
      </w:pPr>
      <w:r>
        <w:rPr>
          <w:b w:val="false"/>
          <w:bCs w:val="false"/>
        </w:rPr>
        <w:t xml:space="preserve">Identify, categorise (Category I/II/III) and cost Energy Management Opportunities [1].</w:t>
      </w:r>
    </w:p>
    <w:p>
      <w:pPr>
        <w:pStyle w:val="ListParagraph"/>
        <w:numPr>
          <w:ilvl w:val="0"/>
          <w:numId w:val="3"/>
        </w:numPr>
        <w:spacing w:after="60" w:line="264"/>
      </w:pPr>
      <w:r>
        <w:rPr>
          <w:b w:val="false"/>
          <w:bCs w:val="false"/>
        </w:rPr>
        <w:t xml:space="preserve">Draw lessons for the forthcoming corporate carbon audit.</w:t>
      </w:r>
    </w:p>
    <w:p>
      <w:pPr>
        <w:pStyle w:val="Heading2"/>
      </w:pPr>
      <w:r>
        <w:rPr>
          <w:b w:val="false"/>
          <w:bCs w:val="false"/>
        </w:rPr>
        <w:t xml:space="preserve">1.3  Administrative information</w:t>
      </w:r>
    </w:p>
    <w:p>
      <w:pPr>
        <w:keepNext/>
        <w:spacing w:after="80" w:before="160"/>
      </w:pPr>
      <w:r>
        <w:rPr>
          <w:b/>
          <w:bCs/>
          <w:color w:val="1F3864"/>
          <w:sz w:val="18"/>
          <w:szCs w:val="18"/>
        </w:rPr>
        <w:t xml:space="preserve">Table 1.1: Administrative information (EAC §8.1(m))</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812"/>
      </w:tblGrid>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Building</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Hall 13, CityU Lee Shau Kee Student Residence Village (opened Q3 2024) [15]</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Audited unit</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Room 1003B, 10/F - twin room, 2 occupants</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Address / location</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Ma On Shan, New Territories, Hong Kong; 22°26'0" N, 114°14'32" E (44 m elevation, phone compass)</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Electricity supplier</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CLP Power Hong Kong Ltd (room AC pre-paid by Octopus card)</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Auditor</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Jayash Sahu (SEE8115); occupant of the room</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Audit commenced / completed</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01/01/2026 / 11/10/2026</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Energy bill reference month</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September 2026: 1-30 September 2026 (no utility bill; Octopus pre-paid AC). Completion is within the 6 months that EAC §8.1(m) allows</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Registered Energy Assessor</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Not applicable: voluntary student audit, not submitted under Cap. 610</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Previous energy audit (§8.1(k))</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None; this is the first audit of the room</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Report reference</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SEE8115-HEA-2026-01</w:t>
            </w:r>
          </w:p>
        </w:tc>
      </w:tr>
    </w:tbl>
    <w:p>
      <w:pPr>
        <w:pStyle w:val="Heading2"/>
      </w:pPr>
      <w:r>
        <w:rPr>
          <w:b w:val="false"/>
          <w:bCs w:val="false"/>
        </w:rPr>
        <w:t xml:space="preserve">1.4  Scope of the audit (EAC §8.1(a))</w:t>
      </w:r>
    </w:p>
    <w:p>
      <w:pPr>
        <w:spacing w:after="40" w:before="0" w:line="276"/>
        <w:jc w:val="both"/>
      </w:pPr>
      <w:r>
        <w:rPr>
          <w:b/>
          <w:bCs/>
        </w:rPr>
        <w:t xml:space="preserve">Installations audited:</w:t>
      </w:r>
    </w:p>
    <w:p>
      <w:pPr>
        <w:pStyle w:val="ListParagraph"/>
        <w:numPr>
          <w:ilvl w:val="0"/>
          <w:numId w:val="2"/>
        </w:numPr>
        <w:spacing w:after="60" w:line="264"/>
      </w:pPr>
      <w:r>
        <w:rPr>
          <w:b w:val="false"/>
          <w:bCs w:val="false"/>
        </w:rPr>
        <w:t xml:space="preserve">room window AC, LED lighting, desk fan, laptops and phone chargers;</w:t>
      </w:r>
    </w:p>
    <w:p>
      <w:pPr>
        <w:pStyle w:val="ListParagraph"/>
        <w:numPr>
          <w:ilvl w:val="0"/>
          <w:numId w:val="2"/>
        </w:numPr>
        <w:spacing w:after="60" w:line="264"/>
      </w:pPr>
      <w:r>
        <w:rPr>
          <w:b w:val="false"/>
          <w:bCs w:val="false"/>
        </w:rPr>
        <w:t xml:space="preserve">shared washroom instantaneous water heater, exhaust fan and sensor lighting;</w:t>
      </w:r>
    </w:p>
    <w:p>
      <w:pPr>
        <w:pStyle w:val="ListParagraph"/>
        <w:numPr>
          <w:ilvl w:val="0"/>
          <w:numId w:val="2"/>
        </w:numPr>
        <w:spacing w:after="60" w:line="264"/>
      </w:pPr>
      <w:r>
        <w:rPr>
          <w:b w:val="false"/>
          <w:bCs w:val="false"/>
        </w:rPr>
        <w:t xml:space="preserve">shared-kitchen refrigerators, water dispenser, split AC, lighting, induction hobs and microwave;</w:t>
      </w:r>
    </w:p>
    <w:p>
      <w:pPr>
        <w:pStyle w:val="ListParagraph"/>
        <w:numPr>
          <w:ilvl w:val="0"/>
          <w:numId w:val="2"/>
        </w:numPr>
        <w:spacing w:after="60" w:line="264"/>
      </w:pPr>
      <w:r>
        <w:rPr>
          <w:b w:val="false"/>
          <w:bCs w:val="false"/>
        </w:rPr>
        <w:t xml:space="preserve">hall laundry washer and dryer.</w:t>
      </w:r>
    </w:p>
    <w:p>
      <w:pPr>
        <w:spacing w:after="40" w:before="0" w:line="276"/>
        <w:jc w:val="both"/>
      </w:pPr>
      <w:r>
        <w:rPr>
          <w:b/>
          <w:bCs/>
        </w:rPr>
        <w:t xml:space="preserve">Not audited:</w:t>
      </w:r>
    </w:p>
    <w:p>
      <w:pPr>
        <w:pStyle w:val="ListParagraph"/>
        <w:numPr>
          <w:ilvl w:val="0"/>
          <w:numId w:val="2"/>
        </w:numPr>
        <w:spacing w:after="60" w:line="264"/>
      </w:pPr>
      <w:r>
        <w:rPr>
          <w:b w:val="false"/>
          <w:bCs w:val="false"/>
        </w:rPr>
        <w:t xml:space="preserve">hall common services: lifts, corridors, lobbies and central plant;</w:t>
      </w:r>
    </w:p>
    <w:p>
      <w:pPr>
        <w:pStyle w:val="ListParagraph"/>
        <w:numPr>
          <w:ilvl w:val="0"/>
          <w:numId w:val="2"/>
        </w:numPr>
        <w:spacing w:after="60" w:line="264"/>
      </w:pPr>
      <w:r>
        <w:rPr>
          <w:b w:val="false"/>
          <w:bCs w:val="false"/>
        </w:rPr>
        <w:t xml:space="preserve">the building envelope beyond the room's window;</w:t>
      </w:r>
    </w:p>
    <w:p>
      <w:pPr>
        <w:pStyle w:val="ListParagraph"/>
        <w:numPr>
          <w:ilvl w:val="0"/>
          <w:numId w:val="2"/>
        </w:numPr>
        <w:spacing w:after="60" w:line="264"/>
      </w:pPr>
      <w:r>
        <w:rPr>
          <w:b w:val="false"/>
          <w:bCs w:val="false"/>
        </w:rPr>
        <w:t xml:space="preserve">other residents' personal use.</w:t>
      </w:r>
    </w:p>
    <w:p>
      <w:pPr>
        <w:spacing w:after="40" w:before="0" w:line="276"/>
        <w:jc w:val="both"/>
      </w:pPr>
      <w:r>
        <w:rPr>
          <w:b/>
          <w:bCs/>
        </w:rPr>
        <w:t xml:space="preserve">Assumptions and estimating methods</w:t>
      </w:r>
      <w:r>
        <w:rPr>
          <w:b w:val="false"/>
          <w:bCs w:val="false"/>
        </w:rPr>
        <w:t xml:space="preserve"> (detailed in Section 2 and Appendix C):</w:t>
      </w:r>
    </w:p>
    <w:p>
      <w:pPr>
        <w:pStyle w:val="ListParagraph"/>
        <w:numPr>
          <w:ilvl w:val="0"/>
          <w:numId w:val="2"/>
        </w:numPr>
        <w:spacing w:after="60" w:line="264"/>
      </w:pPr>
      <w:r>
        <w:rPr>
          <w:b w:val="false"/>
          <w:bCs w:val="false"/>
        </w:rPr>
        <w:t xml:space="preserve">room AC energy is taken from the reported Octopus spend divided by the CLP 2026 average tariff, and checked against the HK Energy Label;</w:t>
      </w:r>
    </w:p>
    <w:p>
      <w:pPr>
        <w:pStyle w:val="ListParagraph"/>
        <w:numPr>
          <w:ilvl w:val="0"/>
          <w:numId w:val="2"/>
        </w:numPr>
        <w:spacing w:after="60" w:line="264"/>
      </w:pPr>
      <w:r>
        <w:rPr>
          <w:b w:val="false"/>
          <w:bCs w:val="false"/>
        </w:rPr>
        <w:t xml:space="preserve">other loads are rated power × reported hours;</w:t>
      </w:r>
    </w:p>
    <w:p>
      <w:pPr>
        <w:pStyle w:val="ListParagraph"/>
        <w:numPr>
          <w:ilvl w:val="0"/>
          <w:numId w:val="2"/>
        </w:numPr>
        <w:spacing w:after="60" w:line="264"/>
      </w:pPr>
      <w:r>
        <w:rPr>
          <w:b w:val="false"/>
          <w:bCs w:val="false"/>
        </w:rPr>
        <w:t xml:space="preserve">shower energy is calculated from first principles;</w:t>
      </w:r>
    </w:p>
    <w:p>
      <w:pPr>
        <w:pStyle w:val="ListParagraph"/>
        <w:numPr>
          <w:ilvl w:val="0"/>
          <w:numId w:val="2"/>
        </w:numPr>
        <w:spacing w:after="60" w:line="264"/>
      </w:pPr>
      <w:r>
        <w:rPr>
          <w:b w:val="false"/>
          <w:bCs w:val="false"/>
        </w:rPr>
        <w:t xml:space="preserve">shared fixed loads are allocated per user;</w:t>
      </w:r>
    </w:p>
    <w:p>
      <w:pPr>
        <w:pStyle w:val="ListParagraph"/>
        <w:numPr>
          <w:ilvl w:val="0"/>
          <w:numId w:val="2"/>
        </w:numPr>
        <w:spacing w:after="60" w:line="264"/>
      </w:pPr>
      <w:r>
        <w:rPr>
          <w:b w:val="false"/>
          <w:bCs w:val="false"/>
        </w:rPr>
        <w:t xml:space="preserve">the roommate's personal loads are assumed equal to the auditor's.</w:t>
      </w:r>
    </w:p>
    <w:p>
      <w:pPr>
        <w:pStyle w:val="Heading2"/>
      </w:pPr>
      <w:r>
        <w:rPr>
          <w:b w:val="false"/>
          <w:bCs w:val="false"/>
        </w:rPr>
        <w:t xml:space="preserve">1.5  Regulatory and methodological basis</w:t>
      </w:r>
    </w:p>
    <w:p>
      <w:pPr>
        <w:spacing w:after="120" w:before="0" w:line="276"/>
        <w:jc w:val="both"/>
      </w:pPr>
      <w:r>
        <w:rPr>
          <w:b w:val="false"/>
          <w:bCs w:val="false"/>
        </w:rPr>
        <w:t xml:space="preserve">The EAC 2018 [1] defines the audit steps (§7), the EMO categories (§6.2) and the content of an audit report (§8). Under Cap. 610, energy audits are mandatory only for commercial buildings and the commercial portions of composite buildings; the EE-EAes form lists only these building types [3]. A student hostel is not a prescribed building, so this audit applies the Code voluntarily. Emissions follow the EPD/EMSD Guidelines [2], which require Scope 1 and 2 reporting, make Scope 3 optional, and require electricity to be reported with both the territory-wide default and the power company's own factor.</w:t>
      </w:r>
    </w:p>
    <w:p>
      <w:pPr>
        <w:spacing w:after="120" w:before="0" w:line="276"/>
        <w:jc w:val="both"/>
      </w:pPr>
      <w:r>
        <w:rPr>
          <w:b w:val="false"/>
          <w:bCs w:val="false"/>
        </w:rPr>
        <w:t xml:space="preserve">The course's Penn State Home Energy Audit Tool [4] was used as the room-by-room data-collection template; a completed copy accompanies this report. Equipment efficiency is assessed against the EMSD Mandatory Energy Efficiency Labelling Scheme [9] and lighting against the Building Energy Code [24].</w:t>
      </w:r>
    </w:p>
    <w:p>
      <w:pPr>
        <w:pStyle w:val="Heading1"/>
        <w:pageBreakBefore/>
      </w:pPr>
      <w:r>
        <w:rPr>
          <w:b w:val="false"/>
          <w:bCs w:val="false"/>
        </w:rPr>
        <w:t xml:space="preserve">2  Audit methodology</w:t>
      </w:r>
    </w:p>
    <w:p>
      <w:pPr>
        <w:pStyle w:val="Heading2"/>
      </w:pPr>
      <w:r>
        <w:rPr>
          <w:b w:val="false"/>
          <w:bCs w:val="false"/>
        </w:rPr>
        <w:t xml:space="preserve">2.1  The six EAC steps applied to a home</w:t>
      </w:r>
    </w:p>
    <w:p>
      <w:pPr>
        <w:keepNext/>
        <w:spacing w:after="80" w:before="160"/>
      </w:pPr>
      <w:r>
        <w:rPr>
          <w:b/>
          <w:bCs/>
          <w:color w:val="1F3864"/>
          <w:sz w:val="18"/>
          <w:szCs w:val="18"/>
        </w:rPr>
        <w:t xml:space="preserve">Table 2.1: How each EAC 2018 step was carried out</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900"/>
        <w:gridCol w:w="4212"/>
      </w:tblGrid>
      <w:tr>
        <w:trPr>
          <w:tblHeader/>
        </w:trPr>
        <w:tc>
          <w:tcPr>
            <w:tcW w:type="dxa" w:w="23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EAC step</w:t>
            </w:r>
          </w:p>
        </w:tc>
        <w:tc>
          <w:tcPr>
            <w:tcW w:type="dxa" w:w="29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Requirement</w:t>
            </w:r>
          </w:p>
        </w:tc>
        <w:tc>
          <w:tcPr>
            <w:tcW w:type="dxa" w:w="42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How it was applied in this audit</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16"/>
                <w:szCs w:val="16"/>
              </w:rPr>
              <w:t xml:space="preserve">1 Building information (§7.2)</w:t>
            </w:r>
          </w:p>
        </w:tc>
        <w:tc>
          <w:tcPr>
            <w:tcW w:type="dxa" w:w="2900"/>
            <w:tcMar>
              <w:top w:type="dxa" w:w="50"/>
              <w:left w:type="dxa" w:w="90"/>
              <w:bottom w:type="dxa" w:w="50"/>
              <w:right w:type="dxa" w:w="90"/>
            </w:tcMar>
            <w:vAlign w:val="center"/>
          </w:tcPr>
          <w:p>
            <w:pPr>
              <w:spacing w:after="0" w:line="240"/>
              <w:jc w:val="left"/>
            </w:pPr>
            <w:r>
              <w:rPr>
                <w:b w:val="false"/>
                <w:bCs w:val="false"/>
                <w:sz w:val="16"/>
                <w:szCs w:val="16"/>
              </w:rPr>
              <w:t xml:space="preserve">Inventories, drawings, operating records, 36-month energy data</w:t>
            </w:r>
          </w:p>
        </w:tc>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48-question occupant questionnaire; 26 photographs of nameplates, labels and spaces; CityU building information [15]; HKO climate normals [8]</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16"/>
                <w:szCs w:val="16"/>
              </w:rPr>
              <w:t xml:space="preserve">2 Review of energy-consuming equipment (§7.3)</w:t>
            </w:r>
          </w:p>
        </w:tc>
        <w:tc>
          <w:tcPr>
            <w:tcW w:type="dxa" w:w="2900"/>
            <w:tcMar>
              <w:top w:type="dxa" w:w="50"/>
              <w:left w:type="dxa" w:w="90"/>
              <w:bottom w:type="dxa" w:w="50"/>
              <w:right w:type="dxa" w:w="90"/>
            </w:tcMar>
            <w:vAlign w:val="center"/>
          </w:tcPr>
          <w:p>
            <w:pPr>
              <w:spacing w:after="0" w:line="240"/>
              <w:jc w:val="left"/>
            </w:pPr>
            <w:r>
              <w:rPr>
                <w:b w:val="false"/>
                <w:bCs w:val="false"/>
                <w:sz w:val="16"/>
                <w:szCs w:val="16"/>
              </w:rPr>
              <w:t xml:space="preserve">Site inspection; record equipment characteristics (§7.3.1); calculate power and energy from ratings and operating records, or measure (§7.3.2)</w:t>
            </w:r>
          </w:p>
        </w:tc>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Walk-through of room, washroom and kitchen; equipment inventory (Table 5.1); Octopus AC spend; label-based and first-principles calculations</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16"/>
                <w:szCs w:val="16"/>
              </w:rPr>
              <w:t xml:space="preserve">3 Identify EMOs (§7.4)</w:t>
            </w:r>
          </w:p>
        </w:tc>
        <w:tc>
          <w:tcPr>
            <w:tcW w:type="dxa" w:w="2900"/>
            <w:tcMar>
              <w:top w:type="dxa" w:w="50"/>
              <w:left w:type="dxa" w:w="90"/>
              <w:bottom w:type="dxa" w:w="50"/>
              <w:right w:type="dxa" w:w="90"/>
            </w:tcMar>
            <w:vAlign w:val="center"/>
          </w:tcPr>
          <w:p>
            <w:pPr>
              <w:spacing w:after="0" w:line="240"/>
              <w:jc w:val="left"/>
            </w:pPr>
            <w:r>
              <w:rPr>
                <w:b w:val="false"/>
                <w:bCs w:val="false"/>
                <w:sz w:val="16"/>
                <w:szCs w:val="16"/>
              </w:rPr>
              <w:t xml:space="preserve">Evaluate AC, LPD, EUI; maintenance, set-points, behaviour, schedules</w:t>
            </w:r>
          </w:p>
        </w:tc>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Benchmarks (EUI, LPD, water, per-capita use); 12 walk-through findings (Section 8)</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16"/>
                <w:szCs w:val="16"/>
              </w:rPr>
              <w:t xml:space="preserve">4 Cost-benefit (§7.5)</w:t>
            </w:r>
          </w:p>
        </w:tc>
        <w:tc>
          <w:tcPr>
            <w:tcW w:type="dxa" w:w="2900"/>
            <w:tcMar>
              <w:top w:type="dxa" w:w="50"/>
              <w:left w:type="dxa" w:w="90"/>
              <w:bottom w:type="dxa" w:w="50"/>
              <w:right w:type="dxa" w:w="90"/>
            </w:tcMar>
            <w:vAlign w:val="center"/>
          </w:tcPr>
          <w:p>
            <w:pPr>
              <w:spacing w:after="0" w:line="240"/>
              <w:jc w:val="left"/>
            </w:pPr>
            <w:r>
              <w:rPr>
                <w:b w:val="false"/>
                <w:bCs w:val="false"/>
                <w:sz w:val="16"/>
                <w:szCs w:val="16"/>
              </w:rPr>
              <w:t xml:space="preserve">Savings, costs, service life, energy price</w:t>
            </w:r>
          </w:p>
        </w:tc>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HK$1.406/kWh; indicative costs; simple payback compared with service life</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16"/>
                <w:szCs w:val="16"/>
              </w:rPr>
              <w:t xml:space="preserve">5 Recommendations (§7.6)</w:t>
            </w:r>
          </w:p>
        </w:tc>
        <w:tc>
          <w:tcPr>
            <w:tcW w:type="dxa" w:w="2900"/>
            <w:tcMar>
              <w:top w:type="dxa" w:w="50"/>
              <w:left w:type="dxa" w:w="90"/>
              <w:bottom w:type="dxa" w:w="50"/>
              <w:right w:type="dxa" w:w="90"/>
            </w:tcMar>
            <w:vAlign w:val="center"/>
          </w:tcPr>
          <w:p>
            <w:pPr>
              <w:spacing w:after="0" w:line="240"/>
              <w:jc w:val="left"/>
            </w:pPr>
            <w:r>
              <w:rPr>
                <w:b w:val="false"/>
                <w:bCs w:val="false"/>
                <w:sz w:val="16"/>
                <w:szCs w:val="16"/>
              </w:rPr>
              <w:t xml:space="preserve">Implementation, M&amp;V, further studies</w:t>
            </w:r>
          </w:p>
        </w:tc>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Action plan, metering plan and memo to hall management (Section 10)</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16"/>
                <w:szCs w:val="16"/>
              </w:rPr>
              <w:t xml:space="preserve">6 Report (§7.7, §8)</w:t>
            </w:r>
          </w:p>
        </w:tc>
        <w:tc>
          <w:tcPr>
            <w:tcW w:type="dxa" w:w="2900"/>
            <w:tcMar>
              <w:top w:type="dxa" w:w="50"/>
              <w:left w:type="dxa" w:w="90"/>
              <w:bottom w:type="dxa" w:w="50"/>
              <w:right w:type="dxa" w:w="90"/>
            </w:tcMar>
            <w:vAlign w:val="center"/>
          </w:tcPr>
          <w:p>
            <w:pPr>
              <w:spacing w:after="0" w:line="240"/>
              <w:jc w:val="left"/>
            </w:pPr>
            <w:r>
              <w:rPr>
                <w:b w:val="false"/>
                <w:bCs w:val="false"/>
                <w:sz w:val="16"/>
                <w:szCs w:val="16"/>
              </w:rPr>
              <w:t xml:space="preserve">Report and executive summary</w:t>
            </w:r>
          </w:p>
        </w:tc>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This report; Excel workbook (live formulas); completed Penn State tool; EE-EAes summary</w:t>
            </w:r>
          </w:p>
        </w:tc>
      </w:tr>
    </w:tbl>
    <w:p>
      <w:pPr>
        <w:pStyle w:val="Heading2"/>
      </w:pPr>
      <w:r>
        <w:rPr>
          <w:b w:val="false"/>
          <w:bCs w:val="false"/>
        </w:rPr>
        <w:t xml:space="preserve">2.2  Calculation methods</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9412"/>
      </w:tblGrid>
      <w:tr>
        <w:tc>
          <w:tcPr>
            <w:tcW w:type="dxa" w:w="9412"/>
            <w:shd w:fill="F2F6FB" w:color="auto" w:val="clear"/>
            <w:tcMar>
              <w:top w:type="dxa" w:w="100"/>
              <w:left w:type="dxa" w:w="140"/>
              <w:bottom w:type="dxa" w:w="60"/>
              <w:right w:type="dxa" w:w="140"/>
            </w:tcMar>
          </w:tcPr>
          <w:p>
            <w:pPr>
              <w:spacing w:after="60" w:line="252"/>
            </w:pPr>
            <w:r>
              <w:rPr>
                <w:b/>
                <w:bCs/>
                <w:sz w:val="18"/>
                <w:szCs w:val="18"/>
              </w:rPr>
              <w:t xml:space="preserve">(1) Appliance energy:</w:t>
            </w:r>
            <w:r>
              <w:rPr>
                <w:b w:val="false"/>
                <w:bCs w:val="false"/>
                <w:sz w:val="18"/>
                <w:szCs w:val="18"/>
              </w:rPr>
              <w:t xml:space="preserve"> E = P × LF × h × d × n ÷ 1000 (kWh/yr). P is rated power (W), LF the load factor, h hours per day, d days per year and n the quantity.</w:t>
            </w:r>
          </w:p>
          <w:p>
            <w:pPr>
              <w:spacing w:after="60" w:line="252"/>
            </w:pPr>
            <w:r>
              <w:rPr>
                <w:b/>
                <w:bCs/>
                <w:sz w:val="18"/>
                <w:szCs w:val="18"/>
              </w:rPr>
              <w:t xml:space="preserve">(2) AC, top-down:</w:t>
            </w:r>
            <w:r>
              <w:rPr>
                <w:b w:val="false"/>
                <w:bCs w:val="false"/>
                <w:sz w:val="18"/>
                <w:szCs w:val="18"/>
              </w:rPr>
              <w:t xml:space="preserve"> E = Σ (monthly Octopus spend) ÷ tariff. The spend is HK$140 in May-Oct and HK$50 in Nov-Apr; the tariff is HK$1.406/kWh (CLP 2026 average net tariff) [6].</w:t>
            </w:r>
          </w:p>
          <w:p>
            <w:pPr>
              <w:spacing w:after="60" w:line="252"/>
            </w:pPr>
            <w:r>
              <w:rPr>
                <w:b/>
                <w:bCs/>
                <w:sz w:val="18"/>
                <w:szCs w:val="18"/>
              </w:rPr>
              <w:t xml:space="preserve">(3) AC, bottom-up:</w:t>
            </w:r>
            <w:r>
              <w:rPr>
                <w:b w:val="false"/>
                <w:bCs w:val="false"/>
                <w:sz w:val="18"/>
                <w:szCs w:val="18"/>
              </w:rPr>
              <w:t xml:space="preserve"> E = (label kWh ÷ 1,200 h) × Σ operating hours. The HK label states annual consumption for 1,200 h of operation [9].</w:t>
            </w:r>
          </w:p>
          <w:p>
            <w:pPr>
              <w:spacing w:after="60" w:line="252"/>
            </w:pPr>
            <w:r>
              <w:rPr>
                <w:b/>
                <w:bCs/>
                <w:sz w:val="18"/>
                <w:szCs w:val="18"/>
              </w:rPr>
              <w:t xml:space="preserve">(4) Shower water heating:</w:t>
            </w:r>
            <w:r>
              <w:rPr>
                <w:b w:val="false"/>
                <w:bCs w:val="false"/>
                <w:sz w:val="18"/>
                <w:szCs w:val="18"/>
              </w:rPr>
              <w:t xml:space="preserve"> E = V × cₚ × (T_shower − T_inlet) ÷ (3,600 × η). V is litres (1 L = 1 kg) and cₚ = 4.186 kJ/kg·K; T_inlet is the HKO monthly mean air temperature.</w:t>
            </w:r>
          </w:p>
          <w:p>
            <w:pPr>
              <w:spacing w:after="60" w:line="252"/>
            </w:pPr>
            <w:r>
              <w:rPr>
                <w:b/>
                <w:bCs/>
                <w:sz w:val="18"/>
                <w:szCs w:val="18"/>
              </w:rPr>
              <w:t xml:space="preserve">(5) Allocation:</w:t>
            </w:r>
            <w:r>
              <w:rPr>
                <w:b w:val="false"/>
                <w:bCs w:val="false"/>
                <w:sz w:val="18"/>
                <w:szCs w:val="18"/>
              </w:rPr>
              <w:t xml:space="preserve"> E_household = Σ E_item × share. Room items count at 1; washroom fixed loads at 2/4; kitchen fixed loads at 2/32; showers, cooking and laundry at the household's own use.</w:t>
            </w:r>
          </w:p>
          <w:p>
            <w:pPr>
              <w:spacing w:after="60" w:line="252"/>
            </w:pPr>
            <w:r>
              <w:rPr>
                <w:b/>
                <w:bCs/>
                <w:sz w:val="18"/>
                <w:szCs w:val="18"/>
              </w:rPr>
              <w:t xml:space="preserve">(6) Energy Utilisation Index:</w:t>
            </w:r>
            <w:r>
              <w:rPr>
                <w:b w:val="false"/>
                <w:bCs w:val="false"/>
                <w:sz w:val="18"/>
                <w:szCs w:val="18"/>
              </w:rPr>
              <w:t xml:space="preserve"> EUI = E × 3.6 ÷ A (MJ/m²/yr) [1], [3].</w:t>
            </w:r>
          </w:p>
          <w:p>
            <w:pPr>
              <w:spacing w:after="60" w:line="252"/>
            </w:pPr>
            <w:r>
              <w:rPr>
                <w:b/>
                <w:bCs/>
                <w:sz w:val="18"/>
                <w:szCs w:val="18"/>
              </w:rPr>
              <w:t xml:space="preserve">(7) GHG emissions:</w:t>
            </w:r>
            <w:r>
              <w:rPr>
                <w:b w:val="false"/>
                <w:bCs w:val="false"/>
                <w:sz w:val="18"/>
                <w:szCs w:val="18"/>
              </w:rPr>
              <w:t xml:space="preserve"> activity × emission factor. Scope 2 uses both 0.34 (CLP 2025) [5] and 0.7 kg </w:t>
            </w:r>
            <w:r>
              <w:rPr>
                <w:b w:val="false"/>
                <w:bCs w:val="false"/>
                <w:sz w:val="18"/>
                <w:szCs w:val="18"/>
              </w:rPr>
              <w:t xml:space="preserve">CO</w:t>
            </w:r>
            <w:r>
              <w:rPr>
                <w:b w:val="false"/>
                <w:bCs w:val="false"/>
                <w:sz w:val="18"/>
                <w:szCs w:val="18"/>
                <w:vertAlign w:val="subscript"/>
              </w:rPr>
              <w:t xml:space="preserve">2</w:t>
            </w:r>
            <w:r>
              <w:rPr>
                <w:b w:val="false"/>
                <w:bCs w:val="false"/>
                <w:sz w:val="18"/>
                <w:szCs w:val="18"/>
              </w:rPr>
              <w:t xml:space="preserve">e/kWh [2]. Water and sewage use the utility's kWh per m³ × 0.7 (Guideline Tables 8 and 9) [2], [11], [12].</w:t>
            </w:r>
          </w:p>
        </w:tc>
      </w:tr>
    </w:tbl>
    <w:p>
      <w:pPr>
        <w:pStyle w:val="Heading2"/>
      </w:pPr>
      <w:r>
        <w:rPr>
          <w:b w:val="false"/>
          <w:bCs w:val="false"/>
        </w:rPr>
        <w:t xml:space="preserve">2.3  Data sources and data quality</w:t>
      </w:r>
    </w:p>
    <w:p>
      <w:pPr>
        <w:spacing w:after="40" w:before="0" w:line="276"/>
        <w:jc w:val="both"/>
      </w:pPr>
      <w:r>
        <w:rPr>
          <w:b w:val="false"/>
          <w:bCs w:val="false"/>
        </w:rPr>
        <w:t xml:space="preserve">The workbook holds 104 inputs, each tagged with its source and a data-quality class. In descending order of reliability:</w:t>
      </w:r>
    </w:p>
    <w:p>
      <w:pPr>
        <w:pStyle w:val="ListParagraph"/>
        <w:numPr>
          <w:ilvl w:val="0"/>
          <w:numId w:val="2"/>
        </w:numPr>
        <w:spacing w:after="60" w:line="264"/>
      </w:pPr>
      <w:r>
        <w:rPr>
          <w:b/>
          <w:bCs/>
        </w:rPr>
        <w:t xml:space="preserve">nameplate or energy-label values photographed on site:</w:t>
      </w:r>
      <w:r>
        <w:rPr>
          <w:b w:val="false"/>
          <w:bCs w:val="false"/>
        </w:rPr>
        <w:t xml:space="preserve"> 10;</w:t>
      </w:r>
    </w:p>
    <w:p>
      <w:pPr>
        <w:pStyle w:val="ListParagraph"/>
        <w:numPr>
          <w:ilvl w:val="0"/>
          <w:numId w:val="2"/>
        </w:numPr>
        <w:spacing w:after="60" w:line="264"/>
      </w:pPr>
      <w:r>
        <w:rPr>
          <w:b/>
          <w:bCs/>
        </w:rPr>
        <w:t xml:space="preserve">values reported by the occupant in the questionnaire:</w:t>
      </w:r>
      <w:r>
        <w:rPr>
          <w:b w:val="false"/>
          <w:bCs w:val="false"/>
        </w:rPr>
        <w:t xml:space="preserve"> 33;</w:t>
      </w:r>
    </w:p>
    <w:p>
      <w:pPr>
        <w:pStyle w:val="ListParagraph"/>
        <w:numPr>
          <w:ilvl w:val="0"/>
          <w:numId w:val="2"/>
        </w:numPr>
        <w:spacing w:after="60" w:line="264"/>
      </w:pPr>
      <w:r>
        <w:rPr>
          <w:b/>
          <w:bCs/>
        </w:rPr>
        <w:t xml:space="preserve">published Hong Kong or international data:</w:t>
      </w:r>
      <w:r>
        <w:rPr>
          <w:b w:val="false"/>
          <w:bCs w:val="false"/>
        </w:rPr>
        <w:t xml:space="preserve"> 30;</w:t>
      </w:r>
    </w:p>
    <w:p>
      <w:pPr>
        <w:pStyle w:val="ListParagraph"/>
        <w:numPr>
          <w:ilvl w:val="0"/>
          <w:numId w:val="2"/>
        </w:numPr>
        <w:spacing w:after="60" w:line="264"/>
      </w:pPr>
      <w:r>
        <w:rPr>
          <w:b/>
          <w:bCs/>
        </w:rPr>
        <w:t xml:space="preserve">derived values:</w:t>
      </w:r>
      <w:r>
        <w:rPr>
          <w:b w:val="false"/>
          <w:bCs w:val="false"/>
        </w:rPr>
        <w:t xml:space="preserve"> 3;</w:t>
      </w:r>
    </w:p>
    <w:p>
      <w:pPr>
        <w:pStyle w:val="ListParagraph"/>
        <w:numPr>
          <w:ilvl w:val="0"/>
          <w:numId w:val="2"/>
        </w:numPr>
        <w:spacing w:after="60" w:line="264"/>
      </w:pPr>
      <w:r>
        <w:rPr>
          <w:b/>
          <w:bCs/>
        </w:rPr>
        <w:t xml:space="preserve">typical values assumed where nothing better existed:</w:t>
      </w:r>
      <w:r>
        <w:rPr>
          <w:b w:val="false"/>
          <w:bCs w:val="false"/>
        </w:rPr>
        <w:t xml:space="preserve"> 28.</w:t>
      </w:r>
    </w:p>
    <w:p>
      <w:pPr>
        <w:spacing w:after="120" w:before="0" w:line="276"/>
        <w:jc w:val="both"/>
      </w:pPr>
      <w:r>
        <w:rPr>
          <w:b w:val="false"/>
          <w:bCs w:val="false"/>
        </w:rPr>
        <w:t xml:space="preserve">Assumed values are highlighted in yellow in the workbook and tested in the sensitivity analysis (Section 11). The most influential assumption is the Octopus AC tariff: CityU does not publish its hall AC rate, so the CLP average tariff is used and cross-checked against comparable university hostels (HK$1.20-2.31/kWh [25]).</w:t>
      </w:r>
    </w:p>
    <w:p>
      <w:pPr>
        <w:pStyle w:val="Heading2"/>
      </w:pPr>
      <w:r>
        <w:rPr>
          <w:b w:val="false"/>
          <w:bCs w:val="false"/>
        </w:rPr>
        <w:t xml:space="preserve">2.4  Tools and deliverables</w:t>
      </w:r>
    </w:p>
    <w:p>
      <w:pPr>
        <w:pStyle w:val="ListParagraph"/>
        <w:numPr>
          <w:ilvl w:val="0"/>
          <w:numId w:val="2"/>
        </w:numPr>
        <w:spacing w:after="60" w:line="264"/>
      </w:pPr>
      <w:r>
        <w:rPr>
          <w:b/>
          <w:bCs/>
        </w:rPr>
        <w:t xml:space="preserve">Home_Energy_Carbon_Audit_Workbook.xlsx</w:t>
      </w:r>
      <w:r>
        <w:rPr>
          <w:b w:val="false"/>
          <w:bCs w:val="false"/>
        </w:rPr>
        <w:t xml:space="preserve"> - 15 sheets with 1,150 live formulas, including inputs, AC baseline, hot water, inventory, monthly profile, breakdown, GHG inventory, EMO register, sensitivity, EE-EAes summary and entry guide.</w:t>
      </w:r>
    </w:p>
    <w:p>
      <w:pPr>
        <w:pStyle w:val="ListParagraph"/>
        <w:numPr>
          <w:ilvl w:val="0"/>
          <w:numId w:val="2"/>
        </w:numPr>
        <w:spacing w:after="60" w:line="264"/>
      </w:pPr>
      <w:r>
        <w:rPr>
          <w:b/>
          <w:bCs/>
        </w:rPr>
        <w:t xml:space="preserve">1_SEE6115-8115_Home Energy Audit Tool_COMPLETED.xlsx</w:t>
      </w:r>
      <w:r>
        <w:rPr>
          <w:b w:val="false"/>
          <w:bCs w:val="false"/>
        </w:rPr>
        <w:t xml:space="preserve"> - the course's Penn State tool completed for the room, washroom, kitchen and laundry, with all navigation buttons and drop-downs preserved.</w:t>
      </w:r>
    </w:p>
    <w:p>
      <w:pPr>
        <w:pStyle w:val="ListParagraph"/>
        <w:numPr>
          <w:ilvl w:val="0"/>
          <w:numId w:val="2"/>
        </w:numPr>
        <w:spacing w:after="60" w:line="264"/>
      </w:pPr>
      <w:r>
        <w:rPr>
          <w:b/>
          <w:bCs/>
        </w:rPr>
        <w:t xml:space="preserve">EE-EAes structure</w:t>
      </w:r>
      <w:r>
        <w:rPr>
          <w:b w:val="false"/>
          <w:bCs w:val="false"/>
        </w:rPr>
        <w:t xml:space="preserve"> - the executive summary is presented in the EMSD form's structure, with a cell-by-cell entry guide for the official macro-enabled form.</w:t>
      </w:r>
    </w:p>
    <w:p>
      <w:pPr>
        <w:pStyle w:val="Heading1"/>
        <w:pageBreakBefore/>
      </w:pPr>
      <w:r>
        <w:rPr>
          <w:b w:val="false"/>
          <w:bCs w:val="false"/>
        </w:rPr>
        <w:t xml:space="preserve">3  Audit boundary and reporting period</w:t>
      </w:r>
    </w:p>
    <w:p>
      <w:pPr>
        <w:pStyle w:val="Heading2"/>
      </w:pPr>
      <w:r>
        <w:rPr>
          <w:b w:val="false"/>
          <w:bCs w:val="false"/>
        </w:rPr>
        <w:t xml:space="preserve">3.1  Reporting entity and physical boundary</w:t>
      </w:r>
    </w:p>
    <w:p>
      <w:pPr>
        <w:spacing w:after="40" w:before="0" w:line="276"/>
        <w:jc w:val="both"/>
      </w:pPr>
      <w:r>
        <w:rPr>
          <w:b w:val="false"/>
          <w:bCs w:val="false"/>
        </w:rPr>
        <w:t xml:space="preserve">The reporting entity is the </w:t>
      </w:r>
      <w:r>
        <w:rPr>
          <w:b/>
          <w:bCs/>
        </w:rPr>
        <w:t xml:space="preserve">household of Room 1003B</w:t>
      </w:r>
      <w:r>
        <w:rPr>
          <w:b w:val="false"/>
          <w:bCs w:val="false"/>
        </w:rPr>
        <w:t xml:space="preserve">: the auditor and one roommate. The Guidelines ask the reporting entity to define the physical boundary within which emissions are counted [2]. In a student hostel, the "home" is not only the room: daily life also depends on a washroom shared by four residents, a floor kitchen used by 32 residents, and hall laundry machines. The boundary therefore combines three kinds of item, shown in Figure 3.1:</w:t>
      </w:r>
    </w:p>
    <w:p>
      <w:pPr>
        <w:pStyle w:val="ListParagraph"/>
        <w:numPr>
          <w:ilvl w:val="0"/>
          <w:numId w:val="2"/>
        </w:numPr>
        <w:spacing w:after="60" w:line="264"/>
      </w:pPr>
      <w:r>
        <w:rPr>
          <w:b w:val="false"/>
          <w:bCs w:val="false"/>
        </w:rPr>
        <w:t xml:space="preserve">the room in full;</w:t>
      </w:r>
    </w:p>
    <w:p>
      <w:pPr>
        <w:pStyle w:val="ListParagraph"/>
        <w:numPr>
          <w:ilvl w:val="0"/>
          <w:numId w:val="2"/>
        </w:numPr>
        <w:spacing w:after="60" w:line="264"/>
      </w:pPr>
      <w:r>
        <w:rPr>
          <w:b w:val="false"/>
          <w:bCs w:val="false"/>
        </w:rPr>
        <w:t xml:space="preserve">per-capita shares of the fixed loads in the shared spaces (fans, lights, refrigerators, water dispenser, kitchen AC);</w:t>
      </w:r>
    </w:p>
    <w:p>
      <w:pPr>
        <w:pStyle w:val="ListParagraph"/>
        <w:numPr>
          <w:ilvl w:val="0"/>
          <w:numId w:val="2"/>
        </w:numPr>
        <w:spacing w:after="60" w:line="264"/>
      </w:pPr>
      <w:r>
        <w:rPr>
          <w:b w:val="false"/>
          <w:bCs w:val="false"/>
        </w:rPr>
        <w:t xml:space="preserve">usage-based items attributed directly (showers, cooking, laundry).</w:t>
      </w:r>
    </w:p>
    <w:p>
      <w:pPr>
        <w:keepNext/>
        <w:spacing w:after="40" w:before="120"/>
        <w:jc w:val="center"/>
      </w:pPr>
      <w:r>
        <w:drawing>
          <wp:inline distT="0" distB="0" distL="0" distR="0">
            <wp:extent cx="58102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371850"/>
                    </a:xfrm>
                    <a:prstGeom prst="rect">
                      <a:avLst/>
                    </a:prstGeom>
                  </pic:spPr>
                </pic:pic>
              </a:graphicData>
            </a:graphic>
          </wp:inline>
        </w:drawing>
      </w:r>
    </w:p>
    <w:p>
      <w:pPr>
        <w:spacing w:after="200" w:before="60"/>
        <w:jc w:val="center"/>
      </w:pPr>
      <w:r>
        <w:rPr>
          <w:b w:val="false"/>
          <w:bCs w:val="false"/>
          <w:i/>
          <w:iCs/>
          <w:color w:val="52514E"/>
          <w:sz w:val="17"/>
          <w:szCs w:val="17"/>
        </w:rPr>
        <w:t xml:space="preserve">Figure 3.1: Physical and operational boundary of the audit</w:t>
      </w:r>
    </w:p>
    <w:p>
      <w:pPr>
        <w:spacing w:after="120" w:before="0" w:line="276"/>
        <w:jc w:val="both"/>
      </w:pPr>
      <w:r>
        <w:rPr>
          <w:b w:val="false"/>
          <w:bCs w:val="false"/>
        </w:rPr>
        <w:t xml:space="preserve">Per-capita allocation was chosen because every resident has equal access to the shared spaces. Allocating the kitchen over the 20 active users rather than all 32 residents raises the household total by only 4.1% (Section 11). Hall common services (lifts, corridors, lobbies, pumps, central plant and rooftop PV) are outside the boundary because the household cannot influence them and has no data on them.</w:t>
      </w:r>
    </w:p>
    <w:p>
      <w:pPr>
        <w:pStyle w:val="Heading2"/>
      </w:pPr>
      <w:r>
        <w:rPr>
          <w:b w:val="false"/>
          <w:bCs w:val="false"/>
        </w:rPr>
        <w:t xml:space="preserve">3.2  Operational boundary</w:t>
      </w:r>
    </w:p>
    <w:p>
      <w:pPr>
        <w:pStyle w:val="ListParagraph"/>
        <w:numPr>
          <w:ilvl w:val="0"/>
          <w:numId w:val="2"/>
        </w:numPr>
        <w:spacing w:after="60" w:line="264"/>
      </w:pPr>
      <w:r>
        <w:rPr>
          <w:b/>
          <w:bCs/>
        </w:rPr>
        <w:t xml:space="preserve">Scope 1 - direct:</w:t>
      </w:r>
      <w:r>
        <w:rPr>
          <w:b w:val="false"/>
          <w:bCs w:val="false"/>
        </w:rPr>
        <w:t xml:space="preserve"> no fuel is burnt within the boundary; cooking and water heating are all-electric (Guideline Table 1 is nil). Fugitive refrigerant from the room AC (R32) and the kitchen AC (R-410A) is estimated by a screening method (Section 7.2).</w:t>
      </w:r>
    </w:p>
    <w:p>
      <w:pPr>
        <w:pStyle w:val="ListParagraph"/>
        <w:numPr>
          <w:ilvl w:val="0"/>
          <w:numId w:val="2"/>
        </w:numPr>
        <w:spacing w:after="60" w:line="264"/>
      </w:pPr>
      <w:r>
        <w:rPr>
          <w:b/>
          <w:bCs/>
        </w:rPr>
        <w:t xml:space="preserve">Scope 2 - energy indirect:</w:t>
      </w:r>
      <w:r>
        <w:rPr>
          <w:b w:val="false"/>
          <w:bCs w:val="false"/>
        </w:rPr>
        <w:t xml:space="preserve"> electricity purchased from CLP Power for all items in the boundary (Guideline Table 5). No Towngas is used (Table 6 is nil).</w:t>
      </w:r>
    </w:p>
    <w:p>
      <w:pPr>
        <w:pStyle w:val="ListParagraph"/>
        <w:numPr>
          <w:ilvl w:val="0"/>
          <w:numId w:val="2"/>
        </w:numPr>
        <w:spacing w:after="60" w:line="264"/>
      </w:pPr>
      <w:r>
        <w:rPr>
          <w:b/>
          <w:bCs/>
        </w:rPr>
        <w:t xml:space="preserve">Scope 3 - other indirect (optional):</w:t>
      </w:r>
      <w:r>
        <w:rPr>
          <w:b w:val="false"/>
          <w:bCs w:val="false"/>
        </w:rPr>
        <w:t xml:space="preserve"> fresh-water supply (Table 8), sewage treatment (Table 9), paper to landfill (Table 7), and seawater for flushing as an extra item.</w:t>
      </w:r>
    </w:p>
    <w:p>
      <w:pPr>
        <w:pStyle w:val="ListParagraph"/>
        <w:numPr>
          <w:ilvl w:val="0"/>
          <w:numId w:val="2"/>
        </w:numPr>
        <w:spacing w:after="60" w:line="264"/>
      </w:pPr>
      <w:r>
        <w:rPr>
          <w:b/>
          <w:bCs/>
        </w:rPr>
        <w:t xml:space="preserve">Daily-activity extension:</w:t>
      </w:r>
      <w:r>
        <w:rPr>
          <w:b w:val="false"/>
          <w:bCs w:val="false"/>
        </w:rPr>
        <w:t xml:space="preserve"> commuting, flights and diet are reported </w:t>
      </w:r>
      <w:r>
        <w:rPr>
          <w:b/>
          <w:bCs/>
        </w:rPr>
        <w:t xml:space="preserve">separately</w:t>
      </w:r>
      <w:r>
        <w:rPr>
          <w:b w:val="false"/>
          <w:bCs w:val="false"/>
        </w:rPr>
        <w:t xml:space="preserve"> (Section 7.6) so that the building inventory stays comparable with the Guidelines.</w:t>
      </w:r>
    </w:p>
    <w:p>
      <w:pPr>
        <w:pStyle w:val="Heading2"/>
      </w:pPr>
      <w:r>
        <w:rPr>
          <w:b w:val="false"/>
          <w:bCs w:val="false"/>
        </w:rPr>
        <w:t xml:space="preserve">3.3  Reporting period</w:t>
      </w:r>
    </w:p>
    <w:p>
      <w:pPr>
        <w:spacing w:after="120" w:before="0" w:line="276"/>
        <w:jc w:val="both"/>
      </w:pPr>
      <w:r>
        <w:rPr>
          <w:b w:val="false"/>
          <w:bCs w:val="false"/>
        </w:rPr>
        <w:t xml:space="preserve">The auditor has occupied the room since 1 January 2026, so a 36-month history does not exist. EAC §8.1(g)(i) allows a building operating for less than 36 months to count back to its first day of operation [1]. Results are therefore expressed as a </w:t>
      </w:r>
      <w:r>
        <w:rPr>
          <w:b/>
          <w:bCs/>
        </w:rPr>
        <w:t xml:space="preserve">typical 12-month baseline year</w:t>
      </w:r>
      <w:r>
        <w:rPr>
          <w:b w:val="false"/>
          <w:bCs w:val="false"/>
        </w:rPr>
        <w:t xml:space="preserve">: the reported hot-season (May-Oct) and cool-season (Nov-Apr) behaviour applied to HKO 1991-2020 climate normals [8]. This is the projection of measured use to a complete operating cycle that EAC §7.5.6(b) allows. The reference month is September 2026. The roughly one-month break reported for 2026 is tested as a sensitivity case (-7%).</w:t>
      </w:r>
    </w:p>
    <w:p>
      <w:pPr>
        <w:pStyle w:val="Heading1"/>
        <w:pageBreakBefore/>
      </w:pPr>
      <w:r>
        <w:rPr>
          <w:b w:val="false"/>
          <w:bCs w:val="false"/>
        </w:rPr>
        <w:t xml:space="preserve">4  Site and building characteristics (EAC §8.1(b))</w:t>
      </w:r>
    </w:p>
    <w:p>
      <w:pPr>
        <w:pStyle w:val="Heading2"/>
      </w:pPr>
      <w:r>
        <w:rPr>
          <w:b w:val="false"/>
          <w:bCs w:val="false"/>
        </w:rPr>
        <w:t xml:space="preserve">4.1  Location and climate</w:t>
      </w:r>
    </w:p>
    <w:p>
      <w:pPr>
        <w:spacing w:after="40" w:before="0" w:line="276"/>
        <w:jc w:val="both"/>
      </w:pPr>
      <w:r>
        <w:rPr>
          <w:b w:val="false"/>
          <w:bCs w:val="false"/>
        </w:rPr>
        <w:t xml:space="preserve">The residence is in Ma On Shan, New Territories (22°26'0" N, 114°14'32" E, 44 m above sea level), overlooking Tolo Harbour. Hong Kong's humid sub-tropical climate makes cooling the dominant service.</w:t>
      </w:r>
    </w:p>
    <w:p>
      <w:pPr>
        <w:pStyle w:val="ListParagraph"/>
        <w:numPr>
          <w:ilvl w:val="0"/>
          <w:numId w:val="2"/>
        </w:numPr>
        <w:spacing w:after="60" w:line="264"/>
      </w:pPr>
      <w:r>
        <w:rPr>
          <w:b w:val="false"/>
          <w:bCs w:val="false"/>
        </w:rPr>
        <w:t xml:space="preserve">The HKO 1991-2020 normals (HKO Headquarters, used as representative of the territory) give an annual mean temperature of 23.5 °C [8].</w:t>
      </w:r>
    </w:p>
    <w:p>
      <w:pPr>
        <w:pStyle w:val="ListParagraph"/>
        <w:numPr>
          <w:ilvl w:val="0"/>
          <w:numId w:val="2"/>
        </w:numPr>
        <w:spacing w:after="60" w:line="264"/>
      </w:pPr>
      <w:r>
        <w:rPr>
          <w:b w:val="false"/>
          <w:bCs w:val="false"/>
        </w:rPr>
        <w:t xml:space="preserve">In the hot season (May-October), monthly means range from 25.7 °C in October to 28.9 °C in July. The coolest month is January, at 16.5 °C.</w:t>
      </w:r>
    </w:p>
    <w:p>
      <w:pPr>
        <w:pStyle w:val="ListParagraph"/>
        <w:numPr>
          <w:ilvl w:val="0"/>
          <w:numId w:val="2"/>
        </w:numPr>
        <w:spacing w:after="60" w:line="264"/>
      </w:pPr>
      <w:r>
        <w:rPr>
          <w:b w:val="false"/>
          <w:bCs w:val="false"/>
        </w:rPr>
        <w:t xml:space="preserve">Space heating is not provided and was not used.</w:t>
      </w:r>
    </w:p>
    <w:p>
      <w:pPr>
        <w:pStyle w:val="ListParagraph"/>
        <w:numPr>
          <w:ilvl w:val="0"/>
          <w:numId w:val="2"/>
        </w:numPr>
        <w:spacing w:after="60" w:line="264"/>
      </w:pPr>
      <w:r>
        <w:rPr>
          <w:b w:val="false"/>
          <w:bCs w:val="false"/>
        </w:rPr>
        <w:t xml:space="preserve">The cold season matters for hot water, because the mains-water temperature follows the air temperature.</w:t>
      </w:r>
    </w:p>
    <w:p>
      <w:pPr>
        <w:pStyle w:val="Heading2"/>
      </w:pPr>
      <w:r>
        <w:rPr>
          <w:b w:val="false"/>
          <w:bCs w:val="false"/>
        </w:rPr>
        <w:t xml:space="preserve">4.2  The building</w:t>
      </w:r>
    </w:p>
    <w:p>
      <w:pPr>
        <w:spacing w:after="40" w:before="0" w:line="276"/>
        <w:jc w:val="both"/>
      </w:pPr>
      <w:r>
        <w:rPr>
          <w:b w:val="false"/>
          <w:bCs w:val="false"/>
        </w:rPr>
        <w:t xml:space="preserve">Hall 13 is part of CityU's </w:t>
      </w:r>
      <w:r>
        <w:rPr>
          <w:b/>
          <w:bCs/>
        </w:rPr>
        <w:t xml:space="preserve">Lee Shau Kee Student Residence Village</w:t>
      </w:r>
      <w:r>
        <w:rPr>
          <w:b w:val="false"/>
          <w:bCs w:val="false"/>
        </w:rPr>
        <w:t xml:space="preserve"> in Ma On Shan [15]:</w:t>
      </w:r>
    </w:p>
    <w:p>
      <w:pPr>
        <w:pStyle w:val="ListParagraph"/>
        <w:numPr>
          <w:ilvl w:val="0"/>
          <w:numId w:val="2"/>
        </w:numPr>
        <w:spacing w:after="60" w:line="264"/>
      </w:pPr>
      <w:r>
        <w:rPr>
          <w:b w:val="false"/>
          <w:bCs w:val="false"/>
        </w:rPr>
        <w:t xml:space="preserve">6 halls in 3 towers, housing about 2,100 residents;</w:t>
      </w:r>
    </w:p>
    <w:p>
      <w:pPr>
        <w:pStyle w:val="ListParagraph"/>
        <w:numPr>
          <w:ilvl w:val="0"/>
          <w:numId w:val="2"/>
        </w:numPr>
        <w:spacing w:after="60" w:line="264"/>
      </w:pPr>
      <w:r>
        <w:rPr>
          <w:b w:val="false"/>
          <w:bCs w:val="false"/>
        </w:rPr>
        <w:t xml:space="preserve">built by modular integrated construction (MiC) from more than 1,300 prefabricated modules, and opened in the third quarter of 2024, with an opening and naming ceremony in December 2024;</w:t>
      </w:r>
    </w:p>
    <w:p>
      <w:pPr>
        <w:pStyle w:val="ListParagraph"/>
        <w:numPr>
          <w:ilvl w:val="0"/>
          <w:numId w:val="2"/>
        </w:numPr>
        <w:spacing w:after="120" w:line="264"/>
      </w:pPr>
      <w:r>
        <w:rPr>
          <w:b w:val="false"/>
          <w:bCs w:val="false"/>
        </w:rPr>
        <w:t xml:space="preserve">110 rooftop photovoltaic panels and a building management system.</w:t>
      </w:r>
    </w:p>
    <w:p>
      <w:pPr>
        <w:spacing w:after="120" w:before="0" w:line="276"/>
        <w:jc w:val="both"/>
      </w:pPr>
      <w:r>
        <w:rPr>
          <w:b w:val="false"/>
          <w:bCs w:val="false"/>
        </w:rPr>
        <w:t xml:space="preserve">Each room has its own window AC charged through an Octopus-card system. Lighting and socket power are included in the hall fee.</w:t>
      </w:r>
    </w:p>
    <w:p>
      <w:pPr>
        <w:pStyle w:val="Heading2"/>
      </w:pPr>
      <w:r>
        <w:rPr>
          <w:b w:val="false"/>
          <w:bCs w:val="false"/>
        </w:rPr>
        <w:t xml:space="preserve">4.3  The audited room</w:t>
      </w:r>
    </w:p>
    <w:p>
      <w:pPr>
        <w:keepNext/>
        <w:spacing w:after="80" w:before="160"/>
      </w:pPr>
      <w:r>
        <w:rPr>
          <w:b/>
          <w:bCs/>
          <w:color w:val="1F3864"/>
          <w:sz w:val="18"/>
          <w:szCs w:val="18"/>
        </w:rPr>
        <w:t xml:space="preserve">Table 4.1: Characteristics of Room 1003B</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812"/>
      </w:tblGrid>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Floor area / occupants</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15 m² / 2 (7.5 m² per person; HK median 16 m² [23])</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Floor / orientation</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10/F; window wall faces NW (328°, phone compass)</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Glazing</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Single-pane clear glass in a dark aluminium frame with fly screen: 2 casements of 0.53 × 1.26 m (0.67 m² each) + fixed pane of 1.10 × 0.19 m (0.209 m²) = 1.55 m² (10.3% of floor area)</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Shading / solar</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Full-height grey curtain; direct sun for about 40 min in the late afternoon (NW orientation catches the low summer sun)</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Air-conditioning</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Midea MW-12CRF8E 1.5 HP inverter window unit above the window (Section 5.1)</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Lighting</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2 ceiling LED linear battens + 2 under-shelf LED desk lights</w:t>
            </w:r>
          </w:p>
        </w:tc>
      </w:tr>
      <w:tr>
        <w:trPr>
          <w:cantSplit/>
        </w:trPr>
        <w:tc>
          <w:tcPr>
            <w:tcW w:type="dxa" w:w="2600"/>
            <w:shd w:fill="E2EFDA" w:color="auto" w:val="clear"/>
            <w:tcMar>
              <w:top w:type="dxa" w:w="50"/>
              <w:left w:type="dxa" w:w="90"/>
              <w:bottom w:type="dxa" w:w="50"/>
              <w:right w:type="dxa" w:w="90"/>
            </w:tcMar>
            <w:vAlign w:val="center"/>
          </w:tcPr>
          <w:p>
            <w:pPr>
              <w:spacing w:after="0" w:line="240"/>
              <w:jc w:val="left"/>
            </w:pPr>
            <w:r>
              <w:rPr>
                <w:b w:val="false"/>
                <w:bCs w:val="false"/>
                <w:sz w:val="17"/>
                <w:szCs w:val="17"/>
              </w:rPr>
              <w:t xml:space="preserve">Other equipment</w:t>
            </w:r>
          </w:p>
        </w:tc>
        <w:tc>
          <w:tcPr>
            <w:tcW w:type="dxa" w:w="6812"/>
            <w:tcMar>
              <w:top w:type="dxa" w:w="50"/>
              <w:left w:type="dxa" w:w="90"/>
              <w:bottom w:type="dxa" w:w="50"/>
              <w:right w:type="dxa" w:w="90"/>
            </w:tcMar>
            <w:vAlign w:val="center"/>
          </w:tcPr>
          <w:p>
            <w:pPr>
              <w:spacing w:after="0" w:line="240"/>
              <w:jc w:val="left"/>
            </w:pPr>
            <w:r>
              <w:rPr>
                <w:b w:val="false"/>
                <w:bCs w:val="false"/>
                <w:sz w:val="17"/>
                <w:szCs w:val="17"/>
              </w:rPr>
              <w:t xml:space="preserve">2 laptops, 2 phones, 1 desk fan (20 W); no fridge, kettle, heater, TV or router</w:t>
            </w:r>
          </w:p>
        </w:tc>
      </w:tr>
    </w:tbl>
    <w:p>
      <w:pPr>
        <w:spacing w:after="80"/>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8"/>
            </w:tblGrid>
            <w:tr>
              <w:trPr>
                <w:cantSplit/>
              </w:trPr>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5049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20097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02a: NW-facing window and curtain</w:t>
                  </w:r>
                </w:p>
              </w:tc>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9239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23925" cy="20097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02c: casement measured 0.53 × 1.26 m</w:t>
                  </w:r>
                </w:p>
              </w:tc>
              <w:tc>
                <w:tcPr>
                  <w:tcW w:type="dxa" w:w="3138"/>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2954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95400" cy="199072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02d: 328° NW, Ma On Shan</w:t>
                  </w:r>
                </w:p>
              </w:tc>
            </w:tr>
          </w:tbl>
          <w:p>
            <w:pPr>
              <w:spacing w:after="200" w:before="60"/>
              <w:jc w:val="center"/>
            </w:pPr>
            <w:r>
              <w:rPr>
                <w:b w:val="false"/>
                <w:bCs w:val="false"/>
                <w:i/>
                <w:iCs/>
                <w:color w:val="52514E"/>
                <w:sz w:val="17"/>
                <w:szCs w:val="17"/>
              </w:rPr>
              <w:t xml:space="preserve">Figure 4.1: Window, glazing measurement and orientation evidence</w:t>
            </w:r>
          </w:p>
        </w:tc>
      </w:tr>
    </w:tbl>
    <w:p>
      <w:pPr>
        <w:pStyle w:val="Heading2"/>
      </w:pPr>
      <w:r>
        <w:rPr>
          <w:b w:val="false"/>
          <w:bCs w:val="false"/>
        </w:rPr>
        <w:t xml:space="preserve">4.4  Occupancy profile</w:t>
      </w:r>
    </w:p>
    <w:p>
      <w:pPr>
        <w:keepNext/>
        <w:spacing w:after="80" w:before="160"/>
      </w:pPr>
      <w:r>
        <w:rPr>
          <w:b/>
          <w:bCs/>
          <w:color w:val="1F3864"/>
          <w:sz w:val="18"/>
          <w:szCs w:val="18"/>
        </w:rPr>
        <w:t xml:space="preserve">Table 4.2: Occupancy and operating schedule (reported)</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2600"/>
        <w:gridCol w:w="2400"/>
        <w:gridCol w:w="2312"/>
      </w:tblGrid>
      <w:tr>
        <w:trPr>
          <w:tblHeader/>
        </w:trPr>
        <w:tc>
          <w:tcPr>
            <w:tcW w:type="dxa" w:w="2100"/>
            <w:shd w:fill="DCE6F0" w:color="auto" w:val="clear"/>
            <w:tcMar>
              <w:top w:type="dxa" w:w="50"/>
              <w:left w:type="dxa" w:w="90"/>
              <w:bottom w:type="dxa" w:w="50"/>
              <w:right w:type="dxa" w:w="90"/>
            </w:tcMar>
            <w:vAlign w:val="center"/>
          </w:tcPr>
          <w:p>
            <w:pPr>
              <w:spacing w:after="0" w:line="240"/>
              <w:jc w:val="left"/>
            </w:pPr>
            <w:r>
              <w:rPr>
                <w:b/>
                <w:bCs/>
                <w:color w:val="1F3864"/>
                <w:sz w:val="17"/>
                <w:szCs w:val="17"/>
              </w:rPr>
              <w:t xml:space="preserve">Period</w:t>
            </w:r>
          </w:p>
        </w:tc>
        <w:tc>
          <w:tcPr>
            <w:tcW w:type="dxa" w:w="2600"/>
            <w:shd w:fill="DCE6F0" w:color="auto" w:val="clear"/>
            <w:tcMar>
              <w:top w:type="dxa" w:w="50"/>
              <w:left w:type="dxa" w:w="90"/>
              <w:bottom w:type="dxa" w:w="50"/>
              <w:right w:type="dxa" w:w="90"/>
            </w:tcMar>
            <w:vAlign w:val="center"/>
          </w:tcPr>
          <w:p>
            <w:pPr>
              <w:spacing w:after="0" w:line="240"/>
              <w:jc w:val="left"/>
            </w:pPr>
            <w:r>
              <w:rPr>
                <w:b/>
                <w:bCs/>
                <w:color w:val="1F3864"/>
                <w:sz w:val="17"/>
                <w:szCs w:val="17"/>
              </w:rPr>
              <w:t xml:space="preserve">Time in room</w:t>
            </w:r>
          </w:p>
        </w:tc>
        <w:tc>
          <w:tcPr>
            <w:tcW w:type="dxa" w:w="2400"/>
            <w:shd w:fill="DCE6F0" w:color="auto" w:val="clear"/>
            <w:tcMar>
              <w:top w:type="dxa" w:w="50"/>
              <w:left w:type="dxa" w:w="90"/>
              <w:bottom w:type="dxa" w:w="50"/>
              <w:right w:type="dxa" w:w="90"/>
            </w:tcMar>
            <w:vAlign w:val="center"/>
          </w:tcPr>
          <w:p>
            <w:pPr>
              <w:spacing w:after="0" w:line="240"/>
              <w:jc w:val="left"/>
            </w:pPr>
            <w:r>
              <w:rPr>
                <w:b/>
                <w:bCs/>
                <w:color w:val="1F3864"/>
                <w:sz w:val="17"/>
                <w:szCs w:val="17"/>
              </w:rPr>
              <w:t xml:space="preserve">Hours</w:t>
            </w:r>
          </w:p>
        </w:tc>
        <w:tc>
          <w:tcPr>
            <w:tcW w:type="dxa" w:w="2312"/>
            <w:shd w:fill="DCE6F0" w:color="auto" w:val="clear"/>
            <w:tcMar>
              <w:top w:type="dxa" w:w="50"/>
              <w:left w:type="dxa" w:w="90"/>
              <w:bottom w:type="dxa" w:w="50"/>
              <w:right w:type="dxa" w:w="90"/>
            </w:tcMar>
            <w:vAlign w:val="center"/>
          </w:tcPr>
          <w:p>
            <w:pPr>
              <w:spacing w:after="0" w:line="240"/>
              <w:jc w:val="left"/>
            </w:pPr>
            <w:r>
              <w:rPr>
                <w:b/>
                <w:bCs/>
                <w:color w:val="1F3864"/>
                <w:sz w:val="17"/>
                <w:szCs w:val="17"/>
              </w:rPr>
              <w:t xml:space="preserve">AC use</w:t>
            </w:r>
          </w:p>
        </w:tc>
      </w:tr>
      <w:tr>
        <w:trPr>
          <w:cantSplit/>
        </w:trPr>
        <w:tc>
          <w:tcPr>
            <w:tcW w:type="dxa" w:w="2100"/>
            <w:tcMar>
              <w:top w:type="dxa" w:w="50"/>
              <w:left w:type="dxa" w:w="90"/>
              <w:bottom w:type="dxa" w:w="50"/>
              <w:right w:type="dxa" w:w="90"/>
            </w:tcMar>
            <w:vAlign w:val="center"/>
          </w:tcPr>
          <w:p>
            <w:pPr>
              <w:spacing w:after="0" w:line="240"/>
              <w:jc w:val="left"/>
            </w:pPr>
            <w:r>
              <w:rPr>
                <w:b w:val="false"/>
                <w:bCs w:val="false"/>
                <w:sz w:val="17"/>
                <w:szCs w:val="17"/>
              </w:rPr>
              <w:t xml:space="preserve">Weekday</w:t>
            </w:r>
          </w:p>
        </w:tc>
        <w:tc>
          <w:tcPr>
            <w:tcW w:type="dxa" w:w="2600"/>
            <w:tcMar>
              <w:top w:type="dxa" w:w="50"/>
              <w:left w:type="dxa" w:w="90"/>
              <w:bottom w:type="dxa" w:w="50"/>
              <w:right w:type="dxa" w:w="90"/>
            </w:tcMar>
            <w:vAlign w:val="center"/>
          </w:tcPr>
          <w:p>
            <w:pPr>
              <w:spacing w:after="0" w:line="240"/>
              <w:jc w:val="left"/>
            </w:pPr>
            <w:r>
              <w:rPr>
                <w:b w:val="false"/>
                <w:bCs w:val="false"/>
                <w:sz w:val="17"/>
                <w:szCs w:val="17"/>
              </w:rPr>
              <w:t xml:space="preserve">22:00 - 11:00</w:t>
            </w:r>
          </w:p>
        </w:tc>
        <w:tc>
          <w:tcPr>
            <w:tcW w:type="dxa" w:w="2400"/>
            <w:tcMar>
              <w:top w:type="dxa" w:w="50"/>
              <w:left w:type="dxa" w:w="90"/>
              <w:bottom w:type="dxa" w:w="50"/>
              <w:right w:type="dxa" w:w="90"/>
            </w:tcMar>
            <w:vAlign w:val="center"/>
          </w:tcPr>
          <w:p>
            <w:pPr>
              <w:spacing w:after="0" w:line="240"/>
              <w:jc w:val="left"/>
            </w:pPr>
            <w:r>
              <w:rPr>
                <w:b w:val="false"/>
                <w:bCs w:val="false"/>
                <w:sz w:val="17"/>
                <w:szCs w:val="17"/>
              </w:rPr>
              <w:t xml:space="preserve">13 h × 5 = 65 h</w:t>
            </w:r>
          </w:p>
        </w:tc>
        <w:tc>
          <w:tcPr>
            <w:tcW w:type="dxa" w:w="2312"/>
            <w:tcMar>
              <w:top w:type="dxa" w:w="50"/>
              <w:left w:type="dxa" w:w="90"/>
              <w:bottom w:type="dxa" w:w="50"/>
              <w:right w:type="dxa" w:w="90"/>
            </w:tcMar>
            <w:vAlign w:val="center"/>
          </w:tcPr>
          <w:p>
            <w:pPr>
              <w:spacing w:after="0" w:line="240"/>
              <w:jc w:val="left"/>
            </w:pPr>
            <w:r>
              <w:rPr>
                <w:b w:val="false"/>
                <w:bCs w:val="false"/>
                <w:sz w:val="17"/>
                <w:szCs w:val="17"/>
              </w:rPr>
              <w:t xml:space="preserve">On all night in hot months</w:t>
            </w:r>
          </w:p>
        </w:tc>
      </w:tr>
      <w:tr>
        <w:trPr>
          <w:cantSplit/>
        </w:trPr>
        <w:tc>
          <w:tcPr>
            <w:tcW w:type="dxa" w:w="2100"/>
            <w:tcMar>
              <w:top w:type="dxa" w:w="50"/>
              <w:left w:type="dxa" w:w="90"/>
              <w:bottom w:type="dxa" w:w="50"/>
              <w:right w:type="dxa" w:w="90"/>
            </w:tcMar>
            <w:vAlign w:val="center"/>
          </w:tcPr>
          <w:p>
            <w:pPr>
              <w:spacing w:after="0" w:line="240"/>
              <w:jc w:val="left"/>
            </w:pPr>
            <w:r>
              <w:rPr>
                <w:b w:val="false"/>
                <w:bCs w:val="false"/>
                <w:sz w:val="17"/>
                <w:szCs w:val="17"/>
              </w:rPr>
              <w:t xml:space="preserve">Saturday / Sunday</w:t>
            </w:r>
          </w:p>
        </w:tc>
        <w:tc>
          <w:tcPr>
            <w:tcW w:type="dxa" w:w="2600"/>
            <w:tcMar>
              <w:top w:type="dxa" w:w="50"/>
              <w:left w:type="dxa" w:w="90"/>
              <w:bottom w:type="dxa" w:w="50"/>
              <w:right w:type="dxa" w:w="90"/>
            </w:tcMar>
            <w:vAlign w:val="center"/>
          </w:tcPr>
          <w:p>
            <w:pPr>
              <w:spacing w:after="0" w:line="240"/>
              <w:jc w:val="left"/>
            </w:pPr>
            <w:r>
              <w:rPr>
                <w:b w:val="false"/>
                <w:bCs w:val="false"/>
                <w:sz w:val="17"/>
                <w:szCs w:val="17"/>
              </w:rPr>
              <w:t xml:space="preserve">Most of the day</w:t>
            </w:r>
          </w:p>
        </w:tc>
        <w:tc>
          <w:tcPr>
            <w:tcW w:type="dxa" w:w="2400"/>
            <w:tcMar>
              <w:top w:type="dxa" w:w="50"/>
              <w:left w:type="dxa" w:w="90"/>
              <w:bottom w:type="dxa" w:w="50"/>
              <w:right w:type="dxa" w:w="90"/>
            </w:tcMar>
            <w:vAlign w:val="center"/>
          </w:tcPr>
          <w:p>
            <w:pPr>
              <w:spacing w:after="0" w:line="240"/>
              <w:jc w:val="left"/>
            </w:pPr>
            <w:r>
              <w:rPr>
                <w:b w:val="false"/>
                <w:bCs w:val="false"/>
                <w:sz w:val="17"/>
                <w:szCs w:val="17"/>
              </w:rPr>
              <w:t xml:space="preserve">20 h + 18 h = 38 h</w:t>
            </w:r>
          </w:p>
        </w:tc>
        <w:tc>
          <w:tcPr>
            <w:tcW w:type="dxa" w:w="2312"/>
            <w:tcMar>
              <w:top w:type="dxa" w:w="50"/>
              <w:left w:type="dxa" w:w="90"/>
              <w:bottom w:type="dxa" w:w="50"/>
              <w:right w:type="dxa" w:w="90"/>
            </w:tcMar>
            <w:vAlign w:val="center"/>
          </w:tcPr>
          <w:p>
            <w:pPr>
              <w:spacing w:after="0" w:line="240"/>
              <w:jc w:val="left"/>
            </w:pPr>
          </w:p>
        </w:tc>
      </w:tr>
      <w:tr>
        <w:trPr>
          <w:cantSplit/>
        </w:trPr>
        <w:tc>
          <w:tcPr>
            <w:tcW w:type="dxa" w:w="2100"/>
            <w:tcMar>
              <w:top w:type="dxa" w:w="50"/>
              <w:left w:type="dxa" w:w="90"/>
              <w:bottom w:type="dxa" w:w="50"/>
              <w:right w:type="dxa" w:w="90"/>
            </w:tcMar>
            <w:vAlign w:val="center"/>
          </w:tcPr>
          <w:p>
            <w:pPr>
              <w:spacing w:after="0" w:line="240"/>
              <w:jc w:val="left"/>
            </w:pPr>
            <w:r>
              <w:rPr>
                <w:b w:val="false"/>
                <w:bCs w:val="false"/>
                <w:sz w:val="17"/>
                <w:szCs w:val="17"/>
              </w:rPr>
              <w:t xml:space="preserve">Week total</w:t>
            </w:r>
          </w:p>
        </w:tc>
        <w:tc>
          <w:tcPr>
            <w:tcW w:type="dxa" w:w="2600"/>
            <w:tcMar>
              <w:top w:type="dxa" w:w="50"/>
              <w:left w:type="dxa" w:w="90"/>
              <w:bottom w:type="dxa" w:w="50"/>
              <w:right w:type="dxa" w:w="90"/>
            </w:tcMar>
            <w:vAlign w:val="center"/>
          </w:tcPr>
          <w:p>
            <w:pPr>
              <w:spacing w:after="0" w:line="240"/>
              <w:jc w:val="left"/>
            </w:pPr>
          </w:p>
        </w:tc>
        <w:tc>
          <w:tcPr>
            <w:tcW w:type="dxa" w:w="2400"/>
            <w:tcMar>
              <w:top w:type="dxa" w:w="50"/>
              <w:left w:type="dxa" w:w="90"/>
              <w:bottom w:type="dxa" w:w="50"/>
              <w:right w:type="dxa" w:w="90"/>
            </w:tcMar>
            <w:vAlign w:val="center"/>
          </w:tcPr>
          <w:p>
            <w:pPr>
              <w:spacing w:after="0" w:line="240"/>
              <w:jc w:val="left"/>
            </w:pPr>
            <w:r>
              <w:rPr>
                <w:b w:val="false"/>
                <w:bCs w:val="false"/>
                <w:sz w:val="17"/>
                <w:szCs w:val="17"/>
              </w:rPr>
              <w:t xml:space="preserve">103 h (61% of the week)</w:t>
            </w:r>
          </w:p>
        </w:tc>
        <w:tc>
          <w:tcPr>
            <w:tcW w:type="dxa" w:w="2312"/>
            <w:tcMar>
              <w:top w:type="dxa" w:w="50"/>
              <w:left w:type="dxa" w:w="90"/>
              <w:bottom w:type="dxa" w:w="50"/>
              <w:right w:type="dxa" w:w="90"/>
            </w:tcMar>
            <w:vAlign w:val="center"/>
          </w:tcPr>
          <w:p>
            <w:pPr>
              <w:spacing w:after="0" w:line="240"/>
              <w:jc w:val="left"/>
            </w:pPr>
          </w:p>
        </w:tc>
      </w:tr>
      <w:tr>
        <w:trPr>
          <w:cantSplit/>
        </w:trPr>
        <w:tc>
          <w:tcPr>
            <w:tcW w:type="dxa" w:w="2100"/>
            <w:tcMar>
              <w:top w:type="dxa" w:w="50"/>
              <w:left w:type="dxa" w:w="90"/>
              <w:bottom w:type="dxa" w:w="50"/>
              <w:right w:type="dxa" w:w="90"/>
            </w:tcMar>
            <w:vAlign w:val="center"/>
          </w:tcPr>
          <w:p>
            <w:pPr>
              <w:spacing w:after="0" w:line="240"/>
              <w:jc w:val="left"/>
            </w:pPr>
            <w:r>
              <w:rPr>
                <w:b w:val="false"/>
                <w:bCs w:val="false"/>
                <w:sz w:val="17"/>
                <w:szCs w:val="17"/>
              </w:rPr>
              <w:t xml:space="preserve">Hot season (May-Oct)</w:t>
            </w:r>
          </w:p>
        </w:tc>
        <w:tc>
          <w:tcPr>
            <w:tcW w:type="dxa" w:w="2600"/>
            <w:tcMar>
              <w:top w:type="dxa" w:w="50"/>
              <w:left w:type="dxa" w:w="90"/>
              <w:bottom w:type="dxa" w:w="50"/>
              <w:right w:type="dxa" w:w="90"/>
            </w:tcMar>
            <w:vAlign w:val="center"/>
          </w:tcPr>
          <w:p>
            <w:pPr>
              <w:spacing w:after="0" w:line="240"/>
              <w:jc w:val="left"/>
            </w:pPr>
          </w:p>
        </w:tc>
        <w:tc>
          <w:tcPr>
            <w:tcW w:type="dxa" w:w="2400"/>
            <w:tcMar>
              <w:top w:type="dxa" w:w="50"/>
              <w:left w:type="dxa" w:w="90"/>
              <w:bottom w:type="dxa" w:w="50"/>
              <w:right w:type="dxa" w:w="90"/>
            </w:tcMar>
            <w:vAlign w:val="center"/>
          </w:tcPr>
          <w:p>
            <w:pPr>
              <w:spacing w:after="0" w:line="240"/>
              <w:jc w:val="left"/>
            </w:pPr>
            <w:r>
              <w:rPr>
                <w:b w:val="false"/>
                <w:bCs w:val="false"/>
                <w:sz w:val="17"/>
                <w:szCs w:val="17"/>
              </w:rPr>
              <w:t xml:space="preserve">AC 12 h/day at 25 °C</w:t>
            </w:r>
          </w:p>
        </w:tc>
        <w:tc>
          <w:tcPr>
            <w:tcW w:type="dxa" w:w="2312"/>
            <w:tcMar>
              <w:top w:type="dxa" w:w="50"/>
              <w:left w:type="dxa" w:w="90"/>
              <w:bottom w:type="dxa" w:w="50"/>
              <w:right w:type="dxa" w:w="90"/>
            </w:tcMar>
            <w:vAlign w:val="center"/>
          </w:tcPr>
          <w:p>
            <w:pPr>
              <w:spacing w:after="0" w:line="240"/>
              <w:jc w:val="left"/>
            </w:pPr>
            <w:r>
              <w:rPr>
                <w:b w:val="false"/>
                <w:bCs w:val="false"/>
                <w:sz w:val="17"/>
                <w:szCs w:val="17"/>
              </w:rPr>
              <w:t xml:space="preserve">Octopus about HK$140/month</w:t>
            </w:r>
          </w:p>
        </w:tc>
      </w:tr>
      <w:tr>
        <w:trPr>
          <w:cantSplit/>
        </w:trPr>
        <w:tc>
          <w:tcPr>
            <w:tcW w:type="dxa" w:w="2100"/>
            <w:tcMar>
              <w:top w:type="dxa" w:w="50"/>
              <w:left w:type="dxa" w:w="90"/>
              <w:bottom w:type="dxa" w:w="50"/>
              <w:right w:type="dxa" w:w="90"/>
            </w:tcMar>
            <w:vAlign w:val="center"/>
          </w:tcPr>
          <w:p>
            <w:pPr>
              <w:spacing w:after="0" w:line="240"/>
              <w:jc w:val="left"/>
            </w:pPr>
            <w:r>
              <w:rPr>
                <w:b w:val="false"/>
                <w:bCs w:val="false"/>
                <w:sz w:val="17"/>
                <w:szCs w:val="17"/>
              </w:rPr>
              <w:t xml:space="preserve">Cool season (Nov-Apr)</w:t>
            </w:r>
          </w:p>
        </w:tc>
        <w:tc>
          <w:tcPr>
            <w:tcW w:type="dxa" w:w="2600"/>
            <w:tcMar>
              <w:top w:type="dxa" w:w="50"/>
              <w:left w:type="dxa" w:w="90"/>
              <w:bottom w:type="dxa" w:w="50"/>
              <w:right w:type="dxa" w:w="90"/>
            </w:tcMar>
            <w:vAlign w:val="center"/>
          </w:tcPr>
          <w:p>
            <w:pPr>
              <w:spacing w:after="0" w:line="240"/>
              <w:jc w:val="left"/>
            </w:pPr>
          </w:p>
        </w:tc>
        <w:tc>
          <w:tcPr>
            <w:tcW w:type="dxa" w:w="2400"/>
            <w:tcMar>
              <w:top w:type="dxa" w:w="50"/>
              <w:left w:type="dxa" w:w="90"/>
              <w:bottom w:type="dxa" w:w="50"/>
              <w:right w:type="dxa" w:w="90"/>
            </w:tcMar>
            <w:vAlign w:val="center"/>
          </w:tcPr>
          <w:p>
            <w:pPr>
              <w:spacing w:after="0" w:line="240"/>
              <w:jc w:val="left"/>
            </w:pPr>
            <w:r>
              <w:rPr>
                <w:b w:val="false"/>
                <w:bCs w:val="false"/>
                <w:sz w:val="17"/>
                <w:szCs w:val="17"/>
              </w:rPr>
              <w:t xml:space="preserve">AC 4 h/day</w:t>
            </w:r>
          </w:p>
        </w:tc>
        <w:tc>
          <w:tcPr>
            <w:tcW w:type="dxa" w:w="2312"/>
            <w:tcMar>
              <w:top w:type="dxa" w:w="50"/>
              <w:left w:type="dxa" w:w="90"/>
              <w:bottom w:type="dxa" w:w="50"/>
              <w:right w:type="dxa" w:w="90"/>
            </w:tcMar>
            <w:vAlign w:val="center"/>
          </w:tcPr>
          <w:p>
            <w:pPr>
              <w:spacing w:after="0" w:line="240"/>
              <w:jc w:val="left"/>
            </w:pPr>
            <w:r>
              <w:rPr>
                <w:b w:val="false"/>
                <w:bCs w:val="false"/>
                <w:sz w:val="17"/>
                <w:szCs w:val="17"/>
              </w:rPr>
              <w:t xml:space="preserve">Octopus about HK$50/month</w:t>
            </w:r>
          </w:p>
        </w:tc>
      </w:tr>
      <w:tr>
        <w:trPr>
          <w:cantSplit/>
        </w:trPr>
        <w:tc>
          <w:tcPr>
            <w:tcW w:type="dxa" w:w="2100"/>
            <w:tcMar>
              <w:top w:type="dxa" w:w="50"/>
              <w:left w:type="dxa" w:w="90"/>
              <w:bottom w:type="dxa" w:w="50"/>
              <w:right w:type="dxa" w:w="90"/>
            </w:tcMar>
            <w:vAlign w:val="center"/>
          </w:tcPr>
          <w:p>
            <w:pPr>
              <w:spacing w:after="0" w:line="240"/>
              <w:jc w:val="left"/>
            </w:pPr>
            <w:r>
              <w:rPr>
                <w:b w:val="false"/>
                <w:bCs w:val="false"/>
                <w:sz w:val="17"/>
                <w:szCs w:val="17"/>
              </w:rPr>
              <w:t xml:space="preserve">Year</w:t>
            </w:r>
          </w:p>
        </w:tc>
        <w:tc>
          <w:tcPr>
            <w:tcW w:type="dxa" w:w="2600"/>
            <w:tcMar>
              <w:top w:type="dxa" w:w="50"/>
              <w:left w:type="dxa" w:w="90"/>
              <w:bottom w:type="dxa" w:w="50"/>
              <w:right w:type="dxa" w:w="90"/>
            </w:tcMar>
            <w:vAlign w:val="center"/>
          </w:tcPr>
          <w:p>
            <w:pPr>
              <w:spacing w:after="0" w:line="240"/>
              <w:jc w:val="left"/>
            </w:pPr>
            <w:r>
              <w:rPr>
                <w:b w:val="false"/>
                <w:bCs w:val="false"/>
                <w:sz w:val="17"/>
                <w:szCs w:val="17"/>
              </w:rPr>
              <w:t xml:space="preserve">About 11 of 12 months in Hong Kong</w:t>
            </w:r>
          </w:p>
        </w:tc>
        <w:tc>
          <w:tcPr>
            <w:tcW w:type="dxa" w:w="2400"/>
            <w:tcMar>
              <w:top w:type="dxa" w:w="50"/>
              <w:left w:type="dxa" w:w="90"/>
              <w:bottom w:type="dxa" w:w="50"/>
              <w:right w:type="dxa" w:w="90"/>
            </w:tcMar>
            <w:vAlign w:val="center"/>
          </w:tcPr>
          <w:p>
            <w:pPr>
              <w:spacing w:after="0" w:line="240"/>
              <w:jc w:val="left"/>
            </w:pPr>
          </w:p>
        </w:tc>
        <w:tc>
          <w:tcPr>
            <w:tcW w:type="dxa" w:w="2312"/>
            <w:tcMar>
              <w:top w:type="dxa" w:w="50"/>
              <w:left w:type="dxa" w:w="90"/>
              <w:bottom w:type="dxa" w:w="50"/>
              <w:right w:type="dxa" w:w="90"/>
            </w:tcMar>
            <w:vAlign w:val="center"/>
          </w:tcPr>
          <w:p>
            <w:pPr>
              <w:spacing w:after="0" w:line="240"/>
              <w:jc w:val="left"/>
            </w:pPr>
            <w:r>
              <w:rPr>
                <w:b w:val="false"/>
                <w:bCs w:val="false"/>
                <w:sz w:val="17"/>
                <w:szCs w:val="17"/>
              </w:rPr>
              <w:t xml:space="preserve">1-month break (Section 11)</w:t>
            </w:r>
          </w:p>
        </w:tc>
      </w:tr>
    </w:tbl>
    <w:p>
      <w:pPr>
        <w:pStyle w:val="Heading2"/>
      </w:pPr>
      <w:r>
        <w:rPr>
          <w:b w:val="false"/>
          <w:bCs w:val="false"/>
        </w:rPr>
        <w:t xml:space="preserve">4.5  Shared facilities</w:t>
      </w:r>
    </w:p>
    <w:p>
      <w:pPr>
        <w:pStyle w:val="ListParagraph"/>
        <w:numPr>
          <w:ilvl w:val="0"/>
          <w:numId w:val="2"/>
        </w:numPr>
        <w:spacing w:after="60" w:line="264"/>
      </w:pPr>
      <w:r>
        <w:rPr>
          <w:b/>
          <w:bCs/>
        </w:rPr>
        <w:t xml:space="preserve">Washroom</w:t>
      </w:r>
      <w:r>
        <w:rPr>
          <w:b w:val="false"/>
          <w:bCs w:val="false"/>
        </w:rPr>
        <w:t xml:space="preserve"> (4 users): Stiebel Eltron DHB-E 27 electronic instantaneous water heater (24.4 kW at 380 V) [16], three LED downlights on an occupancy sensor, and a window exhaust fan that runs continuously.</w:t>
      </w:r>
    </w:p>
    <w:p>
      <w:pPr>
        <w:pStyle w:val="ListParagraph"/>
        <w:numPr>
          <w:ilvl w:val="0"/>
          <w:numId w:val="2"/>
        </w:numPr>
        <w:spacing w:after="60" w:line="264"/>
      </w:pPr>
      <w:r>
        <w:rPr>
          <w:b/>
          <w:bCs/>
        </w:rPr>
        <w:t xml:space="preserve">Floor kitchen</w:t>
      </w:r>
      <w:r>
        <w:rPr>
          <w:b w:val="false"/>
          <w:bCs w:val="false"/>
        </w:rPr>
        <w:t xml:space="preserve"> (32 residents with access, about 20 active): two Panasonic NR-BV361B refrigerators, an Aquatek AQ-1323T three-temperature water dispenser, two Philips HD4911/80 induction hobs, a Toshiba microwave, and a Toshiba 7.0 kW split AC.</w:t>
      </w:r>
    </w:p>
    <w:p>
      <w:pPr>
        <w:pStyle w:val="ListParagraph"/>
        <w:numPr>
          <w:ilvl w:val="0"/>
          <w:numId w:val="2"/>
        </w:numPr>
        <w:spacing w:after="60" w:line="264"/>
      </w:pPr>
      <w:r>
        <w:rPr>
          <w:b/>
          <w:bCs/>
        </w:rPr>
        <w:t xml:space="preserve">Hall laundry:</w:t>
      </w:r>
      <w:r>
        <w:rPr>
          <w:b w:val="false"/>
          <w:bCs w:val="false"/>
        </w:rPr>
        <w:t xml:space="preserve"> shared washers and dryers. The auditor uses one cold-wash load (45 min) and 12 minutes of drying per week.</w:t>
      </w:r>
    </w:p>
    <w:p>
      <w:pPr>
        <w:pStyle w:val="Heading1"/>
        <w:pageBreakBefore/>
      </w:pPr>
      <w:r>
        <w:rPr>
          <w:b w:val="false"/>
          <w:bCs w:val="false"/>
        </w:rPr>
        <w:t xml:space="preserve">5  Equipment inventory and operating characteristics</w:t>
      </w:r>
    </w:p>
    <w:p>
      <w:pPr>
        <w:spacing w:after="120" w:before="0" w:line="276"/>
        <w:jc w:val="both"/>
      </w:pPr>
      <w:r>
        <w:rPr>
          <w:b w:val="false"/>
          <w:bCs w:val="false"/>
        </w:rPr>
        <w:t xml:space="preserve">Table 5.1 lists every energy-using item within the boundary, the evidence behind its rating, how it is used, and its annual energy. Ratings come from nameplates and energy labels photographed on site wherever possible (Appendix B). This fulfils EAC §7.2(b), §7.3.1 and §8.1(c).</w:t>
      </w:r>
    </w:p>
    <w:p>
      <w:pPr>
        <w:keepNext/>
        <w:spacing w:after="80" w:before="160"/>
      </w:pPr>
      <w:r>
        <w:rPr>
          <w:b/>
          <w:bCs/>
          <w:color w:val="1F3864"/>
          <w:sz w:val="18"/>
          <w:szCs w:val="18"/>
        </w:rPr>
        <w:t xml:space="preserve">Table 5.1: Equipment inventory and annual energy (household = Room 1003B)</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540"/>
        <w:gridCol w:w="1950"/>
        <w:gridCol w:w="2850"/>
        <w:gridCol w:w="1150"/>
        <w:gridCol w:w="620"/>
        <w:gridCol w:w="1150"/>
        <w:gridCol w:w="1152"/>
      </w:tblGrid>
      <w:tr>
        <w:trPr>
          <w:tblHeader/>
        </w:trPr>
        <w:tc>
          <w:tcPr>
            <w:tcW w:type="dxa" w:w="54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ID</w:t>
            </w:r>
          </w:p>
        </w:tc>
        <w:tc>
          <w:tcPr>
            <w:tcW w:type="dxa" w:w="195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Item</w:t>
            </w:r>
          </w:p>
        </w:tc>
        <w:tc>
          <w:tcPr>
            <w:tcW w:type="dxa" w:w="285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Make / model / evidence</w:t>
            </w:r>
          </w:p>
        </w:tc>
        <w:tc>
          <w:tcPr>
            <w:tcW w:type="dxa" w:w="115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Use</w:t>
            </w:r>
          </w:p>
        </w:tc>
        <w:tc>
          <w:tcPr>
            <w:tcW w:type="dxa" w:w="620"/>
            <w:shd w:fill="DCE6F0" w:color="auto" w:val="clear"/>
            <w:tcMar>
              <w:top w:type="dxa" w:w="50"/>
              <w:left w:type="dxa" w:w="90"/>
              <w:bottom w:type="dxa" w:w="50"/>
              <w:right w:type="dxa" w:w="90"/>
            </w:tcMar>
            <w:vAlign w:val="center"/>
          </w:tcPr>
          <w:p>
            <w:pPr>
              <w:spacing w:after="0" w:line="240"/>
              <w:jc w:val="center"/>
            </w:pPr>
            <w:r>
              <w:rPr>
                <w:b/>
                <w:bCs/>
                <w:color w:val="1F3864"/>
                <w:sz w:val="15"/>
                <w:szCs w:val="15"/>
              </w:rPr>
              <w:t xml:space="preserve">Share</w:t>
            </w:r>
          </w:p>
        </w:tc>
        <w:tc>
          <w:tcPr>
            <w:tcW w:type="dxa" w:w="115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Household kWh/yr</w:t>
            </w:r>
          </w:p>
        </w:tc>
        <w:tc>
          <w:tcPr>
            <w:tcW w:type="dxa" w:w="1152"/>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Per person kWh/yr</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R1</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Window air-conditioner</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Midea MW-12CRF8E, 1.5 HP inverter, R32, Grade 1</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Octopus spend ÷ tariff</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810.8</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405.4</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R2</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Ceiling LED linear battens</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2 surface battens (no label visible)</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6.0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87.6</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43.8</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R3</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Under-shelf LED desk lights</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Integrated in furniture</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4.0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29.2</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14.6</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R4</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Oscillating desk fan</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ZW02-180, 20 W nameplate</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12.0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87.6</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43.8</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R5</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Laptops (auditor + roommate)</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HP 65 W adapter TPN-CA17 (avg draw 50%)</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8.0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189.8</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94.9</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R6</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Phone chargers</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Typical 20 W fast charger</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1.0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14.6</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7.3</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W1</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Instantaneous water heater (household showers)</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Stiebel Eltron DHB-E 27, 24.4 kW @380 V</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See HotWater sheet</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634.7</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317.4</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W2</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Window exhaust fan (runs 24 h)</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J.E.E. window fan (label not visible)</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24.0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2/4</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131.4</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65.7</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W3</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LED downlights (occupancy sensor)</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3 surface downlights</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3.0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2/4</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16.4</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8.2</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K1</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Refrigerators</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Panasonic NR-BV361B, Grade 1, 263 kWh/yr label</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Energy label</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2/32</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32.9</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16.4</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K2</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3-temperature water dispenser</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Aquatek AQ-1323T, 750 W heater + 160 W compressor</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1.5 kWh/day (assumed)</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2/32</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34.2</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17.1</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K3</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Split air-conditioner</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Toshiba RAS-24J2KCV-HK, 7.0 kW, R410A, Grade 1 (688 kWh/1,200 h)</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8 h/day hot, 4 h/day cool</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2/32</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78.7</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39.3</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K4</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Kitchen lighting</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Not photographed</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16.0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2/32</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32.9</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16.4</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K5</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Induction cooking (household)</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Philips HD4911/80, 2,100 W max, Grade 2 (88.1%)</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0.4 h/day</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312.0</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156.0</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L1</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Washing machine (household)</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Hall machine, cold wash 45 min</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1 load/week each</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31.2</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15.6</w:t>
            </w:r>
          </w:p>
        </w:tc>
      </w:tr>
      <w:tr>
        <w:trPr>
          <w:cantSplit/>
        </w:trPr>
        <w:tc>
          <w:tcPr>
            <w:tcW w:type="dxa" w:w="540"/>
            <w:tcMar>
              <w:top w:type="dxa" w:w="50"/>
              <w:left w:type="dxa" w:w="90"/>
              <w:bottom w:type="dxa" w:w="50"/>
              <w:right w:type="dxa" w:w="90"/>
            </w:tcMar>
            <w:vAlign w:val="center"/>
          </w:tcPr>
          <w:p>
            <w:pPr>
              <w:spacing w:after="0" w:line="240"/>
              <w:jc w:val="left"/>
            </w:pPr>
            <w:r>
              <w:rPr>
                <w:b w:val="false"/>
                <w:bCs w:val="false"/>
                <w:sz w:val="15"/>
                <w:szCs w:val="15"/>
              </w:rPr>
              <w:t xml:space="preserve">L2</w:t>
            </w:r>
          </w:p>
        </w:tc>
        <w:tc>
          <w:tcPr>
            <w:tcW w:type="dxa" w:w="1950"/>
            <w:tcMar>
              <w:top w:type="dxa" w:w="50"/>
              <w:left w:type="dxa" w:w="90"/>
              <w:bottom w:type="dxa" w:w="50"/>
              <w:right w:type="dxa" w:w="90"/>
            </w:tcMar>
            <w:vAlign w:val="center"/>
          </w:tcPr>
          <w:p>
            <w:pPr>
              <w:spacing w:after="0" w:line="240"/>
              <w:jc w:val="left"/>
            </w:pPr>
            <w:r>
              <w:rPr>
                <w:b w:val="false"/>
                <w:bCs w:val="false"/>
                <w:sz w:val="15"/>
                <w:szCs w:val="15"/>
              </w:rPr>
              <w:t xml:space="preserve">Tumble dryer (household)</w:t>
            </w:r>
          </w:p>
        </w:tc>
        <w:tc>
          <w:tcPr>
            <w:tcW w:type="dxa" w:w="2850"/>
            <w:tcMar>
              <w:top w:type="dxa" w:w="50"/>
              <w:left w:type="dxa" w:w="90"/>
              <w:bottom w:type="dxa" w:w="50"/>
              <w:right w:type="dxa" w:w="90"/>
            </w:tcMar>
            <w:vAlign w:val="center"/>
          </w:tcPr>
          <w:p>
            <w:pPr>
              <w:spacing w:after="0" w:line="240"/>
              <w:jc w:val="left"/>
            </w:pPr>
            <w:r>
              <w:rPr>
                <w:b w:val="false"/>
                <w:bCs w:val="false"/>
                <w:sz w:val="15"/>
                <w:szCs w:val="15"/>
              </w:rPr>
              <w:t xml:space="preserve">Hall machine, 12 min per load</w:t>
            </w:r>
          </w:p>
        </w:tc>
        <w:tc>
          <w:tcPr>
            <w:tcW w:type="dxa" w:w="1150"/>
            <w:tcMar>
              <w:top w:type="dxa" w:w="50"/>
              <w:left w:type="dxa" w:w="90"/>
              <w:bottom w:type="dxa" w:w="50"/>
              <w:right w:type="dxa" w:w="90"/>
            </w:tcMar>
            <w:vAlign w:val="center"/>
          </w:tcPr>
          <w:p>
            <w:pPr>
              <w:spacing w:after="0" w:line="240"/>
              <w:jc w:val="left"/>
            </w:pPr>
            <w:r>
              <w:rPr>
                <w:b w:val="false"/>
                <w:bCs w:val="false"/>
                <w:sz w:val="15"/>
                <w:szCs w:val="15"/>
              </w:rPr>
              <w:t xml:space="preserve">12 min/load</w:t>
            </w:r>
          </w:p>
        </w:tc>
        <w:tc>
          <w:tcPr>
            <w:tcW w:type="dxa" w:w="62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1150"/>
            <w:tcMar>
              <w:top w:type="dxa" w:w="50"/>
              <w:left w:type="dxa" w:w="90"/>
              <w:bottom w:type="dxa" w:w="50"/>
              <w:right w:type="dxa" w:w="90"/>
            </w:tcMar>
            <w:vAlign w:val="center"/>
          </w:tcPr>
          <w:p>
            <w:pPr>
              <w:spacing w:after="0" w:line="240"/>
              <w:jc w:val="right"/>
            </w:pPr>
            <w:r>
              <w:rPr>
                <w:b w:val="false"/>
                <w:bCs w:val="false"/>
                <w:sz w:val="15"/>
                <w:szCs w:val="15"/>
              </w:rPr>
              <w:t xml:space="preserve">62.4</w:t>
            </w:r>
          </w:p>
        </w:tc>
        <w:tc>
          <w:tcPr>
            <w:tcW w:type="dxa" w:w="1152"/>
            <w:tcMar>
              <w:top w:type="dxa" w:w="50"/>
              <w:left w:type="dxa" w:w="90"/>
              <w:bottom w:type="dxa" w:w="50"/>
              <w:right w:type="dxa" w:w="90"/>
            </w:tcMar>
            <w:vAlign w:val="center"/>
          </w:tcPr>
          <w:p>
            <w:pPr>
              <w:spacing w:after="0" w:line="240"/>
              <w:jc w:val="right"/>
            </w:pPr>
            <w:r>
              <w:rPr>
                <w:b w:val="false"/>
                <w:bCs w:val="false"/>
                <w:sz w:val="15"/>
                <w:szCs w:val="15"/>
              </w:rPr>
              <w:t xml:space="preserve">31.2</w:t>
            </w:r>
          </w:p>
        </w:tc>
      </w:tr>
      <w:tr>
        <w:trPr>
          <w:cantSplit/>
        </w:trPr>
        <w:tc>
          <w:tcPr>
            <w:tcW w:type="dxa" w:w="540"/>
            <w:shd w:fill="F2F2F2" w:color="auto" w:val="clear"/>
            <w:tcMar>
              <w:top w:type="dxa" w:w="50"/>
              <w:left w:type="dxa" w:w="90"/>
              <w:bottom w:type="dxa" w:w="50"/>
              <w:right w:type="dxa" w:w="90"/>
            </w:tcMar>
            <w:vAlign w:val="center"/>
          </w:tcPr>
          <w:p>
            <w:pPr>
              <w:spacing w:after="0" w:line="240"/>
              <w:jc w:val="left"/>
            </w:pPr>
          </w:p>
        </w:tc>
        <w:tc>
          <w:tcPr>
            <w:tcW w:type="dxa" w:w="1950"/>
            <w:shd w:fill="F2F2F2" w:color="auto" w:val="clear"/>
            <w:tcMar>
              <w:top w:type="dxa" w:w="50"/>
              <w:left w:type="dxa" w:w="90"/>
              <w:bottom w:type="dxa" w:w="50"/>
              <w:right w:type="dxa" w:w="90"/>
            </w:tcMar>
            <w:vAlign w:val="center"/>
          </w:tcPr>
          <w:p>
            <w:pPr>
              <w:spacing w:after="0" w:line="240"/>
              <w:jc w:val="left"/>
            </w:pPr>
            <w:r>
              <w:rPr>
                <w:b/>
                <w:bCs/>
                <w:sz w:val="15"/>
                <w:szCs w:val="15"/>
              </w:rPr>
              <w:t xml:space="preserve">Total</w:t>
            </w:r>
          </w:p>
        </w:tc>
        <w:tc>
          <w:tcPr>
            <w:tcW w:type="dxa" w:w="2850"/>
            <w:shd w:fill="F2F2F2" w:color="auto" w:val="clear"/>
            <w:tcMar>
              <w:top w:type="dxa" w:w="50"/>
              <w:left w:type="dxa" w:w="90"/>
              <w:bottom w:type="dxa" w:w="50"/>
              <w:right w:type="dxa" w:w="90"/>
            </w:tcMar>
            <w:vAlign w:val="center"/>
          </w:tcPr>
          <w:p>
            <w:pPr>
              <w:spacing w:after="0" w:line="240"/>
              <w:jc w:val="left"/>
            </w:pPr>
          </w:p>
        </w:tc>
        <w:tc>
          <w:tcPr>
            <w:tcW w:type="dxa" w:w="1150"/>
            <w:shd w:fill="F2F2F2" w:color="auto" w:val="clear"/>
            <w:tcMar>
              <w:top w:type="dxa" w:w="50"/>
              <w:left w:type="dxa" w:w="90"/>
              <w:bottom w:type="dxa" w:w="50"/>
              <w:right w:type="dxa" w:w="90"/>
            </w:tcMar>
            <w:vAlign w:val="center"/>
          </w:tcPr>
          <w:p>
            <w:pPr>
              <w:spacing w:after="0" w:line="240"/>
              <w:jc w:val="left"/>
            </w:pPr>
          </w:p>
        </w:tc>
        <w:tc>
          <w:tcPr>
            <w:tcW w:type="dxa" w:w="620"/>
            <w:shd w:fill="F2F2F2" w:color="auto" w:val="clear"/>
            <w:tcMar>
              <w:top w:type="dxa" w:w="50"/>
              <w:left w:type="dxa" w:w="90"/>
              <w:bottom w:type="dxa" w:w="50"/>
              <w:right w:type="dxa" w:w="90"/>
            </w:tcMar>
            <w:vAlign w:val="center"/>
          </w:tcPr>
          <w:p>
            <w:pPr>
              <w:spacing w:after="0" w:line="240"/>
              <w:jc w:val="center"/>
            </w:pPr>
          </w:p>
        </w:tc>
        <w:tc>
          <w:tcPr>
            <w:tcW w:type="dxa" w:w="1150"/>
            <w:shd w:fill="F2F2F2" w:color="auto" w:val="clear"/>
            <w:tcMar>
              <w:top w:type="dxa" w:w="50"/>
              <w:left w:type="dxa" w:w="90"/>
              <w:bottom w:type="dxa" w:w="50"/>
              <w:right w:type="dxa" w:w="90"/>
            </w:tcMar>
            <w:vAlign w:val="center"/>
          </w:tcPr>
          <w:p>
            <w:pPr>
              <w:spacing w:after="0" w:line="240"/>
              <w:jc w:val="right"/>
            </w:pPr>
            <w:r>
              <w:rPr>
                <w:b/>
                <w:bCs/>
                <w:sz w:val="15"/>
                <w:szCs w:val="15"/>
              </w:rPr>
              <w:t xml:space="preserve">2,586.4</w:t>
            </w:r>
          </w:p>
        </w:tc>
        <w:tc>
          <w:tcPr>
            <w:tcW w:type="dxa" w:w="1152"/>
            <w:shd w:fill="F2F2F2" w:color="auto" w:val="clear"/>
            <w:tcMar>
              <w:top w:type="dxa" w:w="50"/>
              <w:left w:type="dxa" w:w="90"/>
              <w:bottom w:type="dxa" w:w="50"/>
              <w:right w:type="dxa" w:w="90"/>
            </w:tcMar>
            <w:vAlign w:val="center"/>
          </w:tcPr>
          <w:p>
            <w:pPr>
              <w:spacing w:after="0" w:line="240"/>
              <w:jc w:val="right"/>
            </w:pPr>
            <w:r>
              <w:rPr>
                <w:b/>
                <w:bCs/>
                <w:sz w:val="15"/>
                <w:szCs w:val="15"/>
              </w:rPr>
              <w:t xml:space="preserve">1,293.2</w:t>
            </w:r>
          </w:p>
        </w:tc>
      </w:tr>
    </w:tbl>
    <w:p>
      <w:pPr>
        <w:pStyle w:val="Heading2"/>
      </w:pPr>
      <w:r>
        <w:rPr>
          <w:b w:val="false"/>
          <w:bCs w:val="false"/>
        </w:rPr>
        <w:t xml:space="preserve">5.1  Air-conditioning (EAC §8.1(e))</w:t>
      </w:r>
    </w:p>
    <w:p>
      <w:pPr>
        <w:spacing w:after="40" w:before="0" w:line="276"/>
        <w:jc w:val="both"/>
      </w:pPr>
      <w:r>
        <w:rPr>
          <w:b w:val="false"/>
          <w:bCs w:val="false"/>
        </w:rPr>
        <w:t xml:space="preserve">The room AC is a </w:t>
      </w:r>
      <w:r>
        <w:rPr>
          <w:b/>
          <w:bCs/>
        </w:rPr>
        <w:t xml:space="preserve">Midea MW-12CRF8E</w:t>
      </w:r>
      <w:r>
        <w:rPr>
          <w:b w:val="false"/>
          <w:bCs w:val="false"/>
        </w:rPr>
        <w:t xml:space="preserve"> 1.5 HP inverter window unit. It is air-cooled (heat is rejected outdoors through the window sleeve) and uses refrigerant R32.</w:t>
      </w:r>
    </w:p>
    <w:p>
      <w:pPr>
        <w:pStyle w:val="ListParagraph"/>
        <w:numPr>
          <w:ilvl w:val="0"/>
          <w:numId w:val="2"/>
        </w:numPr>
        <w:spacing w:after="60" w:line="264"/>
      </w:pPr>
      <w:r>
        <w:rPr>
          <w:b w:val="false"/>
          <w:bCs w:val="false"/>
        </w:rPr>
        <w:t xml:space="preserve">Rated cooling capacity: 3.34 kW (11,400 Btu/h).</w:t>
      </w:r>
    </w:p>
    <w:p>
      <w:pPr>
        <w:pStyle w:val="ListParagraph"/>
        <w:numPr>
          <w:ilvl w:val="0"/>
          <w:numId w:val="2"/>
        </w:numPr>
        <w:spacing w:after="60" w:line="264"/>
      </w:pPr>
      <w:r>
        <w:rPr>
          <w:b w:val="false"/>
          <w:bCs w:val="false"/>
        </w:rPr>
        <w:t xml:space="preserve">Rated input: 1.192 kW, giving an EER of 2.80 kW/kW.</w:t>
      </w:r>
    </w:p>
    <w:p>
      <w:pPr>
        <w:pStyle w:val="ListParagraph"/>
        <w:numPr>
          <w:ilvl w:val="0"/>
          <w:numId w:val="2"/>
        </w:numPr>
        <w:spacing w:after="60" w:line="264"/>
      </w:pPr>
      <w:r>
        <w:rPr>
          <w:b w:val="false"/>
          <w:bCs w:val="false"/>
        </w:rPr>
        <w:t xml:space="preserve">Seasonal performance: CSPF 4.66, HK Energy Label </w:t>
      </w:r>
      <w:r>
        <w:rPr>
          <w:b/>
          <w:bCs/>
        </w:rPr>
        <w:t xml:space="preserve">Grade 1</w:t>
      </w:r>
      <w:r>
        <w:rPr>
          <w:b w:val="false"/>
          <w:bCs w:val="false"/>
        </w:rPr>
        <w:t xml:space="preserve">.</w:t>
      </w:r>
    </w:p>
    <w:p>
      <w:pPr>
        <w:pStyle w:val="ListParagraph"/>
        <w:numPr>
          <w:ilvl w:val="0"/>
          <w:numId w:val="2"/>
        </w:numPr>
        <w:spacing w:after="60" w:line="264"/>
      </w:pPr>
      <w:r>
        <w:rPr>
          <w:b w:val="false"/>
          <w:bCs w:val="false"/>
        </w:rPr>
        <w:t xml:space="preserve">Label consumption: 362 kWh/yr for 1,200 operating hours [9], [28]. This implies an average seasonal input of only </w:t>
      </w:r>
      <w:r>
        <w:rPr>
          <w:b/>
          <w:bCs/>
        </w:rPr>
        <w:t xml:space="preserve">0.302 kW</w:t>
      </w:r>
      <w:r>
        <w:rPr>
          <w:b w:val="false"/>
          <w:bCs w:val="false"/>
        </w:rPr>
        <w:t xml:space="preserve">, about a quarter of the rated input, because the inverter compressor modulates at part load.</w:t>
      </w:r>
    </w:p>
    <w:p>
      <w:pPr>
        <w:pStyle w:val="ListParagraph"/>
        <w:numPr>
          <w:ilvl w:val="0"/>
          <w:numId w:val="2"/>
        </w:numPr>
        <w:spacing w:after="60" w:line="264"/>
      </w:pPr>
      <w:r>
        <w:rPr>
          <w:b w:val="false"/>
          <w:bCs w:val="false"/>
        </w:rPr>
        <w:t xml:space="preserve">Controls include Eco, Dry, Timer and fan-speed modes, all usable for EMOs.</w:t>
      </w:r>
    </w:p>
    <w:p>
      <w:pPr>
        <w:pStyle w:val="ListParagraph"/>
        <w:numPr>
          <w:ilvl w:val="0"/>
          <w:numId w:val="2"/>
        </w:numPr>
        <w:spacing w:after="120" w:line="264"/>
      </w:pPr>
      <w:r>
        <w:rPr>
          <w:b w:val="false"/>
          <w:bCs w:val="false"/>
        </w:rPr>
        <w:t xml:space="preserve">System type (EAC §8.1(e)(iii)): unitary air-conditioners only. There is no central chilled-water plant or air-distribution system within the boundary.</w:t>
      </w:r>
    </w:p>
    <w:p>
      <w:pPr>
        <w:spacing w:after="120" w:before="0" w:line="276"/>
        <w:jc w:val="both"/>
      </w:pPr>
      <w:r>
        <w:rPr>
          <w:b w:val="false"/>
          <w:bCs w:val="false"/>
        </w:rPr>
        <w:t xml:space="preserve">The shared kitchen has a </w:t>
      </w:r>
      <w:r>
        <w:rPr>
          <w:b/>
          <w:bCs/>
        </w:rPr>
        <w:t xml:space="preserve">Toshiba RAS-24J2KCV-HK</w:t>
      </w:r>
      <w:r>
        <w:rPr>
          <w:b w:val="false"/>
          <w:bCs w:val="false"/>
        </w:rPr>
        <w:t xml:space="preserve"> 7.0 kW inverter split unit (Grade 1, R-410A, 688 kWh per 1,200 h). Neither unit provides heating.</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4706"/>
              <w:gridCol w:w="4706"/>
            </w:tblGrid>
            <w:tr>
              <w:trPr>
                <w:cantSplit/>
              </w:trPr>
              <w:tc>
                <w:tcPr>
                  <w:tcW w:type="dxa" w:w="4706"/>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28670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67025" cy="215265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03b: Midea window AC - dark deposits on the discharge louvres</w:t>
                  </w:r>
                </w:p>
              </w:tc>
              <w:tc>
                <w:tcPr>
                  <w:tcW w:type="dxa" w:w="4706"/>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2838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38450" cy="238125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03a (energy-label part): Grade 1, R32, 362 kWh, 1.192 kW, CSPF 4.66</w:t>
                  </w:r>
                </w:p>
              </w:tc>
            </w:tr>
          </w:tbl>
          <w:p>
            <w:pPr>
              <w:spacing w:after="200" w:before="60"/>
              <w:jc w:val="center"/>
            </w:pPr>
            <w:r>
              <w:rPr>
                <w:b w:val="false"/>
                <w:bCs w:val="false"/>
                <w:i/>
                <w:iCs/>
                <w:color w:val="52514E"/>
                <w:sz w:val="17"/>
                <w:szCs w:val="17"/>
              </w:rPr>
              <w:t xml:space="preserve">Figure 5.1: Room air-conditioner and its rating</w:t>
            </w:r>
          </w:p>
        </w:tc>
      </w:tr>
    </w:tbl>
    <w:p>
      <w:pPr>
        <w:pStyle w:val="Heading2"/>
      </w:pPr>
      <w:r>
        <w:rPr>
          <w:b w:val="false"/>
          <w:bCs w:val="false"/>
        </w:rPr>
        <w:t xml:space="preserve">5.2  Lighting (EAC §8.1(f))</w:t>
      </w:r>
    </w:p>
    <w:p>
      <w:pPr>
        <w:spacing w:after="40" w:before="0" w:line="276"/>
        <w:jc w:val="both"/>
      </w:pPr>
      <w:r>
        <w:rPr>
          <w:b w:val="false"/>
          <w:bCs w:val="false"/>
        </w:rPr>
        <w:t xml:space="preserve">The room has two surface-mounted LED linear battens and two under-shelf LED desk lights. No label was visible, so 20 W per batten and 10 W per desk light are assumed.</w:t>
      </w:r>
    </w:p>
    <w:p>
      <w:pPr>
        <w:pStyle w:val="ListParagraph"/>
        <w:numPr>
          <w:ilvl w:val="0"/>
          <w:numId w:val="2"/>
        </w:numPr>
        <w:spacing w:after="60" w:line="264"/>
      </w:pPr>
      <w:r>
        <w:rPr>
          <w:b w:val="false"/>
          <w:bCs w:val="false"/>
        </w:rPr>
        <w:t xml:space="preserve">Total room lighting power: </w:t>
      </w:r>
      <w:r>
        <w:rPr>
          <w:b/>
          <w:bCs/>
        </w:rPr>
        <w:t xml:space="preserve">60 W</w:t>
      </w:r>
      <w:r>
        <w:rPr>
          <w:b w:val="false"/>
          <w:bCs w:val="false"/>
        </w:rPr>
        <w:t xml:space="preserve">, a lighting power density (LPD) of </w:t>
      </w:r>
      <w:r>
        <w:rPr>
          <w:b/>
          <w:bCs/>
        </w:rPr>
        <w:t xml:space="preserve">4.0 W/m²</w:t>
      </w:r>
      <w:r>
        <w:rPr>
          <w:b w:val="false"/>
          <w:bCs w:val="false"/>
        </w:rPr>
        <w:t xml:space="preserve">.</w:t>
      </w:r>
    </w:p>
    <w:p>
      <w:pPr>
        <w:pStyle w:val="ListParagraph"/>
        <w:numPr>
          <w:ilvl w:val="0"/>
          <w:numId w:val="2"/>
        </w:numPr>
        <w:spacing w:after="60" w:line="264"/>
      </w:pPr>
      <w:r>
        <w:rPr>
          <w:b w:val="false"/>
          <w:bCs w:val="false"/>
        </w:rPr>
        <w:t xml:space="preserve">This is 35% below the BEC 2021 limit of 6.2 W/m² for dormitories (6.1 W/m² in BEC 2024) [24]. The BEC applies to prescribed buildings, so it is used here only as a benchmark.</w:t>
      </w:r>
    </w:p>
    <w:p>
      <w:pPr>
        <w:pStyle w:val="ListParagraph"/>
        <w:numPr>
          <w:ilvl w:val="0"/>
          <w:numId w:val="2"/>
        </w:numPr>
        <w:spacing w:after="60" w:line="264"/>
      </w:pPr>
      <w:r>
        <w:rPr>
          <w:b w:val="false"/>
          <w:bCs w:val="false"/>
        </w:rPr>
        <w:t xml:space="preserve">The washroom's three LED downlights are switched by an occupancy sensor (about 3 h/day).</w:t>
      </w:r>
    </w:p>
    <w:p>
      <w:pPr>
        <w:pStyle w:val="Heading2"/>
      </w:pPr>
      <w:r>
        <w:rPr>
          <w:b w:val="false"/>
          <w:bCs w:val="false"/>
        </w:rPr>
        <w:t xml:space="preserve">5.3  Plug loads and the desk fan</w:t>
      </w:r>
    </w:p>
    <w:p>
      <w:pPr>
        <w:spacing w:after="120" w:before="0" w:line="276"/>
        <w:jc w:val="both"/>
      </w:pPr>
      <w:r>
        <w:rPr>
          <w:b w:val="false"/>
          <w:bCs w:val="false"/>
        </w:rPr>
        <w:t xml:space="preserve">The auditor's laptop uses an HP 65 W adapter (TPN-CA17, efficiency level VI, which limits no-load losses). Average draw while in use is assumed to be 50% of the adapter rating (32.5 W). Both occupants are assumed to use a laptop for 8 h/day and charge a phone for 1 h/day. The oscillating desk fan is rated at 20 W (nameplate) and runs 12 h/day. The occupants report unplugging devices at night, so standby loads are negligible.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8"/>
            </w:tblGrid>
            <w:tr>
              <w:trPr>
                <w:cantSplit/>
              </w:trPr>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87642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76425" cy="116205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06a: HP 65 W adapter, efficiency level VI</w:t>
                  </w:r>
                </w:p>
              </w:tc>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2192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19200" cy="16287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06b: desk fan label, 20 W</w:t>
                  </w:r>
                </w:p>
              </w:tc>
              <w:tc>
                <w:tcPr>
                  <w:tcW w:type="dxa" w:w="3138"/>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8764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76425" cy="140970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05a: ceiling LED battens</w:t>
                  </w:r>
                </w:p>
              </w:tc>
            </w:tr>
          </w:tbl>
          <w:p>
            <w:pPr>
              <w:spacing w:after="200" w:before="60"/>
              <w:jc w:val="center"/>
            </w:pPr>
            <w:r>
              <w:rPr>
                <w:b w:val="false"/>
                <w:bCs w:val="false"/>
                <w:i/>
                <w:iCs/>
                <w:color w:val="52514E"/>
                <w:sz w:val="17"/>
                <w:szCs w:val="17"/>
              </w:rPr>
              <w:t xml:space="preserve">Figure 5.2: Plug-load and lighting evidence</w:t>
            </w:r>
          </w:p>
        </w:tc>
      </w:tr>
    </w:tbl>
    <w:p>
      <w:pPr>
        <w:pStyle w:val="Heading2"/>
      </w:pPr>
      <w:r>
        <w:rPr>
          <w:b w:val="false"/>
          <w:bCs w:val="false"/>
        </w:rPr>
        <w:t xml:space="preserve">5.4  Water heating and washroom ventilation</w:t>
      </w:r>
    </w:p>
    <w:p>
      <w:pPr>
        <w:spacing w:after="120" w:before="0" w:line="276"/>
        <w:jc w:val="both"/>
      </w:pPr>
      <w:r>
        <w:rPr>
          <w:b w:val="false"/>
          <w:bCs w:val="false"/>
        </w:rPr>
        <w:t xml:space="preserve">Showers are heated by a </w:t>
      </w:r>
      <w:r>
        <w:rPr>
          <w:b/>
          <w:bCs/>
        </w:rPr>
        <w:t xml:space="preserve">Stiebel Eltron DHB-E 27</w:t>
      </w:r>
      <w:r>
        <w:rPr>
          <w:b w:val="false"/>
          <w:bCs w:val="false"/>
        </w:rPr>
        <w:t xml:space="preserve"> electronic instantaneous heater: 27 kW at 400 V, or 24.4 kW at Hong Kong's 380 V three-phase supply [16]. It has no storage tank, so there are no standing losses. However, it draws a very large instantaneous power: a 9 L/min shower in January needs </w:t>
      </w:r>
      <w:r>
        <w:rPr>
          <w:b/>
          <w:bCs/>
        </w:rPr>
        <w:t xml:space="preserve">14.9 kW</w:t>
      </w:r>
      <w:r>
        <w:rPr>
          <w:b w:val="false"/>
          <w:bCs w:val="false"/>
        </w:rPr>
        <w:t xml:space="preserve"> (capacity headroom 1.64 ×). Across hundreds of washrooms, this drives the hall's maximum demand. The window exhaust fan (J.E.E.) runs 24 hours a day regardless of occupancy.</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8"/>
            </w:tblGrid>
            <w:tr>
              <w:trPr>
                <w:cantSplit/>
              </w:trPr>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3620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62075" cy="1819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08a: Stiebel Eltron DHB-E instantaneous heater</w:t>
                  </w:r>
                </w:p>
              </w:tc>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3620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62075" cy="1819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08d: exhaust fan running 24 h/day</w:t>
                  </w:r>
                </w:p>
              </w:tc>
              <w:tc>
                <w:tcPr>
                  <w:tcW w:type="dxa" w:w="3138"/>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3620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62075" cy="1819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08b: sensor-controlled LED downlights</w:t>
                  </w:r>
                </w:p>
              </w:tc>
            </w:tr>
          </w:tbl>
          <w:p>
            <w:pPr>
              <w:spacing w:after="200" w:before="60"/>
              <w:jc w:val="center"/>
            </w:pPr>
            <w:r>
              <w:rPr>
                <w:b w:val="false"/>
                <w:bCs w:val="false"/>
                <w:i/>
                <w:iCs/>
                <w:color w:val="52514E"/>
                <w:sz w:val="17"/>
                <w:szCs w:val="17"/>
              </w:rPr>
              <w:t xml:space="preserve">Figure 5.3: Shared washroom services</w:t>
            </w:r>
          </w:p>
        </w:tc>
      </w:tr>
    </w:tbl>
    <w:p>
      <w:pPr>
        <w:pStyle w:val="Heading2"/>
      </w:pPr>
      <w:r>
        <w:rPr>
          <w:b w:val="false"/>
          <w:bCs w:val="false"/>
        </w:rPr>
        <w:t xml:space="preserve">5.5  Kitchen and laundry appliances</w:t>
      </w:r>
    </w:p>
    <w:p>
      <w:pPr>
        <w:spacing w:after="40" w:before="0" w:line="276"/>
        <w:jc w:val="both"/>
      </w:pPr>
      <w:r>
        <w:rPr>
          <w:b w:val="false"/>
          <w:bCs w:val="false"/>
        </w:rPr>
        <w:t xml:space="preserve">The kitchen appliances are efficient, but some run all the time.</w:t>
      </w:r>
    </w:p>
    <w:p>
      <w:pPr>
        <w:pStyle w:val="ListParagraph"/>
        <w:numPr>
          <w:ilvl w:val="0"/>
          <w:numId w:val="2"/>
        </w:numPr>
        <w:spacing w:after="60" w:line="264"/>
      </w:pPr>
      <w:r>
        <w:rPr>
          <w:b/>
          <w:bCs/>
        </w:rPr>
        <w:t xml:space="preserve">Refrigerators:</w:t>
      </w:r>
      <w:r>
        <w:rPr>
          <w:b w:val="false"/>
          <w:bCs w:val="false"/>
        </w:rPr>
        <w:t xml:space="preserve"> two Panasonic NR-BV361B units (233 L fresh + 99 L frozen), each Grade 1 at 263 kWh/yr.</w:t>
      </w:r>
    </w:p>
    <w:p>
      <w:pPr>
        <w:pStyle w:val="ListParagraph"/>
        <w:numPr>
          <w:ilvl w:val="0"/>
          <w:numId w:val="2"/>
        </w:numPr>
        <w:spacing w:after="60" w:line="264"/>
      </w:pPr>
      <w:r>
        <w:rPr>
          <w:b/>
          <w:bCs/>
        </w:rPr>
        <w:t xml:space="preserve">Induction hobs:</w:t>
      </w:r>
      <w:r>
        <w:rPr>
          <w:b w:val="false"/>
          <w:bCs w:val="false"/>
        </w:rPr>
        <w:t xml:space="preserve"> Philips HD4911/80, Grade 2, 88.1% thermal efficiency, 2,100 W maximum with five power levels.</w:t>
      </w:r>
    </w:p>
    <w:p>
      <w:pPr>
        <w:pStyle w:val="ListParagraph"/>
        <w:numPr>
          <w:ilvl w:val="0"/>
          <w:numId w:val="2"/>
        </w:numPr>
        <w:spacing w:after="60" w:line="264"/>
      </w:pPr>
      <w:r>
        <w:rPr>
          <w:b/>
          <w:bCs/>
        </w:rPr>
        <w:t xml:space="preserve">Water dispenser:</w:t>
      </w:r>
      <w:r>
        <w:rPr>
          <w:b w:val="false"/>
          <w:bCs w:val="false"/>
        </w:rPr>
        <w:t xml:space="preserve"> Aquatek AQ-1323T, 750 W heater + 160 W compressor. It keeps 10 L of water at 98 °C plus a 3 L ice tank, 24 hours a day, so it has unavoidable standing losses (assumed 1.5 kWh/day; the ENERGY STAR limit for storage hot-and-cold coolers is 0.87 kWh/day [20]).</w:t>
      </w:r>
    </w:p>
    <w:p>
      <w:pPr>
        <w:pStyle w:val="ListParagraph"/>
        <w:numPr>
          <w:ilvl w:val="0"/>
          <w:numId w:val="2"/>
        </w:numPr>
        <w:spacing w:after="60" w:line="264"/>
      </w:pPr>
      <w:r>
        <w:rPr>
          <w:b/>
          <w:bCs/>
        </w:rPr>
        <w:t xml:space="preserve">Kitchen AC:</w:t>
      </w:r>
      <w:r>
        <w:rPr>
          <w:b w:val="false"/>
          <w:bCs w:val="false"/>
        </w:rPr>
        <w:t xml:space="preserve"> reported to be left running for 8 h or more by residents (Finding F4).</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8"/>
            </w:tblGrid>
            <w:tr>
              <w:trPr>
                <w:cantSplit/>
              </w:trPr>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3620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62075" cy="1819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09i: refrigerator label, Grade 1, 263 kWh/yr</w:t>
                  </w:r>
                </w:p>
              </w:tc>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3620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62075" cy="1819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09g: kitchen AC label, 688 kWh/1,200 h</w:t>
                  </w:r>
                </w:p>
              </w:tc>
              <w:tc>
                <w:tcPr>
                  <w:tcW w:type="dxa" w:w="3138"/>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3620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62075" cy="1819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09e: induction hob, Grade 2, 88.1%</w:t>
                  </w:r>
                </w:p>
              </w:tc>
            </w:tr>
          </w:tbl>
          <w:p>
            <w:pPr>
              <w:spacing w:after="200" w:before="60"/>
              <w:jc w:val="center"/>
            </w:pPr>
            <w:r>
              <w:rPr>
                <w:b w:val="false"/>
                <w:bCs w:val="false"/>
                <w:i/>
                <w:iCs/>
                <w:color w:val="52514E"/>
                <w:sz w:val="17"/>
                <w:szCs w:val="17"/>
              </w:rPr>
              <w:t xml:space="preserve">Figure 5.4: Energy labels of shared kitchen appliances</w:t>
            </w:r>
          </w:p>
        </w:tc>
      </w:tr>
    </w:tbl>
    <w:p>
      <w:pPr>
        <w:pStyle w:val="Heading1"/>
        <w:pageBreakBefore/>
      </w:pPr>
      <w:r>
        <w:rPr>
          <w:b w:val="false"/>
          <w:bCs w:val="false"/>
        </w:rPr>
        <w:t xml:space="preserve">6  Energy consumption analysis (EAC §8.1(d), (g))</w:t>
      </w:r>
    </w:p>
    <w:p>
      <w:pPr>
        <w:pStyle w:val="Heading2"/>
      </w:pPr>
      <w:r>
        <w:rPr>
          <w:b w:val="false"/>
          <w:bCs w:val="false"/>
        </w:rPr>
        <w:t xml:space="preserve">6.1  Room air-conditioning baseline: two independent methods</w:t>
      </w:r>
    </w:p>
    <w:p>
      <w:pPr>
        <w:spacing w:after="120" w:before="0" w:line="276"/>
        <w:jc w:val="both"/>
      </w:pPr>
      <w:r>
        <w:rPr>
          <w:b w:val="false"/>
          <w:bCs w:val="false"/>
        </w:rPr>
        <w:t xml:space="preserve">Only the room AC is metered, through Octopus pre-paid charges. The occupants report spending about HK$140 a month in hot months and HK$50 in cool months, HK$1,140 a year for both. Dividing by the CLP 2026 average net tariff of HK$1.406/kWh [6] gives a </w:t>
      </w:r>
      <w:r>
        <w:rPr>
          <w:b/>
          <w:bCs/>
        </w:rPr>
        <w:t xml:space="preserve">top-down baseline of 811 kWh/yr</w:t>
      </w:r>
      <w:r>
        <w:rPr>
          <w:b w:val="false"/>
          <w:bCs w:val="false"/>
        </w:rPr>
        <w:t xml:space="preserve">.</w:t>
      </w:r>
    </w:p>
    <w:p>
      <w:pPr>
        <w:spacing w:after="120" w:before="0" w:line="276"/>
        <w:jc w:val="both"/>
      </w:pPr>
      <w:r>
        <w:rPr>
          <w:b w:val="false"/>
          <w:bCs w:val="false"/>
        </w:rPr>
        <w:t xml:space="preserve">The bottom-up check takes the label's average input (0.302 kW) and multiplies it by the reported pattern of 12 h/day in May-Oct and 4 h/day in Nov-Apr (2,932 h/yr). This gives </w:t>
      </w:r>
      <w:r>
        <w:rPr>
          <w:b/>
          <w:bCs/>
        </w:rPr>
        <w:t xml:space="preserve">884 kWh/yr, +9.1%</w:t>
      </w:r>
      <w:r>
        <w:rPr>
          <w:b w:val="false"/>
          <w:bCs w:val="false"/>
        </w:rPr>
        <w:t xml:space="preserve"> relative to the spend-based figure (Table 6.1, Figure 6.1). Agreement within 10% between a financial record and an engineering estimate is good evidence that both the reported behaviour and the baseline are realistic.</w:t>
      </w:r>
    </w:p>
    <w:p>
      <w:pPr>
        <w:keepNext/>
        <w:spacing w:after="80" w:before="160"/>
      </w:pPr>
      <w:r>
        <w:rPr>
          <w:b/>
          <w:bCs/>
          <w:color w:val="1F3864"/>
          <w:sz w:val="18"/>
          <w:szCs w:val="18"/>
        </w:rPr>
        <w:t xml:space="preserve">Table 6.1: Room AC energy - top-down vs bottom-up</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300"/>
        <w:gridCol w:w="1700"/>
        <w:gridCol w:w="1700"/>
        <w:gridCol w:w="1500"/>
        <w:gridCol w:w="1912"/>
      </w:tblGrid>
      <w:tr>
        <w:trPr>
          <w:tblHeader/>
        </w:trPr>
        <w:tc>
          <w:tcPr>
            <w:tcW w:type="dxa" w:w="13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Month</w:t>
            </w:r>
          </w:p>
        </w:tc>
        <w:tc>
          <w:tcPr>
            <w:tcW w:type="dxa" w:w="13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Season</w:t>
            </w:r>
          </w:p>
        </w:tc>
        <w:tc>
          <w:tcPr>
            <w:tcW w:type="dxa" w:w="17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Octopus spend</w:t>
            </w:r>
          </w:p>
        </w:tc>
        <w:tc>
          <w:tcPr>
            <w:tcW w:type="dxa" w:w="17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Top-down kWh</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Hours</w:t>
            </w:r>
          </w:p>
        </w:tc>
        <w:tc>
          <w:tcPr>
            <w:tcW w:type="dxa" w:w="1912"/>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Bottom-up kWh</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Jan</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Cool</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HK$50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35.6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124</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37.4</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Feb</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Cool</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HK$50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35.6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112</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33.8</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Mar</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Cool</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HK$50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35.6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124</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37.4</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Apr</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Cool</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HK$50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35.6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120</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36.2</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May</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Hot</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HK$140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99.6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372</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112.2</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Jun</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Hot</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HK$140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99.6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360</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108.6</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Jul</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Hot</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HK$140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99.6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372</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112.2</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Aug</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Hot</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HK$140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99.6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372</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112.2</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Sep</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Hot</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HK$140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99.6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360</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108.6</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Oct</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Hot</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HK$140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99.6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372</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112.2</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Nov</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Cool</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HK$50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35.6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120</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36.2</w:t>
            </w:r>
          </w:p>
        </w:tc>
      </w:tr>
      <w:tr>
        <w:trPr>
          <w:cantSplit/>
        </w:trPr>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Dec</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Cool</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HK$50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35.6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124</w:t>
            </w:r>
          </w:p>
        </w:tc>
        <w:tc>
          <w:tcPr>
            <w:tcW w:type="dxa" w:w="1912"/>
            <w:tcMar>
              <w:top w:type="dxa" w:w="50"/>
              <w:left w:type="dxa" w:w="90"/>
              <w:bottom w:type="dxa" w:w="50"/>
              <w:right w:type="dxa" w:w="90"/>
            </w:tcMar>
            <w:vAlign w:val="center"/>
          </w:tcPr>
          <w:p>
            <w:pPr>
              <w:spacing w:after="0" w:line="240"/>
              <w:jc w:val="right"/>
            </w:pPr>
            <w:r>
              <w:rPr>
                <w:b w:val="false"/>
                <w:bCs w:val="false"/>
                <w:sz w:val="16"/>
                <w:szCs w:val="16"/>
              </w:rPr>
              <w:t xml:space="preserve">37.4</w:t>
            </w:r>
          </w:p>
        </w:tc>
      </w:tr>
      <w:tr>
        <w:trPr>
          <w:cantSplit/>
        </w:trPr>
        <w:tc>
          <w:tcPr>
            <w:tcW w:type="dxa" w:w="1300"/>
            <w:shd w:fill="F2F2F2" w:color="auto" w:val="clear"/>
            <w:tcMar>
              <w:top w:type="dxa" w:w="50"/>
              <w:left w:type="dxa" w:w="90"/>
              <w:bottom w:type="dxa" w:w="50"/>
              <w:right w:type="dxa" w:w="90"/>
            </w:tcMar>
            <w:vAlign w:val="center"/>
          </w:tcPr>
          <w:p>
            <w:pPr>
              <w:spacing w:after="0" w:line="240"/>
              <w:jc w:val="left"/>
            </w:pPr>
            <w:r>
              <w:rPr>
                <w:b/>
                <w:bCs/>
                <w:sz w:val="16"/>
                <w:szCs w:val="16"/>
              </w:rPr>
              <w:t xml:space="preserve">Year</w:t>
            </w:r>
          </w:p>
        </w:tc>
        <w:tc>
          <w:tcPr>
            <w:tcW w:type="dxa" w:w="1300"/>
            <w:shd w:fill="F2F2F2" w:color="auto" w:val="clear"/>
            <w:tcMar>
              <w:top w:type="dxa" w:w="50"/>
              <w:left w:type="dxa" w:w="90"/>
              <w:bottom w:type="dxa" w:w="50"/>
              <w:right w:type="dxa" w:w="90"/>
            </w:tcMar>
            <w:vAlign w:val="center"/>
          </w:tcPr>
          <w:p>
            <w:pPr>
              <w:spacing w:after="0" w:line="240"/>
              <w:jc w:val="left"/>
            </w:pPr>
          </w:p>
        </w:tc>
        <w:tc>
          <w:tcPr>
            <w:tcW w:type="dxa" w:w="1700"/>
            <w:shd w:fill="F2F2F2" w:color="auto" w:val="clear"/>
            <w:tcMar>
              <w:top w:type="dxa" w:w="50"/>
              <w:left w:type="dxa" w:w="90"/>
              <w:bottom w:type="dxa" w:w="50"/>
              <w:right w:type="dxa" w:w="90"/>
            </w:tcMar>
            <w:vAlign w:val="center"/>
          </w:tcPr>
          <w:p>
            <w:pPr>
              <w:spacing w:after="0" w:line="240"/>
              <w:jc w:val="right"/>
            </w:pPr>
            <w:r>
              <w:rPr>
                <w:b/>
                <w:bCs/>
                <w:sz w:val="16"/>
                <w:szCs w:val="16"/>
              </w:rPr>
              <w:t xml:space="preserve">HK$1,140</w:t>
            </w:r>
          </w:p>
        </w:tc>
        <w:tc>
          <w:tcPr>
            <w:tcW w:type="dxa" w:w="1700"/>
            <w:shd w:fill="F2F2F2" w:color="auto" w:val="clear"/>
            <w:tcMar>
              <w:top w:type="dxa" w:w="50"/>
              <w:left w:type="dxa" w:w="90"/>
              <w:bottom w:type="dxa" w:w="50"/>
              <w:right w:type="dxa" w:w="90"/>
            </w:tcMar>
            <w:vAlign w:val="center"/>
          </w:tcPr>
          <w:p>
            <w:pPr>
              <w:spacing w:after="0" w:line="240"/>
              <w:jc w:val="right"/>
            </w:pPr>
            <w:r>
              <w:rPr>
                <w:b/>
                <w:bCs/>
                <w:sz w:val="16"/>
                <w:szCs w:val="16"/>
              </w:rPr>
              <w:t xml:space="preserve">810.8</w:t>
            </w:r>
          </w:p>
        </w:tc>
        <w:tc>
          <w:tcPr>
            <w:tcW w:type="dxa" w:w="1500"/>
            <w:shd w:fill="F2F2F2" w:color="auto" w:val="clear"/>
            <w:tcMar>
              <w:top w:type="dxa" w:w="50"/>
              <w:left w:type="dxa" w:w="90"/>
              <w:bottom w:type="dxa" w:w="50"/>
              <w:right w:type="dxa" w:w="90"/>
            </w:tcMar>
            <w:vAlign w:val="center"/>
          </w:tcPr>
          <w:p>
            <w:pPr>
              <w:spacing w:after="0" w:line="240"/>
              <w:jc w:val="right"/>
            </w:pPr>
            <w:r>
              <w:rPr>
                <w:b/>
                <w:bCs/>
                <w:sz w:val="16"/>
                <w:szCs w:val="16"/>
              </w:rPr>
              <w:t xml:space="preserve">2,932</w:t>
            </w:r>
          </w:p>
        </w:tc>
        <w:tc>
          <w:tcPr>
            <w:tcW w:type="dxa" w:w="1912"/>
            <w:shd w:fill="F2F2F2" w:color="auto" w:val="clear"/>
            <w:tcMar>
              <w:top w:type="dxa" w:w="50"/>
              <w:left w:type="dxa" w:w="90"/>
              <w:bottom w:type="dxa" w:w="50"/>
              <w:right w:type="dxa" w:w="90"/>
            </w:tcMar>
            <w:vAlign w:val="center"/>
          </w:tcPr>
          <w:p>
            <w:pPr>
              <w:spacing w:after="0" w:line="240"/>
              <w:jc w:val="right"/>
            </w:pPr>
            <w:r>
              <w:rPr>
                <w:b/>
                <w:bCs/>
                <w:sz w:val="16"/>
                <w:szCs w:val="16"/>
              </w:rPr>
              <w:t xml:space="preserve">884.5</w:t>
            </w:r>
          </w:p>
        </w:tc>
      </w:tr>
    </w:tbl>
    <w:p>
      <w:pPr>
        <w:keepNext/>
        <w:spacing w:after="40" w:before="120"/>
        <w:jc w:val="center"/>
      </w:pPr>
      <w:r>
        <w:drawing>
          <wp:inline distT="0" distB="0" distL="0" distR="0">
            <wp:extent cx="5810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2809875"/>
                    </a:xfrm>
                    <a:prstGeom prst="rect">
                      <a:avLst/>
                    </a:prstGeom>
                  </pic:spPr>
                </pic:pic>
              </a:graphicData>
            </a:graphic>
          </wp:inline>
        </w:drawing>
      </w:r>
    </w:p>
    <w:p>
      <w:pPr>
        <w:spacing w:after="200" w:before="60"/>
        <w:jc w:val="center"/>
      </w:pPr>
      <w:r>
        <w:rPr>
          <w:b w:val="false"/>
          <w:bCs w:val="false"/>
          <w:i/>
          <w:iCs/>
          <w:color w:val="52514E"/>
          <w:sz w:val="17"/>
          <w:szCs w:val="17"/>
        </w:rPr>
        <w:t xml:space="preserve">Figure 6.1: Monthly room AC energy, top-down vs bottom-up</w:t>
      </w:r>
    </w:p>
    <w:p>
      <w:pPr>
        <w:spacing w:after="40" w:before="0" w:line="276"/>
        <w:jc w:val="both"/>
      </w:pPr>
      <w:r>
        <w:rPr>
          <w:b/>
          <w:bCs/>
        </w:rPr>
        <w:t xml:space="preserve">What the reconciliation shows:</w:t>
      </w:r>
    </w:p>
    <w:p>
      <w:pPr>
        <w:pStyle w:val="ListParagraph"/>
        <w:numPr>
          <w:ilvl w:val="0"/>
          <w:numId w:val="2"/>
        </w:numPr>
        <w:spacing w:after="60" w:line="264"/>
      </w:pPr>
      <w:r>
        <w:rPr>
          <w:b w:val="false"/>
          <w:bCs w:val="false"/>
        </w:rPr>
        <w:t xml:space="preserve">If the bottom-up figure were exact, the implied Octopus rate would be HK$1.29/kWh. That lies between the CUHK hostel rate (HK$1.20) and the CLP average (HK$1.406), consistent with an at-cost charge [25].</w:t>
      </w:r>
    </w:p>
    <w:p>
      <w:pPr>
        <w:pStyle w:val="ListParagraph"/>
        <w:numPr>
          <w:ilvl w:val="0"/>
          <w:numId w:val="2"/>
        </w:numPr>
        <w:spacing w:after="60" w:line="264"/>
      </w:pPr>
      <w:r>
        <w:rPr>
          <w:b w:val="false"/>
          <w:bCs w:val="false"/>
        </w:rPr>
        <w:t xml:space="preserve">Average input while running is only 0.277 kW, 23% of the rated input. This confirms that the inverter mostly runs at part load in a small, lightly loaded room. It is equivalent to 680 full-load hours a year.</w:t>
      </w:r>
    </w:p>
    <w:p>
      <w:pPr>
        <w:pStyle w:val="ListParagraph"/>
        <w:numPr>
          <w:ilvl w:val="0"/>
          <w:numId w:val="2"/>
        </w:numPr>
        <w:spacing w:after="60" w:line="264"/>
      </w:pPr>
      <w:r>
        <w:rPr>
          <w:b w:val="false"/>
          <w:bCs w:val="false"/>
        </w:rPr>
        <w:t xml:space="preserve">73.7% of AC energy falls in May-October, so hot-season measures matter most.</w:t>
      </w:r>
    </w:p>
    <w:p>
      <w:pPr>
        <w:pStyle w:val="ListParagraph"/>
        <w:numPr>
          <w:ilvl w:val="0"/>
          <w:numId w:val="2"/>
        </w:numPr>
        <w:spacing w:after="60" w:line="264"/>
      </w:pPr>
      <w:r>
        <w:rPr>
          <w:b w:val="false"/>
          <w:bCs w:val="false"/>
        </w:rPr>
        <w:t xml:space="preserve">The occupants' first estimate of "about HK$120 a month" would imply 1,024 kWh/yr. It is not consistent with their more specific seasonal figures, so it is treated as an upper bound (+8% in Section 11).</w:t>
      </w:r>
    </w:p>
    <w:p>
      <w:pPr>
        <w:pStyle w:val="Heading2"/>
      </w:pPr>
      <w:r>
        <w:rPr>
          <w:b w:val="false"/>
          <w:bCs w:val="false"/>
        </w:rPr>
        <w:t xml:space="preserve">6.2  Shower hot water</w:t>
      </w:r>
    </w:p>
    <w:p>
      <w:pPr>
        <w:spacing w:after="40" w:before="0" w:line="276"/>
        <w:jc w:val="both"/>
      </w:pPr>
      <w:r>
        <w:rPr>
          <w:b w:val="false"/>
          <w:bCs w:val="false"/>
        </w:rPr>
        <w:t xml:space="preserve">Shower energy is not metered, so it was calculated from first principles. Each occupant takes one 5-minute shower a day at an assumed 9 L/min, which is 45 L a day. The water is heated to 40 °C from a mains temperature taken as the HKO monthly mean air temperature, at 99% heater efficiency.</w:t>
      </w:r>
    </w:p>
    <w:p>
      <w:pPr>
        <w:pStyle w:val="ListParagraph"/>
        <w:numPr>
          <w:ilvl w:val="0"/>
          <w:numId w:val="2"/>
        </w:numPr>
        <w:spacing w:after="60" w:line="264"/>
      </w:pPr>
      <w:r>
        <w:rPr>
          <w:b w:val="false"/>
          <w:bCs w:val="false"/>
        </w:rPr>
        <w:t xml:space="preserve">The annual-average temperature rise is 16.5 K.</w:t>
      </w:r>
    </w:p>
    <w:p>
      <w:pPr>
        <w:pStyle w:val="ListParagraph"/>
        <w:numPr>
          <w:ilvl w:val="0"/>
          <w:numId w:val="2"/>
        </w:numPr>
        <w:spacing w:after="60" w:line="264"/>
      </w:pPr>
      <w:r>
        <w:rPr>
          <w:b w:val="false"/>
          <w:bCs w:val="false"/>
        </w:rPr>
        <w:t xml:space="preserve">Household shower energy is </w:t>
      </w:r>
      <w:r>
        <w:rPr>
          <w:b/>
          <w:bCs/>
        </w:rPr>
        <w:t xml:space="preserve">635 kWh/yr</w:t>
      </w:r>
      <w:r>
        <w:rPr>
          <w:b w:val="false"/>
          <w:bCs w:val="false"/>
        </w:rPr>
        <w:t xml:space="preserve">, 0.87 kWh per person per day.</w:t>
      </w:r>
    </w:p>
    <w:p>
      <w:pPr>
        <w:pStyle w:val="ListParagraph"/>
        <w:numPr>
          <w:ilvl w:val="0"/>
          <w:numId w:val="2"/>
        </w:numPr>
        <w:spacing w:after="60" w:line="264"/>
      </w:pPr>
      <w:r>
        <w:rPr>
          <w:b w:val="false"/>
          <w:bCs w:val="false"/>
        </w:rPr>
        <w:t xml:space="preserve">January uses 2.12 times as much energy as July (Figure 6.2). The cool months therefore partly offset the hot-season AC peak, which flattens the monthly profile.</w:t>
      </w:r>
    </w:p>
    <w:p>
      <w:pPr>
        <w:keepNext/>
        <w:spacing w:after="40" w:before="120"/>
        <w:jc w:val="center"/>
      </w:pPr>
      <w:r>
        <w:drawing>
          <wp:inline distT="0" distB="0" distL="0" distR="0">
            <wp:extent cx="58102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2600325"/>
                    </a:xfrm>
                    <a:prstGeom prst="rect">
                      <a:avLst/>
                    </a:prstGeom>
                  </pic:spPr>
                </pic:pic>
              </a:graphicData>
            </a:graphic>
          </wp:inline>
        </w:drawing>
      </w:r>
    </w:p>
    <w:p>
      <w:pPr>
        <w:spacing w:after="200" w:before="60"/>
        <w:jc w:val="center"/>
      </w:pPr>
      <w:r>
        <w:rPr>
          <w:b w:val="false"/>
          <w:bCs w:val="false"/>
          <w:i/>
          <w:iCs/>
          <w:color w:val="52514E"/>
          <w:sz w:val="17"/>
          <w:szCs w:val="17"/>
        </w:rPr>
        <w:t xml:space="preserve">Figure 6.2: Monthly household shower energy and cold-water inlet temperature</w:t>
      </w:r>
    </w:p>
    <w:p>
      <w:pPr>
        <w:pStyle w:val="Heading2"/>
      </w:pPr>
      <w:r>
        <w:rPr>
          <w:b w:val="false"/>
          <w:bCs w:val="false"/>
        </w:rPr>
        <w:t xml:space="preserve">6.3  Annual consumption and end-use breakdown</w:t>
      </w:r>
    </w:p>
    <w:p>
      <w:pPr>
        <w:spacing w:after="40" w:before="0" w:line="276"/>
        <w:jc w:val="both"/>
      </w:pPr>
      <w:r>
        <w:rPr>
          <w:b w:val="false"/>
          <w:bCs w:val="false"/>
        </w:rPr>
        <w:t xml:space="preserve">The household uses </w:t>
      </w:r>
      <w:r>
        <w:rPr>
          <w:b/>
          <w:bCs/>
        </w:rPr>
        <w:t xml:space="preserve">2,586 kWh a year</w:t>
      </w:r>
      <w:r>
        <w:rPr>
          <w:b w:val="false"/>
          <w:bCs w:val="false"/>
        </w:rPr>
        <w:t xml:space="preserve"> (1,293 kWh per person).</w:t>
      </w:r>
    </w:p>
    <w:p>
      <w:pPr>
        <w:pStyle w:val="ListParagraph"/>
        <w:numPr>
          <w:ilvl w:val="0"/>
          <w:numId w:val="2"/>
        </w:numPr>
        <w:spacing w:after="60" w:line="264"/>
      </w:pPr>
      <w:r>
        <w:rPr>
          <w:b/>
          <w:bCs/>
        </w:rPr>
        <w:t xml:space="preserve">Air-conditioning</w:t>
      </w:r>
      <w:r>
        <w:rPr>
          <w:b w:val="false"/>
          <w:bCs w:val="false"/>
        </w:rPr>
        <w:t xml:space="preserve"> is the largest end-use at 34.4%: the room AC plus the household's share of the kitchen AC.</w:t>
      </w:r>
    </w:p>
    <w:p>
      <w:pPr>
        <w:pStyle w:val="ListParagraph"/>
        <w:numPr>
          <w:ilvl w:val="0"/>
          <w:numId w:val="2"/>
        </w:numPr>
        <w:spacing w:after="60" w:line="264"/>
      </w:pPr>
      <w:r>
        <w:rPr>
          <w:b/>
          <w:bCs/>
        </w:rPr>
        <w:t xml:space="preserve">Shower hot water</w:t>
      </w:r>
      <w:r>
        <w:rPr>
          <w:b w:val="false"/>
          <w:bCs w:val="false"/>
        </w:rPr>
        <w:t xml:space="preserve"> is next at 24.5%, then </w:t>
      </w:r>
      <w:r>
        <w:rPr>
          <w:b/>
          <w:bCs/>
        </w:rPr>
        <w:t xml:space="preserve">cooking</w:t>
      </w:r>
      <w:r>
        <w:rPr>
          <w:b w:val="false"/>
          <w:bCs w:val="false"/>
        </w:rPr>
        <w:t xml:space="preserve"> at 12.1%.</w:t>
      </w:r>
    </w:p>
    <w:p>
      <w:pPr>
        <w:pStyle w:val="ListParagraph"/>
        <w:numPr>
          <w:ilvl w:val="0"/>
          <w:numId w:val="2"/>
        </w:numPr>
        <w:spacing w:after="60" w:line="264"/>
      </w:pPr>
      <w:r>
        <w:rPr>
          <w:b w:val="false"/>
          <w:bCs w:val="false"/>
        </w:rPr>
        <w:t xml:space="preserve">Lighting is only 6.4%.</w:t>
      </w:r>
    </w:p>
    <w:p>
      <w:pPr>
        <w:pStyle w:val="ListParagraph"/>
        <w:numPr>
          <w:ilvl w:val="0"/>
          <w:numId w:val="2"/>
        </w:numPr>
        <w:spacing w:after="60" w:line="264"/>
      </w:pPr>
      <w:r>
        <w:rPr>
          <w:b w:val="false"/>
          <w:bCs w:val="false"/>
        </w:rPr>
        <w:t xml:space="preserve">The washroom exhaust fan's share (5.1%) is larger than all the room's lighting together, even though it is only half of one fan.</w:t>
      </w:r>
    </w:p>
    <w:p>
      <w:pPr>
        <w:keepNext/>
        <w:spacing w:after="80" w:before="160"/>
      </w:pPr>
      <w:r>
        <w:rPr>
          <w:b/>
          <w:bCs/>
          <w:color w:val="1F3864"/>
          <w:sz w:val="18"/>
          <w:szCs w:val="18"/>
        </w:rPr>
        <w:t xml:space="preserve">Table 6.2: Household electricity by end-use</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412"/>
        <w:gridCol w:w="1300"/>
        <w:gridCol w:w="1100"/>
        <w:gridCol w:w="1500"/>
        <w:gridCol w:w="1550"/>
        <w:gridCol w:w="1550"/>
      </w:tblGrid>
      <w:tr>
        <w:trPr>
          <w:tblHeader/>
        </w:trPr>
        <w:tc>
          <w:tcPr>
            <w:tcW w:type="dxa" w:w="24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End-use</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kWh/yr</w:t>
            </w:r>
          </w:p>
        </w:tc>
        <w:tc>
          <w:tcPr>
            <w:tcW w:type="dxa" w:w="11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Share</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kWh/person/yr</w:t>
            </w:r>
          </w:p>
        </w:tc>
        <w:tc>
          <w:tcPr>
            <w:tcW w:type="dxa" w:w="155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e/yr (CLP)</w:t>
            </w:r>
          </w:p>
        </w:tc>
        <w:tc>
          <w:tcPr>
            <w:tcW w:type="dxa" w:w="155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e/yr (0.7)</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Air-conditioning</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889.5</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34.4%</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444.8</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302.4</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622.7</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Hot water</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634.7</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24.5%</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317.4</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215.8</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444.3</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Cooking</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312.0</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12.1%</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156.0</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106.1</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218.4</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Plug loads</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204.4</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7.9%</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102.2</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69.5</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143.1</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Lighting</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166.1</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6.4%</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83.0</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56.5</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116.3</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Ventilation</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131.4</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5.1%</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65.7</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44.7</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92.0</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Air movement (fan)</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87.6</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3.4%</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43.8</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29.8</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61.3</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Laundry</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93.6</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3.6%</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46.8</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31.8</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65.5</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Drinking water</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34.2</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1.3%</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17.1</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11.6</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24.0</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Refrigeration</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32.9</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1.3%</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16.4</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11.2</w:t>
            </w:r>
          </w:p>
        </w:tc>
        <w:tc>
          <w:tcPr>
            <w:tcW w:type="dxa" w:w="1550"/>
            <w:tcMar>
              <w:top w:type="dxa" w:w="50"/>
              <w:left w:type="dxa" w:w="90"/>
              <w:bottom w:type="dxa" w:w="50"/>
              <w:right w:type="dxa" w:w="90"/>
            </w:tcMar>
            <w:vAlign w:val="center"/>
          </w:tcPr>
          <w:p>
            <w:pPr>
              <w:spacing w:after="0" w:line="240"/>
              <w:jc w:val="right"/>
            </w:pPr>
            <w:r>
              <w:rPr>
                <w:b w:val="false"/>
                <w:bCs w:val="false"/>
                <w:sz w:val="16"/>
                <w:szCs w:val="16"/>
              </w:rPr>
              <w:t xml:space="preserve">23.0</w:t>
            </w:r>
          </w:p>
        </w:tc>
      </w:tr>
      <w:tr>
        <w:trPr>
          <w:cantSplit/>
        </w:trPr>
        <w:tc>
          <w:tcPr>
            <w:tcW w:type="dxa" w:w="2412"/>
            <w:shd w:fill="F2F2F2" w:color="auto" w:val="clear"/>
            <w:tcMar>
              <w:top w:type="dxa" w:w="50"/>
              <w:left w:type="dxa" w:w="90"/>
              <w:bottom w:type="dxa" w:w="50"/>
              <w:right w:type="dxa" w:w="90"/>
            </w:tcMar>
            <w:vAlign w:val="center"/>
          </w:tcPr>
          <w:p>
            <w:pPr>
              <w:spacing w:after="0" w:line="240"/>
              <w:jc w:val="left"/>
            </w:pPr>
            <w:r>
              <w:rPr>
                <w:b/>
                <w:bCs/>
                <w:sz w:val="16"/>
                <w:szCs w:val="16"/>
              </w:rPr>
              <w:t xml:space="preserve">Total</w:t>
            </w:r>
          </w:p>
        </w:tc>
        <w:tc>
          <w:tcPr>
            <w:tcW w:type="dxa" w:w="1300"/>
            <w:shd w:fill="F2F2F2" w:color="auto" w:val="clear"/>
            <w:tcMar>
              <w:top w:type="dxa" w:w="50"/>
              <w:left w:type="dxa" w:w="90"/>
              <w:bottom w:type="dxa" w:w="50"/>
              <w:right w:type="dxa" w:w="90"/>
            </w:tcMar>
            <w:vAlign w:val="center"/>
          </w:tcPr>
          <w:p>
            <w:pPr>
              <w:spacing w:after="0" w:line="240"/>
              <w:jc w:val="right"/>
            </w:pPr>
            <w:r>
              <w:rPr>
                <w:b/>
                <w:bCs/>
                <w:sz w:val="16"/>
                <w:szCs w:val="16"/>
              </w:rPr>
              <w:t xml:space="preserve">2,586.4</w:t>
            </w:r>
          </w:p>
        </w:tc>
        <w:tc>
          <w:tcPr>
            <w:tcW w:type="dxa" w:w="11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100.0%</w:t>
            </w:r>
          </w:p>
        </w:tc>
        <w:tc>
          <w:tcPr>
            <w:tcW w:type="dxa" w:w="15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1,293.2</w:t>
            </w:r>
          </w:p>
        </w:tc>
        <w:tc>
          <w:tcPr>
            <w:tcW w:type="dxa" w:w="1550"/>
            <w:shd w:fill="F2F2F2" w:color="auto" w:val="clear"/>
            <w:tcMar>
              <w:top w:type="dxa" w:w="50"/>
              <w:left w:type="dxa" w:w="90"/>
              <w:bottom w:type="dxa" w:w="50"/>
              <w:right w:type="dxa" w:w="90"/>
            </w:tcMar>
            <w:vAlign w:val="center"/>
          </w:tcPr>
          <w:p>
            <w:pPr>
              <w:spacing w:after="0" w:line="240"/>
              <w:jc w:val="right"/>
            </w:pPr>
            <w:r>
              <w:rPr>
                <w:b/>
                <w:bCs/>
                <w:sz w:val="16"/>
                <w:szCs w:val="16"/>
              </w:rPr>
              <w:t xml:space="preserve">879.4</w:t>
            </w:r>
          </w:p>
        </w:tc>
        <w:tc>
          <w:tcPr>
            <w:tcW w:type="dxa" w:w="1550"/>
            <w:shd w:fill="F2F2F2" w:color="auto" w:val="clear"/>
            <w:tcMar>
              <w:top w:type="dxa" w:w="50"/>
              <w:left w:type="dxa" w:w="90"/>
              <w:bottom w:type="dxa" w:w="50"/>
              <w:right w:type="dxa" w:w="90"/>
            </w:tcMar>
            <w:vAlign w:val="center"/>
          </w:tcPr>
          <w:p>
            <w:pPr>
              <w:spacing w:after="0" w:line="240"/>
              <w:jc w:val="right"/>
            </w:pPr>
            <w:r>
              <w:rPr>
                <w:b/>
                <w:bCs/>
                <w:sz w:val="16"/>
                <w:szCs w:val="16"/>
              </w:rPr>
              <w:t xml:space="preserve">1,810.5</w:t>
            </w:r>
          </w:p>
        </w:tc>
      </w:tr>
    </w:tbl>
    <w:p>
      <w:pPr>
        <w:keepNext/>
        <w:spacing w:after="40" w:before="120"/>
        <w:jc w:val="center"/>
      </w:pPr>
      <w:r>
        <w:drawing>
          <wp:inline distT="0" distB="0" distL="0" distR="0">
            <wp:extent cx="5810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2657475"/>
                    </a:xfrm>
                    <a:prstGeom prst="rect">
                      <a:avLst/>
                    </a:prstGeom>
                  </pic:spPr>
                </pic:pic>
              </a:graphicData>
            </a:graphic>
          </wp:inline>
        </w:drawing>
      </w:r>
    </w:p>
    <w:p>
      <w:pPr>
        <w:spacing w:after="200" w:before="60"/>
        <w:jc w:val="center"/>
      </w:pPr>
      <w:r>
        <w:rPr>
          <w:b w:val="false"/>
          <w:bCs w:val="false"/>
          <w:i/>
          <w:iCs/>
          <w:color w:val="52514E"/>
          <w:sz w:val="17"/>
          <w:szCs w:val="17"/>
        </w:rPr>
        <w:t xml:space="preserve">Figure 6.3: Household electricity by end-use (kWh/yr and share)</w:t>
      </w:r>
    </w:p>
    <w:p>
      <w:pPr>
        <w:pStyle w:val="Heading2"/>
      </w:pPr>
      <w:r>
        <w:rPr>
          <w:b w:val="false"/>
          <w:bCs w:val="false"/>
        </w:rPr>
        <w:t xml:space="preserve">6.4  Breakdown by EAC installation category (EAC §8.1(g)(iv))</w:t>
      </w:r>
    </w:p>
    <w:p>
      <w:pPr>
        <w:spacing w:after="40" w:before="0" w:line="276"/>
        <w:jc w:val="both"/>
      </w:pPr>
      <w:r>
        <w:rPr>
          <w:b w:val="false"/>
          <w:bCs w:val="false"/>
        </w:rPr>
        <w:t xml:space="preserve">EAC §8.1(g)(iv) asks for the breakdown by installation: air-conditioning, lighting, lift and escalator, and others. The EE-EAes form notes that air-conditioning "includes central mechanical ventilation" [3]. Following that convention, the desk fan and the washroom exhaust fan are counted as air-conditioning.</w:t>
      </w:r>
    </w:p>
    <w:p>
      <w:pPr>
        <w:pStyle w:val="ListParagraph"/>
        <w:numPr>
          <w:ilvl w:val="0"/>
          <w:numId w:val="2"/>
        </w:numPr>
        <w:spacing w:after="60" w:line="264"/>
      </w:pPr>
      <w:r>
        <w:rPr>
          <w:b/>
          <w:bCs/>
        </w:rPr>
        <w:t xml:space="preserve">Inside the room:</w:t>
      </w:r>
      <w:r>
        <w:rPr>
          <w:b w:val="false"/>
          <w:bCs w:val="false"/>
        </w:rPr>
        <w:t xml:space="preserve"> air-conditioning is 73.7% of energy.</w:t>
      </w:r>
    </w:p>
    <w:p>
      <w:pPr>
        <w:pStyle w:val="ListParagraph"/>
        <w:numPr>
          <w:ilvl w:val="0"/>
          <w:numId w:val="2"/>
        </w:numPr>
        <w:spacing w:after="60" w:line="264"/>
      </w:pPr>
      <w:r>
        <w:rPr>
          <w:b/>
          <w:bCs/>
        </w:rPr>
        <w:t xml:space="preserve">For the whole household:</w:t>
      </w:r>
      <w:r>
        <w:rPr>
          <w:b w:val="false"/>
          <w:bCs w:val="false"/>
        </w:rPr>
        <w:t xml:space="preserve"> air-conditioning is 42.9%, and "others" grows to 50.7% because of water heating and cooking. Lifts and escalators are outside the boundary.</w:t>
      </w:r>
    </w:p>
    <w:p>
      <w:pPr>
        <w:keepNext/>
        <w:spacing w:after="80" w:before="160"/>
      </w:pPr>
      <w:r>
        <w:rPr>
          <w:b/>
          <w:bCs/>
          <w:color w:val="1F3864"/>
          <w:sz w:val="18"/>
          <w:szCs w:val="18"/>
        </w:rPr>
        <w:t xml:space="preserve">Table 6.3: EAC categories - room vs household</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212"/>
        <w:gridCol w:w="1400"/>
        <w:gridCol w:w="1300"/>
        <w:gridCol w:w="1400"/>
        <w:gridCol w:w="1700"/>
        <w:gridCol w:w="1400"/>
      </w:tblGrid>
      <w:tr>
        <w:trPr>
          <w:tblHeader/>
        </w:trPr>
        <w:tc>
          <w:tcPr>
            <w:tcW w:type="dxa" w:w="22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Category</w:t>
            </w:r>
          </w:p>
        </w:tc>
        <w:tc>
          <w:tcPr>
            <w:tcW w:type="dxa" w:w="14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Room kWh/yr</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Room share</w:t>
            </w:r>
          </w:p>
        </w:tc>
        <w:tc>
          <w:tcPr>
            <w:tcW w:type="dxa" w:w="14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Room MJ/yr</w:t>
            </w:r>
          </w:p>
        </w:tc>
        <w:tc>
          <w:tcPr>
            <w:tcW w:type="dxa" w:w="17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Household kWh/yr</w:t>
            </w:r>
          </w:p>
        </w:tc>
        <w:tc>
          <w:tcPr>
            <w:tcW w:type="dxa" w:w="14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Household share</w:t>
            </w:r>
          </w:p>
        </w:tc>
      </w:tr>
      <w:tr>
        <w:trPr>
          <w:cantSplit/>
        </w:trPr>
        <w:tc>
          <w:tcPr>
            <w:tcW w:type="dxa" w:w="2212"/>
            <w:tcMar>
              <w:top w:type="dxa" w:w="50"/>
              <w:left w:type="dxa" w:w="90"/>
              <w:bottom w:type="dxa" w:w="50"/>
              <w:right w:type="dxa" w:w="90"/>
            </w:tcMar>
            <w:vAlign w:val="center"/>
          </w:tcPr>
          <w:p>
            <w:pPr>
              <w:spacing w:after="0" w:line="240"/>
              <w:jc w:val="left"/>
            </w:pPr>
            <w:r>
              <w:rPr>
                <w:b w:val="false"/>
                <w:bCs w:val="false"/>
                <w:sz w:val="16"/>
                <w:szCs w:val="16"/>
              </w:rPr>
              <w:t xml:space="preserve">Air-conditioning</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898.4</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73.7%</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3,234</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1,108.5</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42.9%</w:t>
            </w:r>
          </w:p>
        </w:tc>
      </w:tr>
      <w:tr>
        <w:trPr>
          <w:cantSplit/>
        </w:trPr>
        <w:tc>
          <w:tcPr>
            <w:tcW w:type="dxa" w:w="2212"/>
            <w:tcMar>
              <w:top w:type="dxa" w:w="50"/>
              <w:left w:type="dxa" w:w="90"/>
              <w:bottom w:type="dxa" w:w="50"/>
              <w:right w:type="dxa" w:w="90"/>
            </w:tcMar>
            <w:vAlign w:val="center"/>
          </w:tcPr>
          <w:p>
            <w:pPr>
              <w:spacing w:after="0" w:line="240"/>
              <w:jc w:val="left"/>
            </w:pPr>
            <w:r>
              <w:rPr>
                <w:b w:val="false"/>
                <w:bCs w:val="false"/>
                <w:sz w:val="16"/>
                <w:szCs w:val="16"/>
              </w:rPr>
              <w:t xml:space="preserve">Lighting</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116.8</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9.6%</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420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166.1</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6.4%</w:t>
            </w:r>
          </w:p>
        </w:tc>
      </w:tr>
      <w:tr>
        <w:trPr>
          <w:cantSplit/>
        </w:trPr>
        <w:tc>
          <w:tcPr>
            <w:tcW w:type="dxa" w:w="2212"/>
            <w:tcMar>
              <w:top w:type="dxa" w:w="50"/>
              <w:left w:type="dxa" w:w="90"/>
              <w:bottom w:type="dxa" w:w="50"/>
              <w:right w:type="dxa" w:w="90"/>
            </w:tcMar>
            <w:vAlign w:val="center"/>
          </w:tcPr>
          <w:p>
            <w:pPr>
              <w:spacing w:after="0" w:line="240"/>
              <w:jc w:val="left"/>
            </w:pPr>
            <w:r>
              <w:rPr>
                <w:b w:val="false"/>
                <w:bCs w:val="false"/>
                <w:sz w:val="16"/>
                <w:szCs w:val="16"/>
              </w:rPr>
              <w:t xml:space="preserve">Others</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204.4</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16.8%</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736</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1,311.8</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50.7%</w:t>
            </w:r>
          </w:p>
        </w:tc>
      </w:tr>
      <w:tr>
        <w:trPr>
          <w:cantSplit/>
        </w:trPr>
        <w:tc>
          <w:tcPr>
            <w:tcW w:type="dxa" w:w="2212"/>
            <w:tcMar>
              <w:top w:type="dxa" w:w="50"/>
              <w:left w:type="dxa" w:w="90"/>
              <w:bottom w:type="dxa" w:w="50"/>
              <w:right w:type="dxa" w:w="90"/>
            </w:tcMar>
            <w:vAlign w:val="center"/>
          </w:tcPr>
          <w:p>
            <w:pPr>
              <w:spacing w:after="0" w:line="240"/>
              <w:jc w:val="left"/>
            </w:pPr>
            <w:r>
              <w:rPr>
                <w:b w:val="false"/>
                <w:bCs w:val="false"/>
                <w:sz w:val="16"/>
                <w:szCs w:val="16"/>
              </w:rPr>
              <w:t xml:space="preserve">Lift &amp; escalator</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0.0</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0.0%</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0</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0.0</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0.0%</w:t>
            </w:r>
          </w:p>
        </w:tc>
      </w:tr>
      <w:tr>
        <w:trPr>
          <w:cantSplit/>
        </w:trPr>
        <w:tc>
          <w:tcPr>
            <w:tcW w:type="dxa" w:w="2212"/>
            <w:shd w:fill="F2F2F2" w:color="auto" w:val="clear"/>
            <w:tcMar>
              <w:top w:type="dxa" w:w="50"/>
              <w:left w:type="dxa" w:w="90"/>
              <w:bottom w:type="dxa" w:w="50"/>
              <w:right w:type="dxa" w:w="90"/>
            </w:tcMar>
            <w:vAlign w:val="center"/>
          </w:tcPr>
          <w:p>
            <w:pPr>
              <w:spacing w:after="0" w:line="240"/>
              <w:jc w:val="left"/>
            </w:pPr>
            <w:r>
              <w:rPr>
                <w:b/>
                <w:bCs/>
                <w:sz w:val="16"/>
                <w:szCs w:val="16"/>
              </w:rPr>
              <w:t xml:space="preserve">Total</w:t>
            </w:r>
          </w:p>
        </w:tc>
        <w:tc>
          <w:tcPr>
            <w:tcW w:type="dxa" w:w="14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1,219.6</w:t>
            </w:r>
          </w:p>
        </w:tc>
        <w:tc>
          <w:tcPr>
            <w:tcW w:type="dxa" w:w="13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100.0%</w:t>
            </w:r>
          </w:p>
        </w:tc>
        <w:tc>
          <w:tcPr>
            <w:tcW w:type="dxa" w:w="1400"/>
            <w:shd w:fill="F2F2F2" w:color="auto" w:val="clear"/>
            <w:tcMar>
              <w:top w:type="dxa" w:w="50"/>
              <w:left w:type="dxa" w:w="90"/>
              <w:bottom w:type="dxa" w:w="50"/>
              <w:right w:type="dxa" w:w="90"/>
            </w:tcMar>
            <w:vAlign w:val="center"/>
          </w:tcPr>
          <w:p>
            <w:pPr>
              <w:spacing w:after="0" w:line="240"/>
              <w:jc w:val="right"/>
            </w:pPr>
            <w:r>
              <w:rPr>
                <w:b/>
                <w:bCs/>
                <w:sz w:val="16"/>
                <w:szCs w:val="16"/>
              </w:rPr>
              <w:t xml:space="preserve">4,391</w:t>
            </w:r>
          </w:p>
        </w:tc>
        <w:tc>
          <w:tcPr>
            <w:tcW w:type="dxa" w:w="1700"/>
            <w:shd w:fill="F2F2F2" w:color="auto" w:val="clear"/>
            <w:tcMar>
              <w:top w:type="dxa" w:w="50"/>
              <w:left w:type="dxa" w:w="90"/>
              <w:bottom w:type="dxa" w:w="50"/>
              <w:right w:type="dxa" w:w="90"/>
            </w:tcMar>
            <w:vAlign w:val="center"/>
          </w:tcPr>
          <w:p>
            <w:pPr>
              <w:spacing w:after="0" w:line="240"/>
              <w:jc w:val="right"/>
            </w:pPr>
            <w:r>
              <w:rPr>
                <w:b/>
                <w:bCs/>
                <w:sz w:val="16"/>
                <w:szCs w:val="16"/>
              </w:rPr>
              <w:t xml:space="preserve">2,586.4</w:t>
            </w:r>
          </w:p>
        </w:tc>
        <w:tc>
          <w:tcPr>
            <w:tcW w:type="dxa" w:w="14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100.0%</w:t>
            </w:r>
          </w:p>
        </w:tc>
      </w:tr>
    </w:tbl>
    <w:p>
      <w:pPr>
        <w:keepNext/>
        <w:spacing w:after="40" w:before="120"/>
        <w:jc w:val="center"/>
      </w:pPr>
      <w:r>
        <w:drawing>
          <wp:inline distT="0" distB="0" distL="0" distR="0">
            <wp:extent cx="5810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1685925"/>
                    </a:xfrm>
                    <a:prstGeom prst="rect">
                      <a:avLst/>
                    </a:prstGeom>
                  </pic:spPr>
                </pic:pic>
              </a:graphicData>
            </a:graphic>
          </wp:inline>
        </w:drawing>
      </w:r>
    </w:p>
    <w:p>
      <w:pPr>
        <w:spacing w:after="200" w:before="60"/>
        <w:jc w:val="center"/>
      </w:pPr>
      <w:r>
        <w:rPr>
          <w:b w:val="false"/>
          <w:bCs w:val="false"/>
          <w:i/>
          <w:iCs/>
          <w:color w:val="52514E"/>
          <w:sz w:val="17"/>
          <w:szCs w:val="17"/>
        </w:rPr>
        <w:t xml:space="preserve">Figure 6.4: EAC installation categories - room vs household</w:t>
      </w:r>
    </w:p>
    <w:p>
      <w:pPr>
        <w:pStyle w:val="Heading2"/>
      </w:pPr>
      <w:r>
        <w:rPr>
          <w:b w:val="false"/>
          <w:bCs w:val="false"/>
        </w:rPr>
        <w:t xml:space="preserve">6.5  Monthly profile and monthly EUI (EAC §8.1(g)(iii))</w:t>
      </w:r>
    </w:p>
    <w:p>
      <w:pPr>
        <w:spacing w:after="120" w:before="0" w:line="276"/>
        <w:jc w:val="both"/>
      </w:pPr>
      <w:r>
        <w:rPr>
          <w:b w:val="false"/>
          <w:bCs w:val="false"/>
        </w:rPr>
        <w:t xml:space="preserve">The monthly profile (Table 6.4) is presented graphically in Figures 6.5 and 6.6, as EAC §8.1(g)(v) requires. It is flatter than the AC alone would suggest. In winter, shower energy rises as AC use falls. Household use ranges from 181 kWh in April to 246 kWh in October. Because the room's own loads are dominated by the AC, the monthly EUI of the room roughly doubles between the cool months (about 16.1 MJ/m²) and the hot months (about 32.2 MJ/m²).</w:t>
      </w:r>
    </w:p>
    <w:p>
      <w:pPr>
        <w:keepNext/>
        <w:spacing w:after="80" w:before="160"/>
      </w:pPr>
      <w:r>
        <w:rPr>
          <w:b/>
          <w:bCs/>
          <w:color w:val="1F3864"/>
          <w:sz w:val="18"/>
          <w:szCs w:val="18"/>
        </w:rPr>
        <w:t xml:space="preserve">Table 6.4: Monthly energy, room EUI and emissions (typical year)</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600"/>
        <w:gridCol w:w="760"/>
        <w:gridCol w:w="900"/>
        <w:gridCol w:w="900"/>
        <w:gridCol w:w="900"/>
        <w:gridCol w:w="900"/>
        <w:gridCol w:w="1100"/>
        <w:gridCol w:w="1100"/>
        <w:gridCol w:w="1552"/>
      </w:tblGrid>
      <w:tr>
        <w:trPr>
          <w:tblHeader/>
        </w:trPr>
        <w:tc>
          <w:tcPr>
            <w:tcW w:type="dxa" w:w="7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Month</w:t>
            </w:r>
          </w:p>
        </w:tc>
        <w:tc>
          <w:tcPr>
            <w:tcW w:type="dxa" w:w="6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Days</w:t>
            </w:r>
          </w:p>
        </w:tc>
        <w:tc>
          <w:tcPr>
            <w:tcW w:type="dxa" w:w="76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Season</w:t>
            </w:r>
          </w:p>
        </w:tc>
        <w:tc>
          <w:tcPr>
            <w:tcW w:type="dxa" w:w="9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Room AC</w:t>
            </w:r>
          </w:p>
        </w:tc>
        <w:tc>
          <w:tcPr>
            <w:tcW w:type="dxa" w:w="9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Hot water</w:t>
            </w:r>
          </w:p>
        </w:tc>
        <w:tc>
          <w:tcPr>
            <w:tcW w:type="dxa" w:w="9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Cooking</w:t>
            </w:r>
          </w:p>
        </w:tc>
        <w:tc>
          <w:tcPr>
            <w:tcW w:type="dxa" w:w="9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Other</w:t>
            </w:r>
          </w:p>
        </w:tc>
        <w:tc>
          <w:tcPr>
            <w:tcW w:type="dxa" w:w="11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Household kWh</w:t>
            </w:r>
          </w:p>
        </w:tc>
        <w:tc>
          <w:tcPr>
            <w:tcW w:type="dxa" w:w="11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Room EUI MJ/m²</w:t>
            </w:r>
          </w:p>
        </w:tc>
        <w:tc>
          <w:tcPr>
            <w:tcW w:type="dxa" w:w="1552"/>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kg </w:t>
            </w:r>
            <w:r>
              <w:rPr>
                <w:b/>
                <w:bCs/>
                <w:color w:val="1F3864"/>
                <w:sz w:val="15"/>
                <w:szCs w:val="15"/>
              </w:rPr>
              <w:t xml:space="preserve">CO</w:t>
            </w:r>
            <w:r>
              <w:rPr>
                <w:b/>
                <w:bCs/>
                <w:color w:val="1F3864"/>
                <w:sz w:val="15"/>
                <w:szCs w:val="15"/>
                <w:vertAlign w:val="subscript"/>
              </w:rPr>
              <w:t xml:space="preserve">2</w:t>
            </w:r>
            <w:r>
              <w:rPr>
                <w:b/>
                <w:bCs/>
                <w:color w:val="1F3864"/>
                <w:sz w:val="15"/>
                <w:szCs w:val="15"/>
              </w:rPr>
              <w:t xml:space="preserve">e (CLP)</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Jan</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31</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Cool</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77.0</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26.5</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68.2</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207.2</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16.87</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70.5</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Feb</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28</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Cool</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67.8</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23.9</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61.6</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188.8</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16.06</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64.2</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Mar</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31</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Cool</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67.5</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26.5</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68.2</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197.7</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16.87</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67.2</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Apr</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30</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Cool</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53.9</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66.0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181.1</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16.60</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61.6</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May</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31</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Hot</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99.6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44.9</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26.5</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72.6</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243.6</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32.23</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82.8</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Jun</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30</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Hot</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99.6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37.1</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70.3</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232.6</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31.96</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79.1</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Jul</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31</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Hot</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99.6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36.4</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26.5</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72.6</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235.0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32.23</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79.9</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Aug</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31</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Hot</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99.6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37.0</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26.5</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72.6</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235.7</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32.23</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80.1</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Sep</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30</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Hot</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99.6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38.4</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70.3</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233.8</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31.96</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79.5</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Oct</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31</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Hot</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99.6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46.9</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26.5</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72.6</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245.5</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32.23</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83.5</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Nov</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30</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Cool</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56.4</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66.0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183.6</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16.60</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62.4</w:t>
            </w:r>
          </w:p>
        </w:tc>
      </w:tr>
      <w:tr>
        <w:trPr>
          <w:cantSplit/>
        </w:trPr>
        <w:tc>
          <w:tcPr>
            <w:tcW w:type="dxa" w:w="700"/>
            <w:tcMar>
              <w:top w:type="dxa" w:w="50"/>
              <w:left w:type="dxa" w:w="90"/>
              <w:bottom w:type="dxa" w:w="50"/>
              <w:right w:type="dxa" w:w="90"/>
            </w:tcMar>
            <w:vAlign w:val="center"/>
          </w:tcPr>
          <w:p>
            <w:pPr>
              <w:spacing w:after="0" w:line="240"/>
              <w:jc w:val="left"/>
            </w:pPr>
            <w:r>
              <w:rPr>
                <w:b w:val="false"/>
                <w:bCs w:val="false"/>
                <w:sz w:val="15"/>
                <w:szCs w:val="15"/>
              </w:rPr>
              <w:t xml:space="preserve">Dec</w:t>
            </w:r>
          </w:p>
        </w:tc>
        <w:tc>
          <w:tcPr>
            <w:tcW w:type="dxa" w:w="600"/>
            <w:tcMar>
              <w:top w:type="dxa" w:w="50"/>
              <w:left w:type="dxa" w:w="90"/>
              <w:bottom w:type="dxa" w:w="50"/>
              <w:right w:type="dxa" w:w="90"/>
            </w:tcMar>
            <w:vAlign w:val="center"/>
          </w:tcPr>
          <w:p>
            <w:pPr>
              <w:spacing w:after="0" w:line="240"/>
              <w:jc w:val="right"/>
            </w:pPr>
            <w:r>
              <w:rPr>
                <w:b w:val="false"/>
                <w:bCs w:val="false"/>
                <w:sz w:val="15"/>
                <w:szCs w:val="15"/>
              </w:rPr>
              <w:t xml:space="preserve">31</w:t>
            </w:r>
          </w:p>
        </w:tc>
        <w:tc>
          <w:tcPr>
            <w:tcW w:type="dxa" w:w="760"/>
            <w:tcMar>
              <w:top w:type="dxa" w:w="50"/>
              <w:left w:type="dxa" w:w="90"/>
              <w:bottom w:type="dxa" w:w="50"/>
              <w:right w:type="dxa" w:w="90"/>
            </w:tcMar>
            <w:vAlign w:val="center"/>
          </w:tcPr>
          <w:p>
            <w:pPr>
              <w:spacing w:after="0" w:line="240"/>
              <w:jc w:val="left"/>
            </w:pPr>
            <w:r>
              <w:rPr>
                <w:b w:val="false"/>
                <w:bCs w:val="false"/>
                <w:sz w:val="15"/>
                <w:szCs w:val="15"/>
              </w:rPr>
              <w:t xml:space="preserve">Cool</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35.6</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71.4</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26.5</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68.2</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201.7</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16.87</w:t>
            </w:r>
          </w:p>
        </w:tc>
        <w:tc>
          <w:tcPr>
            <w:tcW w:type="dxa" w:w="1552"/>
            <w:tcMar>
              <w:top w:type="dxa" w:w="50"/>
              <w:left w:type="dxa" w:w="90"/>
              <w:bottom w:type="dxa" w:w="50"/>
              <w:right w:type="dxa" w:w="90"/>
            </w:tcMar>
            <w:vAlign w:val="center"/>
          </w:tcPr>
          <w:p>
            <w:pPr>
              <w:spacing w:after="0" w:line="240"/>
              <w:jc w:val="right"/>
            </w:pPr>
            <w:r>
              <w:rPr>
                <w:b w:val="false"/>
                <w:bCs w:val="false"/>
                <w:sz w:val="15"/>
                <w:szCs w:val="15"/>
              </w:rPr>
              <w:t xml:space="preserve">68.6</w:t>
            </w:r>
          </w:p>
        </w:tc>
      </w:tr>
      <w:tr>
        <w:trPr>
          <w:cantSplit/>
        </w:trPr>
        <w:tc>
          <w:tcPr>
            <w:tcW w:type="dxa" w:w="700"/>
            <w:shd w:fill="F2F2F2" w:color="auto" w:val="clear"/>
            <w:tcMar>
              <w:top w:type="dxa" w:w="50"/>
              <w:left w:type="dxa" w:w="90"/>
              <w:bottom w:type="dxa" w:w="50"/>
              <w:right w:type="dxa" w:w="90"/>
            </w:tcMar>
            <w:vAlign w:val="center"/>
          </w:tcPr>
          <w:p>
            <w:pPr>
              <w:spacing w:after="0" w:line="240"/>
              <w:jc w:val="left"/>
            </w:pPr>
            <w:r>
              <w:rPr>
                <w:b/>
                <w:bCs/>
                <w:sz w:val="15"/>
                <w:szCs w:val="15"/>
              </w:rPr>
              <w:t xml:space="preserve">Year</w:t>
            </w:r>
          </w:p>
        </w:tc>
        <w:tc>
          <w:tcPr>
            <w:tcW w:type="dxa" w:w="600"/>
            <w:shd w:fill="F2F2F2" w:color="auto" w:val="clear"/>
            <w:tcMar>
              <w:top w:type="dxa" w:w="50"/>
              <w:left w:type="dxa" w:w="90"/>
              <w:bottom w:type="dxa" w:w="50"/>
              <w:right w:type="dxa" w:w="90"/>
            </w:tcMar>
            <w:vAlign w:val="center"/>
          </w:tcPr>
          <w:p>
            <w:pPr>
              <w:spacing w:after="0" w:line="240"/>
              <w:jc w:val="right"/>
            </w:pPr>
            <w:r>
              <w:rPr>
                <w:b/>
                <w:bCs/>
                <w:sz w:val="15"/>
                <w:szCs w:val="15"/>
              </w:rPr>
              <w:t xml:space="preserve">365</w:t>
            </w:r>
          </w:p>
        </w:tc>
        <w:tc>
          <w:tcPr>
            <w:tcW w:type="dxa" w:w="760"/>
            <w:shd w:fill="F2F2F2" w:color="auto" w:val="clear"/>
            <w:tcMar>
              <w:top w:type="dxa" w:w="50"/>
              <w:left w:type="dxa" w:w="90"/>
              <w:bottom w:type="dxa" w:w="50"/>
              <w:right w:type="dxa" w:w="90"/>
            </w:tcMar>
            <w:vAlign w:val="center"/>
          </w:tcPr>
          <w:p>
            <w:pPr>
              <w:spacing w:after="0" w:line="240"/>
              <w:jc w:val="left"/>
            </w:pPr>
          </w:p>
        </w:tc>
        <w:tc>
          <w:tcPr>
            <w:tcW w:type="dxa" w:w="900"/>
            <w:shd w:fill="F2F2F2" w:color="auto" w:val="clear"/>
            <w:tcMar>
              <w:top w:type="dxa" w:w="50"/>
              <w:left w:type="dxa" w:w="90"/>
              <w:bottom w:type="dxa" w:w="50"/>
              <w:right w:type="dxa" w:w="90"/>
            </w:tcMar>
            <w:vAlign w:val="center"/>
          </w:tcPr>
          <w:p>
            <w:pPr>
              <w:spacing w:after="0" w:line="240"/>
              <w:jc w:val="right"/>
            </w:pPr>
            <w:r>
              <w:rPr>
                <w:b/>
                <w:bCs/>
                <w:sz w:val="15"/>
                <w:szCs w:val="15"/>
              </w:rPr>
              <w:t xml:space="preserve">810.8</w:t>
            </w:r>
          </w:p>
        </w:tc>
        <w:tc>
          <w:tcPr>
            <w:tcW w:type="dxa" w:w="900"/>
            <w:shd w:fill="F2F2F2" w:color="auto" w:val="clear"/>
            <w:tcMar>
              <w:top w:type="dxa" w:w="50"/>
              <w:left w:type="dxa" w:w="90"/>
              <w:bottom w:type="dxa" w:w="50"/>
              <w:right w:type="dxa" w:w="90"/>
            </w:tcMar>
            <w:vAlign w:val="center"/>
          </w:tcPr>
          <w:p>
            <w:pPr>
              <w:spacing w:after="0" w:line="240"/>
              <w:jc w:val="right"/>
            </w:pPr>
            <w:r>
              <w:rPr>
                <w:b/>
                <w:bCs/>
                <w:sz w:val="15"/>
                <w:szCs w:val="15"/>
              </w:rPr>
              <w:t xml:space="preserve">634.7</w:t>
            </w:r>
          </w:p>
        </w:tc>
        <w:tc>
          <w:tcPr>
            <w:tcW w:type="dxa" w:w="900"/>
            <w:shd w:fill="F2F2F2" w:color="auto" w:val="clear"/>
            <w:tcMar>
              <w:top w:type="dxa" w:w="50"/>
              <w:left w:type="dxa" w:w="90"/>
              <w:bottom w:type="dxa" w:w="50"/>
              <w:right w:type="dxa" w:w="90"/>
            </w:tcMar>
            <w:vAlign w:val="center"/>
          </w:tcPr>
          <w:p>
            <w:pPr>
              <w:spacing w:after="0" w:line="240"/>
              <w:jc w:val="right"/>
            </w:pPr>
            <w:r>
              <w:rPr>
                <w:b/>
                <w:bCs/>
                <w:sz w:val="15"/>
                <w:szCs w:val="15"/>
              </w:rPr>
              <w:t xml:space="preserve">312.0</w:t>
            </w:r>
          </w:p>
        </w:tc>
        <w:tc>
          <w:tcPr>
            <w:tcW w:type="dxa" w:w="900"/>
            <w:shd w:fill="F2F2F2" w:color="auto" w:val="clear"/>
            <w:tcMar>
              <w:top w:type="dxa" w:w="50"/>
              <w:left w:type="dxa" w:w="90"/>
              <w:bottom w:type="dxa" w:w="50"/>
              <w:right w:type="dxa" w:w="90"/>
            </w:tcMar>
            <w:vAlign w:val="center"/>
          </w:tcPr>
          <w:p>
            <w:pPr>
              <w:spacing w:after="0" w:line="240"/>
              <w:jc w:val="right"/>
            </w:pPr>
            <w:r>
              <w:rPr>
                <w:b/>
                <w:bCs/>
                <w:sz w:val="15"/>
                <w:szCs w:val="15"/>
              </w:rPr>
              <w:t xml:space="preserve">828.9</w:t>
            </w:r>
          </w:p>
        </w:tc>
        <w:tc>
          <w:tcPr>
            <w:tcW w:type="dxa" w:w="1100"/>
            <w:shd w:fill="F2F2F2" w:color="auto" w:val="clear"/>
            <w:tcMar>
              <w:top w:type="dxa" w:w="50"/>
              <w:left w:type="dxa" w:w="90"/>
              <w:bottom w:type="dxa" w:w="50"/>
              <w:right w:type="dxa" w:w="90"/>
            </w:tcMar>
            <w:vAlign w:val="center"/>
          </w:tcPr>
          <w:p>
            <w:pPr>
              <w:spacing w:after="0" w:line="240"/>
              <w:jc w:val="right"/>
            </w:pPr>
            <w:r>
              <w:rPr>
                <w:b/>
                <w:bCs/>
                <w:sz w:val="15"/>
                <w:szCs w:val="15"/>
              </w:rPr>
              <w:t xml:space="preserve">2,586.4</w:t>
            </w:r>
          </w:p>
        </w:tc>
        <w:tc>
          <w:tcPr>
            <w:tcW w:type="dxa" w:w="1100"/>
            <w:shd w:fill="F2F2F2" w:color="auto" w:val="clear"/>
            <w:tcMar>
              <w:top w:type="dxa" w:w="50"/>
              <w:left w:type="dxa" w:w="90"/>
              <w:bottom w:type="dxa" w:w="50"/>
              <w:right w:type="dxa" w:w="90"/>
            </w:tcMar>
            <w:vAlign w:val="center"/>
          </w:tcPr>
          <w:p>
            <w:pPr>
              <w:spacing w:after="0" w:line="240"/>
              <w:jc w:val="right"/>
            </w:pPr>
            <w:r>
              <w:rPr>
                <w:b/>
                <w:bCs/>
                <w:sz w:val="15"/>
                <w:szCs w:val="15"/>
              </w:rPr>
              <w:t xml:space="preserve">292.7</w:t>
            </w:r>
          </w:p>
        </w:tc>
        <w:tc>
          <w:tcPr>
            <w:tcW w:type="dxa" w:w="1552"/>
            <w:shd w:fill="F2F2F2" w:color="auto" w:val="clear"/>
            <w:tcMar>
              <w:top w:type="dxa" w:w="50"/>
              <w:left w:type="dxa" w:w="90"/>
              <w:bottom w:type="dxa" w:w="50"/>
              <w:right w:type="dxa" w:w="90"/>
            </w:tcMar>
            <w:vAlign w:val="center"/>
          </w:tcPr>
          <w:p>
            <w:pPr>
              <w:spacing w:after="0" w:line="240"/>
              <w:jc w:val="right"/>
            </w:pPr>
            <w:r>
              <w:rPr>
                <w:b/>
                <w:bCs/>
                <w:sz w:val="15"/>
                <w:szCs w:val="15"/>
              </w:rPr>
              <w:t xml:space="preserve">879.4</w:t>
            </w:r>
          </w:p>
        </w:tc>
      </w:tr>
    </w:tbl>
    <w:p>
      <w:pPr>
        <w:keepNext/>
        <w:spacing w:after="40" w:before="120"/>
        <w:jc w:val="center"/>
      </w:pPr>
      <w:r>
        <w:drawing>
          <wp:inline distT="0" distB="0" distL="0" distR="0">
            <wp:extent cx="58102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3409950"/>
                    </a:xfrm>
                    <a:prstGeom prst="rect">
                      <a:avLst/>
                    </a:prstGeom>
                  </pic:spPr>
                </pic:pic>
              </a:graphicData>
            </a:graphic>
          </wp:inline>
        </w:drawing>
      </w:r>
    </w:p>
    <w:p>
      <w:pPr>
        <w:spacing w:after="200" w:before="60"/>
        <w:jc w:val="center"/>
      </w:pPr>
      <w:r>
        <w:rPr>
          <w:b w:val="false"/>
          <w:bCs w:val="false"/>
          <w:i/>
          <w:iCs/>
          <w:color w:val="52514E"/>
          <w:sz w:val="17"/>
          <w:szCs w:val="17"/>
        </w:rPr>
        <w:t xml:space="preserve">Figure 6.5: Household electricity by month and end-use group</w:t>
      </w:r>
    </w:p>
    <w:p>
      <w:pPr>
        <w:keepNext/>
        <w:spacing w:after="40" w:before="120"/>
        <w:jc w:val="center"/>
      </w:pPr>
      <w:r>
        <w:drawing>
          <wp:inline distT="0" distB="0" distL="0" distR="0">
            <wp:extent cx="5810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2238375"/>
                    </a:xfrm>
                    <a:prstGeom prst="rect">
                      <a:avLst/>
                    </a:prstGeom>
                  </pic:spPr>
                </pic:pic>
              </a:graphicData>
            </a:graphic>
          </wp:inline>
        </w:drawing>
      </w:r>
    </w:p>
    <w:p>
      <w:pPr>
        <w:spacing w:after="200" w:before="60"/>
        <w:jc w:val="center"/>
      </w:pPr>
      <w:r>
        <w:rPr>
          <w:b w:val="false"/>
          <w:bCs w:val="false"/>
          <w:i/>
          <w:iCs/>
          <w:color w:val="52514E"/>
          <w:sz w:val="17"/>
          <w:szCs w:val="17"/>
        </w:rPr>
        <w:t xml:space="preserve">Figure 6.6: Monthly EUI of Room 1003B (MJ/m² per month)</w:t>
      </w:r>
    </w:p>
    <w:p>
      <w:pPr>
        <w:pStyle w:val="Heading2"/>
      </w:pPr>
      <w:r>
        <w:rPr>
          <w:b w:val="false"/>
          <w:bCs w:val="false"/>
        </w:rPr>
        <w:t xml:space="preserve">6.6  Energy Utilisation Index and benchmarks</w:t>
      </w:r>
    </w:p>
    <w:p>
      <w:pPr>
        <w:spacing w:after="120" w:before="0" w:line="276"/>
        <w:jc w:val="both"/>
      </w:pPr>
      <w:r>
        <w:rPr>
          <w:b w:val="false"/>
          <w:bCs w:val="false"/>
        </w:rPr>
        <w:t xml:space="preserve">The room's EUI is </w:t>
      </w:r>
      <w:r>
        <w:rPr>
          <w:b/>
          <w:bCs/>
        </w:rPr>
        <w:t xml:space="preserve">292.7 MJ/m²/yr (81.3 kWh/m²/yr)</w:t>
      </w:r>
      <w:r>
        <w:rPr>
          <w:b w:val="false"/>
          <w:bCs w:val="false"/>
        </w:rPr>
        <w:t xml:space="preserve">. Hong Kong does not publish a statutory residential EUI benchmark, so one was derived from public statistics. A typical three-person household uses 275 kWh a month [7], and the median floor area per person is about 16 m² [23]. Together these give about 68.8 kWh/m²/yr (248 MJ/m²/yr).</w:t>
      </w:r>
    </w:p>
    <w:p>
      <w:pPr>
        <w:spacing w:after="40" w:before="0" w:line="276"/>
        <w:jc w:val="both"/>
      </w:pPr>
      <w:r>
        <w:rPr>
          <w:b w:val="false"/>
          <w:bCs w:val="false"/>
        </w:rPr>
        <w:t xml:space="preserve">The room is 1.18 × this benchmark, and household electricity per person is 1.18 × the typical 1,100 kWh. Two caveats apply:</w:t>
      </w:r>
    </w:p>
    <w:p>
      <w:pPr>
        <w:pStyle w:val="ListParagraph"/>
        <w:numPr>
          <w:ilvl w:val="0"/>
          <w:numId w:val="2"/>
        </w:numPr>
        <w:spacing w:after="60" w:line="264"/>
      </w:pPr>
      <w:r>
        <w:rPr>
          <w:b w:val="false"/>
          <w:bCs w:val="false"/>
        </w:rPr>
        <w:t xml:space="preserve">typical homes often cook and heat water with Towngas, whereas this household is all-electric, so the electricity comparison is conservative;</w:t>
      </w:r>
    </w:p>
    <w:p>
      <w:pPr>
        <w:pStyle w:val="ListParagraph"/>
        <w:numPr>
          <w:ilvl w:val="0"/>
          <w:numId w:val="2"/>
        </w:numPr>
        <w:spacing w:after="120" w:line="264"/>
      </w:pPr>
      <w:r>
        <w:rPr>
          <w:b w:val="false"/>
          <w:bCs w:val="false"/>
        </w:rPr>
        <w:t xml:space="preserve">the room has half the median floor area per person, so the same AC use is concentrated over fewer square metres.</w:t>
      </w:r>
    </w:p>
    <w:p>
      <w:pPr>
        <w:spacing w:after="120" w:before="0" w:line="276"/>
        <w:jc w:val="both"/>
      </w:pPr>
      <w:r>
        <w:rPr>
          <w:b w:val="false"/>
          <w:bCs w:val="false"/>
        </w:rPr>
        <w:t xml:space="preserve">Water use is well below average (70.6 vs 120.9 L/person/day [13]), and lighting power density is well below the BEC limit (Figure 6.7).</w:t>
      </w:r>
    </w:p>
    <w:p>
      <w:pPr>
        <w:keepNext/>
        <w:spacing w:after="80" w:before="160"/>
      </w:pPr>
      <w:r>
        <w:rPr>
          <w:b/>
          <w:bCs/>
          <w:color w:val="1F3864"/>
          <w:sz w:val="18"/>
          <w:szCs w:val="18"/>
        </w:rPr>
        <w:t xml:space="preserve">Table 6.5: Key performance indicators vs Hong Kong benchmarks</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1400"/>
        <w:gridCol w:w="1300"/>
        <w:gridCol w:w="900"/>
        <w:gridCol w:w="3112"/>
      </w:tblGrid>
      <w:tr>
        <w:trPr>
          <w:tblHeader/>
        </w:trPr>
        <w:tc>
          <w:tcPr>
            <w:tcW w:type="dxa" w:w="27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Indicator</w:t>
            </w:r>
          </w:p>
        </w:tc>
        <w:tc>
          <w:tcPr>
            <w:tcW w:type="dxa" w:w="14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This household</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Benchmark</w:t>
            </w:r>
          </w:p>
        </w:tc>
        <w:tc>
          <w:tcPr>
            <w:tcW w:type="dxa" w:w="9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Ratio</w:t>
            </w:r>
          </w:p>
        </w:tc>
        <w:tc>
          <w:tcPr>
            <w:tcW w:type="dxa" w:w="31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Benchmark source</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Room EUI (kWh/m²/yr)</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81.3</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68.8</w:t>
            </w:r>
          </w:p>
        </w:tc>
        <w:tc>
          <w:tcPr>
            <w:tcW w:type="dxa" w:w="900"/>
            <w:tcMar>
              <w:top w:type="dxa" w:w="50"/>
              <w:left w:type="dxa" w:w="90"/>
              <w:bottom w:type="dxa" w:w="50"/>
              <w:right w:type="dxa" w:w="90"/>
            </w:tcMar>
            <w:vAlign w:val="center"/>
          </w:tcPr>
          <w:p>
            <w:pPr>
              <w:spacing w:after="0" w:line="240"/>
              <w:jc w:val="right"/>
            </w:pPr>
            <w:r>
              <w:rPr>
                <w:b w:val="false"/>
                <w:bCs w:val="false"/>
                <w:sz w:val="16"/>
                <w:szCs w:val="16"/>
              </w:rPr>
              <w:t xml:space="preserve">1.18</w:t>
            </w:r>
          </w:p>
        </w:tc>
        <w:tc>
          <w:tcPr>
            <w:tcW w:type="dxa" w:w="3112"/>
            <w:tcMar>
              <w:top w:type="dxa" w:w="50"/>
              <w:left w:type="dxa" w:w="90"/>
              <w:bottom w:type="dxa" w:w="50"/>
              <w:right w:type="dxa" w:w="90"/>
            </w:tcMar>
            <w:vAlign w:val="center"/>
          </w:tcPr>
          <w:p>
            <w:pPr>
              <w:spacing w:after="0" w:line="240"/>
              <w:jc w:val="left"/>
            </w:pPr>
            <w:r>
              <w:rPr>
                <w:b w:val="false"/>
                <w:bCs w:val="false"/>
                <w:sz w:val="16"/>
                <w:szCs w:val="16"/>
              </w:rPr>
              <w:t xml:space="preserve">275 kWh/month ÷ 3 persons ÷ 16 m² [7], [23]</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Electricity per person (kWh/yr)</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1,293</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1,100</w:t>
            </w:r>
          </w:p>
        </w:tc>
        <w:tc>
          <w:tcPr>
            <w:tcW w:type="dxa" w:w="900"/>
            <w:tcMar>
              <w:top w:type="dxa" w:w="50"/>
              <w:left w:type="dxa" w:w="90"/>
              <w:bottom w:type="dxa" w:w="50"/>
              <w:right w:type="dxa" w:w="90"/>
            </w:tcMar>
            <w:vAlign w:val="center"/>
          </w:tcPr>
          <w:p>
            <w:pPr>
              <w:spacing w:after="0" w:line="240"/>
              <w:jc w:val="right"/>
            </w:pPr>
            <w:r>
              <w:rPr>
                <w:b w:val="false"/>
                <w:bCs w:val="false"/>
                <w:sz w:val="16"/>
                <w:szCs w:val="16"/>
              </w:rPr>
              <w:t xml:space="preserve">1.18</w:t>
            </w:r>
          </w:p>
        </w:tc>
        <w:tc>
          <w:tcPr>
            <w:tcW w:type="dxa" w:w="3112"/>
            <w:tcMar>
              <w:top w:type="dxa" w:w="50"/>
              <w:left w:type="dxa" w:w="90"/>
              <w:bottom w:type="dxa" w:w="50"/>
              <w:right w:type="dxa" w:w="90"/>
            </w:tcMar>
            <w:vAlign w:val="center"/>
          </w:tcPr>
          <w:p>
            <w:pPr>
              <w:spacing w:after="0" w:line="240"/>
              <w:jc w:val="left"/>
            </w:pPr>
            <w:r>
              <w:rPr>
                <w:b w:val="false"/>
                <w:bCs w:val="false"/>
                <w:sz w:val="16"/>
                <w:szCs w:val="16"/>
              </w:rPr>
              <w:t xml:space="preserve">Typical 3-person household [7]</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Fresh water (L/person/day)</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70.6</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120.9</w:t>
            </w:r>
          </w:p>
        </w:tc>
        <w:tc>
          <w:tcPr>
            <w:tcW w:type="dxa" w:w="900"/>
            <w:tcMar>
              <w:top w:type="dxa" w:w="50"/>
              <w:left w:type="dxa" w:w="90"/>
              <w:bottom w:type="dxa" w:w="50"/>
              <w:right w:type="dxa" w:w="90"/>
            </w:tcMar>
            <w:vAlign w:val="center"/>
          </w:tcPr>
          <w:p>
            <w:pPr>
              <w:spacing w:after="0" w:line="240"/>
              <w:jc w:val="right"/>
            </w:pPr>
            <w:r>
              <w:rPr>
                <w:b w:val="false"/>
                <w:bCs w:val="false"/>
                <w:sz w:val="16"/>
                <w:szCs w:val="16"/>
              </w:rPr>
              <w:t xml:space="preserve">0.58</w:t>
            </w:r>
          </w:p>
        </w:tc>
        <w:tc>
          <w:tcPr>
            <w:tcW w:type="dxa" w:w="3112"/>
            <w:tcMar>
              <w:top w:type="dxa" w:w="50"/>
              <w:left w:type="dxa" w:w="90"/>
              <w:bottom w:type="dxa" w:w="50"/>
              <w:right w:type="dxa" w:w="90"/>
            </w:tcMar>
            <w:vAlign w:val="center"/>
          </w:tcPr>
          <w:p>
            <w:pPr>
              <w:spacing w:after="0" w:line="240"/>
              <w:jc w:val="left"/>
            </w:pPr>
            <w:r>
              <w:rPr>
                <w:b w:val="false"/>
                <w:bCs w:val="false"/>
                <w:sz w:val="16"/>
                <w:szCs w:val="16"/>
              </w:rPr>
              <w:t xml:space="preserve">HK domestic 2023/24 [13]</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Floor area per person (m²)</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7.5</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16.0</w:t>
            </w:r>
          </w:p>
        </w:tc>
        <w:tc>
          <w:tcPr>
            <w:tcW w:type="dxa" w:w="900"/>
            <w:tcMar>
              <w:top w:type="dxa" w:w="50"/>
              <w:left w:type="dxa" w:w="90"/>
              <w:bottom w:type="dxa" w:w="50"/>
              <w:right w:type="dxa" w:w="90"/>
            </w:tcMar>
            <w:vAlign w:val="center"/>
          </w:tcPr>
          <w:p>
            <w:pPr>
              <w:spacing w:after="0" w:line="240"/>
              <w:jc w:val="right"/>
            </w:pPr>
            <w:r>
              <w:rPr>
                <w:b w:val="false"/>
                <w:bCs w:val="false"/>
                <w:sz w:val="16"/>
                <w:szCs w:val="16"/>
              </w:rPr>
              <w:t xml:space="preserve">0.47</w:t>
            </w:r>
          </w:p>
        </w:tc>
        <w:tc>
          <w:tcPr>
            <w:tcW w:type="dxa" w:w="3112"/>
            <w:tcMar>
              <w:top w:type="dxa" w:w="50"/>
              <w:left w:type="dxa" w:w="90"/>
              <w:bottom w:type="dxa" w:w="50"/>
              <w:right w:type="dxa" w:w="90"/>
            </w:tcMar>
            <w:vAlign w:val="center"/>
          </w:tcPr>
          <w:p>
            <w:pPr>
              <w:spacing w:after="0" w:line="240"/>
              <w:jc w:val="left"/>
            </w:pPr>
            <w:r>
              <w:rPr>
                <w:b w:val="false"/>
                <w:bCs w:val="false"/>
                <w:sz w:val="16"/>
                <w:szCs w:val="16"/>
              </w:rPr>
              <w:t xml:space="preserve">2021 Census median [23]</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Lighting power density (W/m²)</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4.0</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6.2</w:t>
            </w:r>
          </w:p>
        </w:tc>
        <w:tc>
          <w:tcPr>
            <w:tcW w:type="dxa" w:w="900"/>
            <w:tcMar>
              <w:top w:type="dxa" w:w="50"/>
              <w:left w:type="dxa" w:w="90"/>
              <w:bottom w:type="dxa" w:w="50"/>
              <w:right w:type="dxa" w:w="90"/>
            </w:tcMar>
            <w:vAlign w:val="center"/>
          </w:tcPr>
          <w:p>
            <w:pPr>
              <w:spacing w:after="0" w:line="240"/>
              <w:jc w:val="right"/>
            </w:pPr>
            <w:r>
              <w:rPr>
                <w:b w:val="false"/>
                <w:bCs w:val="false"/>
                <w:sz w:val="16"/>
                <w:szCs w:val="16"/>
              </w:rPr>
              <w:t xml:space="preserve">0.65</w:t>
            </w:r>
          </w:p>
        </w:tc>
        <w:tc>
          <w:tcPr>
            <w:tcW w:type="dxa" w:w="3112"/>
            <w:tcMar>
              <w:top w:type="dxa" w:w="50"/>
              <w:left w:type="dxa" w:w="90"/>
              <w:bottom w:type="dxa" w:w="50"/>
              <w:right w:type="dxa" w:w="90"/>
            </w:tcMar>
            <w:vAlign w:val="center"/>
          </w:tcPr>
          <w:p>
            <w:pPr>
              <w:spacing w:after="0" w:line="240"/>
              <w:jc w:val="left"/>
            </w:pPr>
            <w:r>
              <w:rPr>
                <w:b w:val="false"/>
                <w:bCs w:val="false"/>
                <w:sz w:val="16"/>
                <w:szCs w:val="16"/>
              </w:rPr>
              <w:t xml:space="preserve">BEC 2021 dormitory [24]</w:t>
            </w:r>
          </w:p>
        </w:tc>
      </w:tr>
    </w:tbl>
    <w:p>
      <w:pPr>
        <w:keepNext/>
        <w:spacing w:after="40" w:before="120"/>
        <w:jc w:val="center"/>
      </w:pPr>
      <w:r>
        <w:drawing>
          <wp:inline distT="0" distB="0" distL="0" distR="0">
            <wp:extent cx="5810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2143125"/>
                    </a:xfrm>
                    <a:prstGeom prst="rect">
                      <a:avLst/>
                    </a:prstGeom>
                  </pic:spPr>
                </pic:pic>
              </a:graphicData>
            </a:graphic>
          </wp:inline>
        </w:drawing>
      </w:r>
    </w:p>
    <w:p>
      <w:pPr>
        <w:spacing w:after="200" w:before="60"/>
        <w:jc w:val="center"/>
      </w:pPr>
      <w:r>
        <w:rPr>
          <w:b w:val="false"/>
          <w:bCs w:val="false"/>
          <w:i/>
          <w:iCs/>
          <w:color w:val="52514E"/>
          <w:sz w:val="17"/>
          <w:szCs w:val="17"/>
        </w:rPr>
        <w:t xml:space="preserve">Figure 6.7: Household indicators as a ratio of Hong Kong benchmarks</w:t>
      </w:r>
    </w:p>
    <w:p>
      <w:pPr>
        <w:pStyle w:val="Heading2"/>
      </w:pPr>
      <w:r>
        <w:rPr>
          <w:b w:val="false"/>
          <w:bCs w:val="false"/>
        </w:rPr>
        <w:t xml:space="preserve">6.7  Energy used outside the room (EAC §8.1(h))</w:t>
      </w:r>
    </w:p>
    <w:p>
      <w:pPr>
        <w:spacing w:after="120" w:before="0" w:line="276"/>
        <w:jc w:val="both"/>
      </w:pPr>
      <w:r>
        <w:rPr>
          <w:b w:val="false"/>
          <w:bCs w:val="false"/>
        </w:rPr>
        <w:t xml:space="preserve">EAC §8.1(h) asks how much energy central services supply to the building's units. The equivalent here is the share of household energy used in shared facilities: </w:t>
      </w:r>
      <w:r>
        <w:rPr>
          <w:b/>
          <w:bCs/>
        </w:rPr>
        <w:t xml:space="preserve">52.8%</w:t>
      </w:r>
      <w:r>
        <w:rPr>
          <w:b w:val="false"/>
          <w:bCs w:val="false"/>
        </w:rPr>
        <w:t xml:space="preserve">, or 1,367 kWh/yr. It splits into the washroom (783 kWh), the kitchen (491 kWh) and the laundry (94 kWh).</w:t>
      </w:r>
    </w:p>
    <w:p>
      <w:pPr>
        <w:spacing w:after="120" w:before="0" w:line="276"/>
        <w:jc w:val="both"/>
      </w:pPr>
      <w:r>
        <w:rPr>
          <w:b w:val="false"/>
          <w:bCs w:val="false"/>
        </w:rPr>
        <w:t xml:space="preserve">This is the most important structural finding of the audit. A resident who changed only in-room habits could reach less than half of the household's footprint. EAC §7.4.3 allows EMOs that depend on other responsible persons to be recorded and conveyed to them for follow-up [1]. Here the roles are reversed: the audited unit is the room, and the person responsible for the shared services is the hall management. Many EMOs therefore have to be conveyed to the hall management.</w:t>
      </w:r>
    </w:p>
    <w:p>
      <w:pPr>
        <w:pStyle w:val="Heading1"/>
        <w:pageBreakBefore/>
      </w:pPr>
      <w:r>
        <w:rPr>
          <w:b w:val="false"/>
          <w:bCs w:val="false"/>
        </w:rPr>
        <w:t xml:space="preserve">7  Greenhouse-gas inventory</w:t>
      </w:r>
    </w:p>
    <w:p>
      <w:pPr>
        <w:pStyle w:val="Heading2"/>
      </w:pPr>
      <w:r>
        <w:rPr>
          <w:b w:val="false"/>
          <w:bCs w:val="false"/>
        </w:rPr>
        <w:t xml:space="preserve">7.1  Emission factors</w:t>
      </w:r>
    </w:p>
    <w:p>
      <w:pPr>
        <w:keepNext/>
        <w:spacing w:after="80" w:before="160"/>
      </w:pPr>
      <w:r>
        <w:rPr>
          <w:b/>
          <w:bCs/>
          <w:color w:val="1F3864"/>
          <w:sz w:val="18"/>
          <w:szCs w:val="18"/>
        </w:rPr>
        <w:t xml:space="preserve">Table 7.1: Emission factors used (Hong Kong-specific where available)</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100"/>
        <w:gridCol w:w="4612"/>
      </w:tblGrid>
      <w:tr>
        <w:trPr>
          <w:tblHeader/>
        </w:trPr>
        <w:tc>
          <w:tcPr>
            <w:tcW w:type="dxa" w:w="27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Activity</w:t>
            </w:r>
          </w:p>
        </w:tc>
        <w:tc>
          <w:tcPr>
            <w:tcW w:type="dxa" w:w="21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Factor</w:t>
            </w:r>
          </w:p>
        </w:tc>
        <w:tc>
          <w:tcPr>
            <w:tcW w:type="dxa" w:w="46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Basis and source</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Electricity - CLP Power (headline)</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0.34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e/kWh</w:t>
            </w:r>
          </w:p>
        </w:tc>
        <w:tc>
          <w:tcPr>
            <w:tcW w:type="dxa" w:w="4612"/>
            <w:tcMar>
              <w:top w:type="dxa" w:w="50"/>
              <w:left w:type="dxa" w:w="90"/>
              <w:bottom w:type="dxa" w:w="50"/>
              <w:right w:type="dxa" w:w="90"/>
            </w:tcMar>
            <w:vAlign w:val="center"/>
          </w:tcPr>
          <w:p>
            <w:pPr>
              <w:spacing w:after="0" w:line="240"/>
              <w:jc w:val="left"/>
            </w:pPr>
            <w:r>
              <w:rPr>
                <w:b w:val="false"/>
                <w:bCs w:val="false"/>
                <w:sz w:val="16"/>
                <w:szCs w:val="16"/>
              </w:rPr>
              <w:t xml:space="preserve">CLP Power HK, electricity sold, 2025 (0.38 in 2024; 0.39 in 2023) [5]</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Electricity - territory-wide default</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0.70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e/kWh</w:t>
            </w:r>
          </w:p>
        </w:tc>
        <w:tc>
          <w:tcPr>
            <w:tcW w:type="dxa" w:w="4612"/>
            <w:tcMar>
              <w:top w:type="dxa" w:w="50"/>
              <w:left w:type="dxa" w:w="90"/>
              <w:bottom w:type="dxa" w:w="50"/>
              <w:right w:type="dxa" w:w="90"/>
            </w:tcMar>
            <w:vAlign w:val="center"/>
          </w:tcPr>
          <w:p>
            <w:pPr>
              <w:spacing w:after="0" w:line="240"/>
              <w:jc w:val="left"/>
            </w:pPr>
            <w:r>
              <w:rPr>
                <w:b w:val="false"/>
                <w:bCs w:val="false"/>
                <w:sz w:val="16"/>
                <w:szCs w:val="16"/>
              </w:rPr>
              <w:t xml:space="preserve">Guideline Table 5; must also be reported [2]</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Fresh water (WSD)</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0.437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e/m³</w:t>
            </w:r>
          </w:p>
        </w:tc>
        <w:tc>
          <w:tcPr>
            <w:tcW w:type="dxa" w:w="4612"/>
            <w:tcMar>
              <w:top w:type="dxa" w:w="50"/>
              <w:left w:type="dxa" w:w="90"/>
              <w:bottom w:type="dxa" w:w="50"/>
              <w:right w:type="dxa" w:w="90"/>
            </w:tcMar>
            <w:vAlign w:val="center"/>
          </w:tcPr>
          <w:p>
            <w:pPr>
              <w:spacing w:after="0" w:line="240"/>
              <w:jc w:val="left"/>
            </w:pPr>
            <w:r>
              <w:rPr>
                <w:b w:val="false"/>
                <w:bCs w:val="false"/>
                <w:sz w:val="16"/>
                <w:szCs w:val="16"/>
              </w:rPr>
              <w:t xml:space="preserve">0.624 kWh/m³ (WSD 2023/24) × 0.7 - Guideline Table 8 method [11]</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Sewage (DSD)</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0.203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e/m³</w:t>
            </w:r>
          </w:p>
        </w:tc>
        <w:tc>
          <w:tcPr>
            <w:tcW w:type="dxa" w:w="4612"/>
            <w:tcMar>
              <w:top w:type="dxa" w:w="50"/>
              <w:left w:type="dxa" w:w="90"/>
              <w:bottom w:type="dxa" w:w="50"/>
              <w:right w:type="dxa" w:w="90"/>
            </w:tcMar>
            <w:vAlign w:val="center"/>
          </w:tcPr>
          <w:p>
            <w:pPr>
              <w:spacing w:after="0" w:line="240"/>
              <w:jc w:val="left"/>
            </w:pPr>
            <w:r>
              <w:rPr>
                <w:b w:val="false"/>
                <w:bCs w:val="false"/>
                <w:sz w:val="16"/>
                <w:szCs w:val="16"/>
              </w:rPr>
              <w:t xml:space="preserve">0.29 kWh/m³ (DSD 2021/22) × 0.7 - Guideline Table 9 method [12]</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Seawater for flushing (WSD)</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0.253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e/m³</w:t>
            </w:r>
          </w:p>
        </w:tc>
        <w:tc>
          <w:tcPr>
            <w:tcW w:type="dxa" w:w="4612"/>
            <w:tcMar>
              <w:top w:type="dxa" w:w="50"/>
              <w:left w:type="dxa" w:w="90"/>
              <w:bottom w:type="dxa" w:w="50"/>
              <w:right w:type="dxa" w:w="90"/>
            </w:tcMar>
            <w:vAlign w:val="center"/>
          </w:tcPr>
          <w:p>
            <w:pPr>
              <w:spacing w:after="0" w:line="240"/>
              <w:jc w:val="left"/>
            </w:pPr>
            <w:r>
              <w:rPr>
                <w:b w:val="false"/>
                <w:bCs w:val="false"/>
                <w:sz w:val="16"/>
                <w:szCs w:val="16"/>
              </w:rPr>
              <w:t xml:space="preserve">0.362 kWh/m³ × 0.7 (optional item) [11]</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Paper to landfill</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4.8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e/kg</w:t>
            </w:r>
          </w:p>
        </w:tc>
        <w:tc>
          <w:tcPr>
            <w:tcW w:type="dxa" w:w="4612"/>
            <w:tcMar>
              <w:top w:type="dxa" w:w="50"/>
              <w:left w:type="dxa" w:w="90"/>
              <w:bottom w:type="dxa" w:w="50"/>
              <w:right w:type="dxa" w:w="90"/>
            </w:tcMar>
            <w:vAlign w:val="center"/>
          </w:tcPr>
          <w:p>
            <w:pPr>
              <w:spacing w:after="0" w:line="240"/>
              <w:jc w:val="left"/>
            </w:pPr>
            <w:r>
              <w:rPr>
                <w:b w:val="false"/>
                <w:bCs w:val="false"/>
                <w:sz w:val="16"/>
                <w:szCs w:val="16"/>
              </w:rPr>
              <w:t xml:space="preserve">Guideline Table 7 [2]</w:t>
            </w:r>
          </w:p>
        </w:tc>
      </w:tr>
      <w:tr>
        <w:trPr>
          <w:cantSplit/>
        </w:trPr>
        <w:tc>
          <w:tcPr>
            <w:tcW w:type="dxa" w:w="2700"/>
            <w:tcMar>
              <w:top w:type="dxa" w:w="50"/>
              <w:left w:type="dxa" w:w="90"/>
              <w:bottom w:type="dxa" w:w="50"/>
              <w:right w:type="dxa" w:w="90"/>
            </w:tcMar>
            <w:vAlign w:val="center"/>
          </w:tcPr>
          <w:p>
            <w:pPr>
              <w:spacing w:after="0" w:line="240"/>
              <w:jc w:val="left"/>
            </w:pPr>
            <w:r>
              <w:rPr>
                <w:b w:val="false"/>
                <w:bCs w:val="false"/>
                <w:sz w:val="16"/>
                <w:szCs w:val="16"/>
              </w:rPr>
              <w:t xml:space="preserve">Refrigerants (GWP)</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HFC-32: 650; R-410A: 1,725</w:t>
            </w:r>
          </w:p>
        </w:tc>
        <w:tc>
          <w:tcPr>
            <w:tcW w:type="dxa" w:w="4612"/>
            <w:tcMar>
              <w:top w:type="dxa" w:w="50"/>
              <w:left w:type="dxa" w:w="90"/>
              <w:bottom w:type="dxa" w:w="50"/>
              <w:right w:type="dxa" w:w="90"/>
            </w:tcMar>
            <w:vAlign w:val="center"/>
          </w:tcPr>
          <w:p>
            <w:pPr>
              <w:spacing w:after="0" w:line="240"/>
              <w:jc w:val="left"/>
            </w:pPr>
            <w:r>
              <w:rPr>
                <w:b w:val="false"/>
                <w:bCs w:val="false"/>
                <w:sz w:val="16"/>
                <w:szCs w:val="16"/>
              </w:rPr>
              <w:t xml:space="preserve">Guideline Table 3-1 [2]</w:t>
            </w:r>
          </w:p>
        </w:tc>
      </w:tr>
    </w:tbl>
    <w:p>
      <w:pPr>
        <w:spacing w:after="120" w:before="0" w:line="276"/>
        <w:jc w:val="both"/>
      </w:pPr>
      <w:r>
        <w:rPr>
          <w:b w:val="false"/>
          <w:bCs w:val="false"/>
        </w:rPr>
        <w:t xml:space="preserve">The Guidelines date from 2010, and their tabulated factors (e.g. CLP 0.54 kg/kWh in 2008, water 0.424 kg/m³) are out of date. As the Guidelines themselves instruct, the latest published factors have been used with the Guidelines' methods [2]. CLP's factor has fallen from 0.39 (2023) to 0.34 kg </w:t>
      </w:r>
      <w:r>
        <w:rPr>
          <w:b w:val="false"/>
          <w:bCs w:val="false"/>
        </w:rPr>
        <w:t xml:space="preserve">CO</w:t>
      </w:r>
      <w:r>
        <w:rPr>
          <w:b w:val="false"/>
          <w:bCs w:val="false"/>
          <w:vertAlign w:val="subscript"/>
        </w:rPr>
        <w:t xml:space="preserve">2</w:t>
      </w:r>
      <w:r>
        <w:rPr>
          <w:b w:val="false"/>
          <w:bCs w:val="false"/>
        </w:rPr>
        <w:t xml:space="preserve">e/kWh (2025) as its fuel mix has shifted towards natural gas and non-carbon sources [5].</w:t>
      </w:r>
    </w:p>
    <w:p>
      <w:pPr>
        <w:pStyle w:val="Heading2"/>
      </w:pPr>
      <w:r>
        <w:rPr>
          <w:b w:val="false"/>
          <w:bCs w:val="false"/>
        </w:rPr>
        <w:t xml:space="preserve">7.2  Scope 1 - direct emissions</w:t>
      </w:r>
    </w:p>
    <w:p>
      <w:pPr>
        <w:spacing w:after="120" w:before="0" w:line="276"/>
        <w:jc w:val="both"/>
      </w:pPr>
      <w:r>
        <w:rPr>
          <w:b/>
          <w:bCs/>
        </w:rPr>
        <w:t xml:space="preserve">Combustion (Guideline Table 1):</w:t>
      </w:r>
      <w:r>
        <w:rPr>
          <w:b w:val="false"/>
          <w:bCs w:val="false"/>
        </w:rPr>
        <w:t xml:space="preserve"> nil. There is no Towngas, LPG or other fuel, because cooking (induction) and water heating (electric) are all-electric.</w:t>
      </w:r>
    </w:p>
    <w:p>
      <w:pPr>
        <w:spacing w:after="120" w:before="0" w:line="276"/>
        <w:jc w:val="both"/>
      </w:pPr>
      <w:r>
        <w:rPr>
          <w:b/>
          <w:bCs/>
        </w:rPr>
        <w:t xml:space="preserve">Refrigerant (Guideline Table 3):</w:t>
      </w:r>
      <w:r>
        <w:rPr>
          <w:b w:val="false"/>
          <w:bCs w:val="false"/>
        </w:rPr>
        <w:t xml:space="preserve"> the mass-balance method uses the change in refrigerant stock (purchases, disposals, inventory). The occupants hold no refrigerant, so this method gives zero. That would understate reality, so a screening estimate (IPCC operating leak rate of 4% of charge per year [21]) is added to Scope 1. The charges are assumed, because neither was on the photographed labels (Table 7.2).</w:t>
      </w:r>
    </w:p>
    <w:p>
      <w:pPr>
        <w:keepNext/>
        <w:spacing w:after="80" w:before="160"/>
      </w:pPr>
      <w:r>
        <w:rPr>
          <w:b/>
          <w:bCs/>
          <w:color w:val="1F3864"/>
          <w:sz w:val="18"/>
          <w:szCs w:val="18"/>
        </w:rPr>
        <w:t xml:space="preserve">Table 7.2: Scope 1 screening estimate of fugitive refrigerant</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1912"/>
        <w:gridCol w:w="1300"/>
        <w:gridCol w:w="1200"/>
        <w:gridCol w:w="1100"/>
        <w:gridCol w:w="1000"/>
        <w:gridCol w:w="1400"/>
        <w:gridCol w:w="1500"/>
      </w:tblGrid>
      <w:tr>
        <w:trPr>
          <w:tblHeader/>
        </w:trPr>
        <w:tc>
          <w:tcPr>
            <w:tcW w:type="dxa" w:w="19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Equipment</w:t>
            </w:r>
          </w:p>
        </w:tc>
        <w:tc>
          <w:tcPr>
            <w:tcW w:type="dxa" w:w="13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Refrigerant</w:t>
            </w:r>
          </w:p>
        </w:tc>
        <w:tc>
          <w:tcPr>
            <w:tcW w:type="dxa" w:w="12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Charge (kg)</w:t>
            </w:r>
          </w:p>
        </w:tc>
        <w:tc>
          <w:tcPr>
            <w:tcW w:type="dxa" w:w="11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Leak rate</w:t>
            </w:r>
          </w:p>
        </w:tc>
        <w:tc>
          <w:tcPr>
            <w:tcW w:type="dxa" w:w="10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GWP</w:t>
            </w:r>
          </w:p>
        </w:tc>
        <w:tc>
          <w:tcPr>
            <w:tcW w:type="dxa" w:w="14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Household share</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e/yr</w:t>
            </w:r>
          </w:p>
        </w:tc>
      </w:tr>
      <w:tr>
        <w:trPr>
          <w:cantSplit/>
        </w:trPr>
        <w:tc>
          <w:tcPr>
            <w:tcW w:type="dxa" w:w="1912"/>
            <w:tcMar>
              <w:top w:type="dxa" w:w="50"/>
              <w:left w:type="dxa" w:w="90"/>
              <w:bottom w:type="dxa" w:w="50"/>
              <w:right w:type="dxa" w:w="90"/>
            </w:tcMar>
            <w:vAlign w:val="center"/>
          </w:tcPr>
          <w:p>
            <w:pPr>
              <w:spacing w:after="0" w:line="240"/>
              <w:jc w:val="left"/>
            </w:pPr>
            <w:r>
              <w:rPr>
                <w:b w:val="false"/>
                <w:bCs w:val="false"/>
                <w:sz w:val="16"/>
                <w:szCs w:val="16"/>
              </w:rPr>
              <w:t xml:space="preserve">Room window AC</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R32</w:t>
            </w:r>
          </w:p>
        </w:tc>
        <w:tc>
          <w:tcPr>
            <w:tcW w:type="dxa" w:w="1200"/>
            <w:tcMar>
              <w:top w:type="dxa" w:w="50"/>
              <w:left w:type="dxa" w:w="90"/>
              <w:bottom w:type="dxa" w:w="50"/>
              <w:right w:type="dxa" w:w="90"/>
            </w:tcMar>
            <w:vAlign w:val="center"/>
          </w:tcPr>
          <w:p>
            <w:pPr>
              <w:spacing w:after="0" w:line="240"/>
              <w:jc w:val="right"/>
            </w:pPr>
            <w:r>
              <w:rPr>
                <w:b w:val="false"/>
                <w:bCs w:val="false"/>
                <w:sz w:val="16"/>
                <w:szCs w:val="16"/>
              </w:rPr>
              <w:t xml:space="preserve">0.40</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4%</w:t>
            </w:r>
          </w:p>
        </w:tc>
        <w:tc>
          <w:tcPr>
            <w:tcW w:type="dxa" w:w="1000"/>
            <w:tcMar>
              <w:top w:type="dxa" w:w="50"/>
              <w:left w:type="dxa" w:w="90"/>
              <w:bottom w:type="dxa" w:w="50"/>
              <w:right w:type="dxa" w:w="90"/>
            </w:tcMar>
            <w:vAlign w:val="center"/>
          </w:tcPr>
          <w:p>
            <w:pPr>
              <w:spacing w:after="0" w:line="240"/>
              <w:jc w:val="right"/>
            </w:pPr>
            <w:r>
              <w:rPr>
                <w:b w:val="false"/>
                <w:bCs w:val="false"/>
                <w:sz w:val="16"/>
                <w:szCs w:val="16"/>
              </w:rPr>
              <w:t xml:space="preserve">650</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1</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10.4</w:t>
            </w:r>
          </w:p>
        </w:tc>
      </w:tr>
      <w:tr>
        <w:trPr>
          <w:cantSplit/>
        </w:trPr>
        <w:tc>
          <w:tcPr>
            <w:tcW w:type="dxa" w:w="1912"/>
            <w:tcMar>
              <w:top w:type="dxa" w:w="50"/>
              <w:left w:type="dxa" w:w="90"/>
              <w:bottom w:type="dxa" w:w="50"/>
              <w:right w:type="dxa" w:w="90"/>
            </w:tcMar>
            <w:vAlign w:val="center"/>
          </w:tcPr>
          <w:p>
            <w:pPr>
              <w:spacing w:after="0" w:line="240"/>
              <w:jc w:val="left"/>
            </w:pPr>
            <w:r>
              <w:rPr>
                <w:b w:val="false"/>
                <w:bCs w:val="false"/>
                <w:sz w:val="16"/>
                <w:szCs w:val="16"/>
              </w:rPr>
              <w:t xml:space="preserve">Kitchen split AC</w:t>
            </w:r>
          </w:p>
        </w:tc>
        <w:tc>
          <w:tcPr>
            <w:tcW w:type="dxa" w:w="1300"/>
            <w:tcMar>
              <w:top w:type="dxa" w:w="50"/>
              <w:left w:type="dxa" w:w="90"/>
              <w:bottom w:type="dxa" w:w="50"/>
              <w:right w:type="dxa" w:w="90"/>
            </w:tcMar>
            <w:vAlign w:val="center"/>
          </w:tcPr>
          <w:p>
            <w:pPr>
              <w:spacing w:after="0" w:line="240"/>
              <w:jc w:val="left"/>
            </w:pPr>
            <w:r>
              <w:rPr>
                <w:b w:val="false"/>
                <w:bCs w:val="false"/>
                <w:sz w:val="16"/>
                <w:szCs w:val="16"/>
              </w:rPr>
              <w:t xml:space="preserve">R-410A</w:t>
            </w:r>
          </w:p>
        </w:tc>
        <w:tc>
          <w:tcPr>
            <w:tcW w:type="dxa" w:w="1200"/>
            <w:tcMar>
              <w:top w:type="dxa" w:w="50"/>
              <w:left w:type="dxa" w:w="90"/>
              <w:bottom w:type="dxa" w:w="50"/>
              <w:right w:type="dxa" w:w="90"/>
            </w:tcMar>
            <w:vAlign w:val="center"/>
          </w:tcPr>
          <w:p>
            <w:pPr>
              <w:spacing w:after="0" w:line="240"/>
              <w:jc w:val="right"/>
            </w:pPr>
            <w:r>
              <w:rPr>
                <w:b w:val="false"/>
                <w:bCs w:val="false"/>
                <w:sz w:val="16"/>
                <w:szCs w:val="16"/>
              </w:rPr>
              <w:t xml:space="preserve">1.40</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4%</w:t>
            </w:r>
          </w:p>
        </w:tc>
        <w:tc>
          <w:tcPr>
            <w:tcW w:type="dxa" w:w="1000"/>
            <w:tcMar>
              <w:top w:type="dxa" w:w="50"/>
              <w:left w:type="dxa" w:w="90"/>
              <w:bottom w:type="dxa" w:w="50"/>
              <w:right w:type="dxa" w:w="90"/>
            </w:tcMar>
            <w:vAlign w:val="center"/>
          </w:tcPr>
          <w:p>
            <w:pPr>
              <w:spacing w:after="0" w:line="240"/>
              <w:jc w:val="right"/>
            </w:pPr>
            <w:r>
              <w:rPr>
                <w:b w:val="false"/>
                <w:bCs w:val="false"/>
                <w:sz w:val="16"/>
                <w:szCs w:val="16"/>
              </w:rPr>
              <w:t xml:space="preserve">1,725</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2/32</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6.0</w:t>
            </w:r>
          </w:p>
        </w:tc>
      </w:tr>
      <w:tr>
        <w:trPr>
          <w:cantSplit/>
        </w:trPr>
        <w:tc>
          <w:tcPr>
            <w:tcW w:type="dxa" w:w="1912"/>
            <w:shd w:fill="F2F2F2" w:color="auto" w:val="clear"/>
            <w:tcMar>
              <w:top w:type="dxa" w:w="50"/>
              <w:left w:type="dxa" w:w="90"/>
              <w:bottom w:type="dxa" w:w="50"/>
              <w:right w:type="dxa" w:w="90"/>
            </w:tcMar>
            <w:vAlign w:val="center"/>
          </w:tcPr>
          <w:p>
            <w:pPr>
              <w:spacing w:after="0" w:line="240"/>
              <w:jc w:val="left"/>
            </w:pPr>
            <w:r>
              <w:rPr>
                <w:b/>
                <w:bCs/>
                <w:sz w:val="16"/>
                <w:szCs w:val="16"/>
              </w:rPr>
              <w:t xml:space="preserve">Scope 1 total</w:t>
            </w:r>
          </w:p>
        </w:tc>
        <w:tc>
          <w:tcPr>
            <w:tcW w:type="dxa" w:w="1300"/>
            <w:shd w:fill="F2F2F2" w:color="auto" w:val="clear"/>
            <w:tcMar>
              <w:top w:type="dxa" w:w="50"/>
              <w:left w:type="dxa" w:w="90"/>
              <w:bottom w:type="dxa" w:w="50"/>
              <w:right w:type="dxa" w:w="90"/>
            </w:tcMar>
            <w:vAlign w:val="center"/>
          </w:tcPr>
          <w:p>
            <w:pPr>
              <w:spacing w:after="0" w:line="240"/>
              <w:jc w:val="left"/>
            </w:pPr>
          </w:p>
        </w:tc>
        <w:tc>
          <w:tcPr>
            <w:tcW w:type="dxa" w:w="1200"/>
            <w:shd w:fill="F2F2F2" w:color="auto" w:val="clear"/>
            <w:tcMar>
              <w:top w:type="dxa" w:w="50"/>
              <w:left w:type="dxa" w:w="90"/>
              <w:bottom w:type="dxa" w:w="50"/>
              <w:right w:type="dxa" w:w="90"/>
            </w:tcMar>
            <w:vAlign w:val="center"/>
          </w:tcPr>
          <w:p>
            <w:pPr>
              <w:spacing w:after="0" w:line="240"/>
              <w:jc w:val="right"/>
            </w:pPr>
          </w:p>
        </w:tc>
        <w:tc>
          <w:tcPr>
            <w:tcW w:type="dxa" w:w="1100"/>
            <w:shd w:fill="F2F2F2" w:color="auto" w:val="clear"/>
            <w:tcMar>
              <w:top w:type="dxa" w:w="50"/>
              <w:left w:type="dxa" w:w="90"/>
              <w:bottom w:type="dxa" w:w="50"/>
              <w:right w:type="dxa" w:w="90"/>
            </w:tcMar>
            <w:vAlign w:val="center"/>
          </w:tcPr>
          <w:p>
            <w:pPr>
              <w:spacing w:after="0" w:line="240"/>
              <w:jc w:val="right"/>
            </w:pPr>
          </w:p>
        </w:tc>
        <w:tc>
          <w:tcPr>
            <w:tcW w:type="dxa" w:w="1000"/>
            <w:shd w:fill="F2F2F2" w:color="auto" w:val="clear"/>
            <w:tcMar>
              <w:top w:type="dxa" w:w="50"/>
              <w:left w:type="dxa" w:w="90"/>
              <w:bottom w:type="dxa" w:w="50"/>
              <w:right w:type="dxa" w:w="90"/>
            </w:tcMar>
            <w:vAlign w:val="center"/>
          </w:tcPr>
          <w:p>
            <w:pPr>
              <w:spacing w:after="0" w:line="240"/>
              <w:jc w:val="right"/>
            </w:pPr>
          </w:p>
        </w:tc>
        <w:tc>
          <w:tcPr>
            <w:tcW w:type="dxa" w:w="1400"/>
            <w:shd w:fill="F2F2F2" w:color="auto" w:val="clear"/>
            <w:tcMar>
              <w:top w:type="dxa" w:w="50"/>
              <w:left w:type="dxa" w:w="90"/>
              <w:bottom w:type="dxa" w:w="50"/>
              <w:right w:type="dxa" w:w="90"/>
            </w:tcMar>
            <w:vAlign w:val="center"/>
          </w:tcPr>
          <w:p>
            <w:pPr>
              <w:spacing w:after="0" w:line="240"/>
              <w:jc w:val="right"/>
            </w:pPr>
          </w:p>
        </w:tc>
        <w:tc>
          <w:tcPr>
            <w:tcW w:type="dxa" w:w="15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16.4</w:t>
            </w:r>
          </w:p>
        </w:tc>
      </w:tr>
    </w:tbl>
    <w:p>
      <w:pPr>
        <w:pStyle w:val="Heading2"/>
      </w:pPr>
      <w:r>
        <w:rPr>
          <w:b w:val="false"/>
          <w:bCs w:val="false"/>
        </w:rPr>
        <w:t xml:space="preserve">7.3  Scope 2 - purchased electricity</w:t>
      </w:r>
    </w:p>
    <w:p>
      <w:pPr>
        <w:keepNext/>
        <w:spacing w:after="80" w:before="160"/>
      </w:pPr>
      <w:r>
        <w:rPr>
          <w:b/>
          <w:bCs/>
          <w:color w:val="1F3864"/>
          <w:sz w:val="18"/>
          <w:szCs w:val="18"/>
        </w:rPr>
        <w:t xml:space="preserve">Table 7.3: Scope 2 by facility (Guideline Table 5 format)</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4212"/>
        <w:gridCol w:w="1500"/>
        <w:gridCol w:w="1850"/>
        <w:gridCol w:w="1850"/>
      </w:tblGrid>
      <w:tr>
        <w:trPr>
          <w:tblHeader/>
        </w:trPr>
        <w:tc>
          <w:tcPr>
            <w:tcW w:type="dxa" w:w="42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Facility / source</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kWh/yr</w:t>
            </w:r>
          </w:p>
        </w:tc>
        <w:tc>
          <w:tcPr>
            <w:tcW w:type="dxa" w:w="185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e/yr (CLP 0.34)</w:t>
            </w:r>
          </w:p>
        </w:tc>
        <w:tc>
          <w:tcPr>
            <w:tcW w:type="dxa" w:w="185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e/yr (default 0.7)</w:t>
            </w:r>
          </w:p>
        </w:tc>
      </w:tr>
      <w:tr>
        <w:trPr>
          <w:cantSplit/>
        </w:trPr>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Room 1003B (incl. Octopus-metered AC)</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1,219.6</w:t>
            </w:r>
          </w:p>
        </w:tc>
        <w:tc>
          <w:tcPr>
            <w:tcW w:type="dxa" w:w="1850"/>
            <w:tcMar>
              <w:top w:type="dxa" w:w="50"/>
              <w:left w:type="dxa" w:w="90"/>
              <w:bottom w:type="dxa" w:w="50"/>
              <w:right w:type="dxa" w:w="90"/>
            </w:tcMar>
            <w:vAlign w:val="center"/>
          </w:tcPr>
          <w:p>
            <w:pPr>
              <w:spacing w:after="0" w:line="240"/>
              <w:jc w:val="right"/>
            </w:pPr>
            <w:r>
              <w:rPr>
                <w:b w:val="false"/>
                <w:bCs w:val="false"/>
                <w:sz w:val="16"/>
                <w:szCs w:val="16"/>
              </w:rPr>
              <w:t xml:space="preserve">414.7</w:t>
            </w:r>
          </w:p>
        </w:tc>
        <w:tc>
          <w:tcPr>
            <w:tcW w:type="dxa" w:w="1850"/>
            <w:tcMar>
              <w:top w:type="dxa" w:w="50"/>
              <w:left w:type="dxa" w:w="90"/>
              <w:bottom w:type="dxa" w:w="50"/>
              <w:right w:type="dxa" w:w="90"/>
            </w:tcMar>
            <w:vAlign w:val="center"/>
          </w:tcPr>
          <w:p>
            <w:pPr>
              <w:spacing w:after="0" w:line="240"/>
              <w:jc w:val="right"/>
            </w:pPr>
            <w:r>
              <w:rPr>
                <w:b w:val="false"/>
                <w:bCs w:val="false"/>
                <w:sz w:val="16"/>
                <w:szCs w:val="16"/>
              </w:rPr>
              <w:t xml:space="preserve">853.7</w:t>
            </w:r>
          </w:p>
        </w:tc>
      </w:tr>
      <w:tr>
        <w:trPr>
          <w:cantSplit/>
        </w:trPr>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Shared washroom (own showers + 2/4 of fan &amp; lights)</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782.5</w:t>
            </w:r>
          </w:p>
        </w:tc>
        <w:tc>
          <w:tcPr>
            <w:tcW w:type="dxa" w:w="1850"/>
            <w:tcMar>
              <w:top w:type="dxa" w:w="50"/>
              <w:left w:type="dxa" w:w="90"/>
              <w:bottom w:type="dxa" w:w="50"/>
              <w:right w:type="dxa" w:w="90"/>
            </w:tcMar>
            <w:vAlign w:val="center"/>
          </w:tcPr>
          <w:p>
            <w:pPr>
              <w:spacing w:after="0" w:line="240"/>
              <w:jc w:val="right"/>
            </w:pPr>
            <w:r>
              <w:rPr>
                <w:b w:val="false"/>
                <w:bCs w:val="false"/>
                <w:sz w:val="16"/>
                <w:szCs w:val="16"/>
              </w:rPr>
              <w:t xml:space="preserve">266.1</w:t>
            </w:r>
          </w:p>
        </w:tc>
        <w:tc>
          <w:tcPr>
            <w:tcW w:type="dxa" w:w="1850"/>
            <w:tcMar>
              <w:top w:type="dxa" w:w="50"/>
              <w:left w:type="dxa" w:w="90"/>
              <w:bottom w:type="dxa" w:w="50"/>
              <w:right w:type="dxa" w:w="90"/>
            </w:tcMar>
            <w:vAlign w:val="center"/>
          </w:tcPr>
          <w:p>
            <w:pPr>
              <w:spacing w:after="0" w:line="240"/>
              <w:jc w:val="right"/>
            </w:pPr>
            <w:r>
              <w:rPr>
                <w:b w:val="false"/>
                <w:bCs w:val="false"/>
                <w:sz w:val="16"/>
                <w:szCs w:val="16"/>
              </w:rPr>
              <w:t xml:space="preserve">547.8</w:t>
            </w:r>
          </w:p>
        </w:tc>
      </w:tr>
      <w:tr>
        <w:trPr>
          <w:cantSplit/>
        </w:trPr>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Shared kitchen (own cooking + 2/32 of fixed loads)</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490.6</w:t>
            </w:r>
          </w:p>
        </w:tc>
        <w:tc>
          <w:tcPr>
            <w:tcW w:type="dxa" w:w="1850"/>
            <w:tcMar>
              <w:top w:type="dxa" w:w="50"/>
              <w:left w:type="dxa" w:w="90"/>
              <w:bottom w:type="dxa" w:w="50"/>
              <w:right w:type="dxa" w:w="90"/>
            </w:tcMar>
            <w:vAlign w:val="center"/>
          </w:tcPr>
          <w:p>
            <w:pPr>
              <w:spacing w:after="0" w:line="240"/>
              <w:jc w:val="right"/>
            </w:pPr>
            <w:r>
              <w:rPr>
                <w:b w:val="false"/>
                <w:bCs w:val="false"/>
                <w:sz w:val="16"/>
                <w:szCs w:val="16"/>
              </w:rPr>
              <w:t xml:space="preserve">166.8</w:t>
            </w:r>
          </w:p>
        </w:tc>
        <w:tc>
          <w:tcPr>
            <w:tcW w:type="dxa" w:w="1850"/>
            <w:tcMar>
              <w:top w:type="dxa" w:w="50"/>
              <w:left w:type="dxa" w:w="90"/>
              <w:bottom w:type="dxa" w:w="50"/>
              <w:right w:type="dxa" w:w="90"/>
            </w:tcMar>
            <w:vAlign w:val="center"/>
          </w:tcPr>
          <w:p>
            <w:pPr>
              <w:spacing w:after="0" w:line="240"/>
              <w:jc w:val="right"/>
            </w:pPr>
            <w:r>
              <w:rPr>
                <w:b w:val="false"/>
                <w:bCs w:val="false"/>
                <w:sz w:val="16"/>
                <w:szCs w:val="16"/>
              </w:rPr>
              <w:t xml:space="preserve">343.4</w:t>
            </w:r>
          </w:p>
        </w:tc>
      </w:tr>
      <w:tr>
        <w:trPr>
          <w:cantSplit/>
        </w:trPr>
        <w:tc>
          <w:tcPr>
            <w:tcW w:type="dxa" w:w="4212"/>
            <w:tcMar>
              <w:top w:type="dxa" w:w="50"/>
              <w:left w:type="dxa" w:w="90"/>
              <w:bottom w:type="dxa" w:w="50"/>
              <w:right w:type="dxa" w:w="90"/>
            </w:tcMar>
            <w:vAlign w:val="center"/>
          </w:tcPr>
          <w:p>
            <w:pPr>
              <w:spacing w:after="0" w:line="240"/>
              <w:jc w:val="left"/>
            </w:pPr>
            <w:r>
              <w:rPr>
                <w:b w:val="false"/>
                <w:bCs w:val="false"/>
                <w:sz w:val="16"/>
                <w:szCs w:val="16"/>
              </w:rPr>
              <w:t xml:space="preserve">Hall laundry (own use)</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93.6</w:t>
            </w:r>
          </w:p>
        </w:tc>
        <w:tc>
          <w:tcPr>
            <w:tcW w:type="dxa" w:w="1850"/>
            <w:tcMar>
              <w:top w:type="dxa" w:w="50"/>
              <w:left w:type="dxa" w:w="90"/>
              <w:bottom w:type="dxa" w:w="50"/>
              <w:right w:type="dxa" w:w="90"/>
            </w:tcMar>
            <w:vAlign w:val="center"/>
          </w:tcPr>
          <w:p>
            <w:pPr>
              <w:spacing w:after="0" w:line="240"/>
              <w:jc w:val="right"/>
            </w:pPr>
            <w:r>
              <w:rPr>
                <w:b w:val="false"/>
                <w:bCs w:val="false"/>
                <w:sz w:val="16"/>
                <w:szCs w:val="16"/>
              </w:rPr>
              <w:t xml:space="preserve">31.8</w:t>
            </w:r>
          </w:p>
        </w:tc>
        <w:tc>
          <w:tcPr>
            <w:tcW w:type="dxa" w:w="1850"/>
            <w:tcMar>
              <w:top w:type="dxa" w:w="50"/>
              <w:left w:type="dxa" w:w="90"/>
              <w:bottom w:type="dxa" w:w="50"/>
              <w:right w:type="dxa" w:w="90"/>
            </w:tcMar>
            <w:vAlign w:val="center"/>
          </w:tcPr>
          <w:p>
            <w:pPr>
              <w:spacing w:after="0" w:line="240"/>
              <w:jc w:val="right"/>
            </w:pPr>
            <w:r>
              <w:rPr>
                <w:b w:val="false"/>
                <w:bCs w:val="false"/>
                <w:sz w:val="16"/>
                <w:szCs w:val="16"/>
              </w:rPr>
              <w:t xml:space="preserve">65.5</w:t>
            </w:r>
          </w:p>
        </w:tc>
      </w:tr>
      <w:tr>
        <w:trPr>
          <w:cantSplit/>
        </w:trPr>
        <w:tc>
          <w:tcPr>
            <w:tcW w:type="dxa" w:w="4212"/>
            <w:shd w:fill="F2F2F2" w:color="auto" w:val="clear"/>
            <w:tcMar>
              <w:top w:type="dxa" w:w="50"/>
              <w:left w:type="dxa" w:w="90"/>
              <w:bottom w:type="dxa" w:w="50"/>
              <w:right w:type="dxa" w:w="90"/>
            </w:tcMar>
            <w:vAlign w:val="center"/>
          </w:tcPr>
          <w:p>
            <w:pPr>
              <w:spacing w:after="0" w:line="240"/>
              <w:jc w:val="left"/>
            </w:pPr>
            <w:r>
              <w:rPr>
                <w:b/>
                <w:bCs/>
                <w:sz w:val="16"/>
                <w:szCs w:val="16"/>
              </w:rPr>
              <w:t xml:space="preserve">Scope 2 total</w:t>
            </w:r>
          </w:p>
        </w:tc>
        <w:tc>
          <w:tcPr>
            <w:tcW w:type="dxa" w:w="1500"/>
            <w:shd w:fill="F2F2F2" w:color="auto" w:val="clear"/>
            <w:tcMar>
              <w:top w:type="dxa" w:w="50"/>
              <w:left w:type="dxa" w:w="90"/>
              <w:bottom w:type="dxa" w:w="50"/>
              <w:right w:type="dxa" w:w="90"/>
            </w:tcMar>
            <w:vAlign w:val="center"/>
          </w:tcPr>
          <w:p>
            <w:pPr>
              <w:spacing w:after="0" w:line="240"/>
              <w:jc w:val="right"/>
            </w:pPr>
            <w:r>
              <w:rPr>
                <w:b/>
                <w:bCs/>
                <w:sz w:val="16"/>
                <w:szCs w:val="16"/>
              </w:rPr>
              <w:t xml:space="preserve">2,586.4</w:t>
            </w:r>
          </w:p>
        </w:tc>
        <w:tc>
          <w:tcPr>
            <w:tcW w:type="dxa" w:w="1850"/>
            <w:shd w:fill="F2F2F2" w:color="auto" w:val="clear"/>
            <w:tcMar>
              <w:top w:type="dxa" w:w="50"/>
              <w:left w:type="dxa" w:w="90"/>
              <w:bottom w:type="dxa" w:w="50"/>
              <w:right w:type="dxa" w:w="90"/>
            </w:tcMar>
            <w:vAlign w:val="center"/>
          </w:tcPr>
          <w:p>
            <w:pPr>
              <w:spacing w:after="0" w:line="240"/>
              <w:jc w:val="right"/>
            </w:pPr>
            <w:r>
              <w:rPr>
                <w:b/>
                <w:bCs/>
                <w:sz w:val="16"/>
                <w:szCs w:val="16"/>
              </w:rPr>
              <w:t xml:space="preserve">879.4</w:t>
            </w:r>
          </w:p>
        </w:tc>
        <w:tc>
          <w:tcPr>
            <w:tcW w:type="dxa" w:w="1850"/>
            <w:shd w:fill="F2F2F2" w:color="auto" w:val="clear"/>
            <w:tcMar>
              <w:top w:type="dxa" w:w="50"/>
              <w:left w:type="dxa" w:w="90"/>
              <w:bottom w:type="dxa" w:w="50"/>
              <w:right w:type="dxa" w:w="90"/>
            </w:tcMar>
            <w:vAlign w:val="center"/>
          </w:tcPr>
          <w:p>
            <w:pPr>
              <w:spacing w:after="0" w:line="240"/>
              <w:jc w:val="right"/>
            </w:pPr>
            <w:r>
              <w:rPr>
                <w:b/>
                <w:bCs/>
                <w:sz w:val="16"/>
                <w:szCs w:val="16"/>
              </w:rPr>
              <w:t xml:space="preserve">1,810.5</w:t>
            </w:r>
          </w:p>
        </w:tc>
      </w:tr>
    </w:tbl>
    <w:p>
      <w:pPr>
        <w:keepNext/>
        <w:spacing w:after="40" w:before="120"/>
        <w:jc w:val="center"/>
      </w:pPr>
      <w:r>
        <w:drawing>
          <wp:inline distT="0" distB="0" distL="0" distR="0">
            <wp:extent cx="58102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2162175"/>
                    </a:xfrm>
                    <a:prstGeom prst="rect">
                      <a:avLst/>
                    </a:prstGeom>
                  </pic:spPr>
                </pic:pic>
              </a:graphicData>
            </a:graphic>
          </wp:inline>
        </w:drawing>
      </w:r>
    </w:p>
    <w:p>
      <w:pPr>
        <w:spacing w:after="200" w:before="60"/>
        <w:jc w:val="center"/>
      </w:pPr>
      <w:r>
        <w:rPr>
          <w:b w:val="false"/>
          <w:bCs w:val="false"/>
          <w:i/>
          <w:iCs/>
          <w:color w:val="52514E"/>
          <w:sz w:val="17"/>
          <w:szCs w:val="17"/>
        </w:rPr>
        <w:t xml:space="preserve">Figure 7.1: Scope 2 emissions by facility under the two required factors</w:t>
      </w:r>
    </w:p>
    <w:p>
      <w:pPr>
        <w:pStyle w:val="Heading2"/>
      </w:pPr>
      <w:r>
        <w:rPr>
          <w:b w:val="false"/>
          <w:bCs w:val="false"/>
        </w:rPr>
        <w:t xml:space="preserve">7.4  Scope 3 - water, sewage and paper</w:t>
      </w:r>
    </w:p>
    <w:p>
      <w:pPr>
        <w:spacing w:after="120" w:before="0" w:line="276"/>
        <w:jc w:val="both"/>
      </w:pPr>
      <w:r>
        <w:rPr>
          <w:b/>
          <w:bCs/>
        </w:rPr>
        <w:t xml:space="preserve">Fresh water</w:t>
      </w:r>
      <w:r>
        <w:rPr>
          <w:b w:val="false"/>
          <w:bCs w:val="false"/>
        </w:rPr>
        <w:t xml:space="preserve"> is estimated bottom-up at 70.6 L per person per day: showers 45 L, drinking water from the dispenser 2 L, basin, cooking and dish-washing about 15 L, and laundry about 8.6 L. The household total is 51.5 m³/yr; all of it is assumed to go to the public sewer.</w:t>
      </w:r>
    </w:p>
    <w:p>
      <w:pPr>
        <w:spacing w:after="120" w:before="0" w:line="276"/>
        <w:jc w:val="both"/>
      </w:pPr>
      <w:r>
        <w:rPr>
          <w:b/>
          <w:bCs/>
        </w:rPr>
        <w:t xml:space="preserve">Toilet flushing</w:t>
      </w:r>
      <w:r>
        <w:rPr>
          <w:b w:val="false"/>
          <w:bCs w:val="false"/>
        </w:rPr>
        <w:t xml:space="preserve"> uses seawater, which serves about 85% of Hong Kong's population [13]. It is reported separately at 21.9 m³/yr.</w:t>
      </w:r>
    </w:p>
    <w:p>
      <w:pPr>
        <w:spacing w:after="120" w:before="0" w:line="276"/>
        <w:jc w:val="both"/>
      </w:pPr>
      <w:r>
        <w:rPr>
          <w:b/>
          <w:bCs/>
        </w:rPr>
        <w:t xml:space="preserve">Paper:</w:t>
      </w:r>
      <w:r>
        <w:rPr>
          <w:b w:val="false"/>
          <w:bCs w:val="false"/>
        </w:rPr>
        <w:t xml:space="preserve"> the household uses about 2.0 kg a year. The auditor recycles, and half of the paper is assumed to be recycled. The remainder is counted to landfill at the Guideline factor.</w:t>
      </w:r>
    </w:p>
    <w:p>
      <w:pPr>
        <w:keepNext/>
        <w:spacing w:after="80" w:before="160"/>
      </w:pPr>
      <w:r>
        <w:rPr>
          <w:b/>
          <w:bCs/>
          <w:color w:val="1F3864"/>
          <w:sz w:val="18"/>
          <w:szCs w:val="18"/>
        </w:rPr>
        <w:t xml:space="preserve">Table 7.4: Scope 3 items (Guideline Tables 7-9 format)</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3612"/>
        <w:gridCol w:w="1300"/>
        <w:gridCol w:w="900"/>
        <w:gridCol w:w="2100"/>
        <w:gridCol w:w="1500"/>
      </w:tblGrid>
      <w:tr>
        <w:trPr>
          <w:tblHeader/>
        </w:trPr>
        <w:tc>
          <w:tcPr>
            <w:tcW w:type="dxa" w:w="36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Guideline item</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Quantity</w:t>
            </w:r>
          </w:p>
        </w:tc>
        <w:tc>
          <w:tcPr>
            <w:tcW w:type="dxa" w:w="9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Unit</w:t>
            </w:r>
          </w:p>
        </w:tc>
        <w:tc>
          <w:tcPr>
            <w:tcW w:type="dxa" w:w="21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Factor</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e/yr</w:t>
            </w:r>
          </w:p>
        </w:tc>
      </w:tr>
      <w:tr>
        <w:trPr>
          <w:cantSplit/>
        </w:trPr>
        <w:tc>
          <w:tcPr>
            <w:tcW w:type="dxa" w:w="3612"/>
            <w:tcMar>
              <w:top w:type="dxa" w:w="50"/>
              <w:left w:type="dxa" w:w="90"/>
              <w:bottom w:type="dxa" w:w="50"/>
              <w:right w:type="dxa" w:w="90"/>
            </w:tcMar>
            <w:vAlign w:val="center"/>
          </w:tcPr>
          <w:p>
            <w:pPr>
              <w:spacing w:after="0" w:line="240"/>
              <w:jc w:val="left"/>
            </w:pPr>
            <w:r>
              <w:rPr>
                <w:b w:val="false"/>
                <w:bCs w:val="false"/>
                <w:sz w:val="16"/>
                <w:szCs w:val="16"/>
              </w:rPr>
              <w:t xml:space="preserve">Table 7 - Paper waste to landfill</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1.00</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kg</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4.800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e/kg</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4.80</w:t>
            </w:r>
          </w:p>
        </w:tc>
      </w:tr>
      <w:tr>
        <w:trPr>
          <w:cantSplit/>
        </w:trPr>
        <w:tc>
          <w:tcPr>
            <w:tcW w:type="dxa" w:w="3612"/>
            <w:tcMar>
              <w:top w:type="dxa" w:w="50"/>
              <w:left w:type="dxa" w:w="90"/>
              <w:bottom w:type="dxa" w:w="50"/>
              <w:right w:type="dxa" w:w="90"/>
            </w:tcMar>
            <w:vAlign w:val="center"/>
          </w:tcPr>
          <w:p>
            <w:pPr>
              <w:spacing w:after="0" w:line="240"/>
              <w:jc w:val="left"/>
            </w:pPr>
            <w:r>
              <w:rPr>
                <w:b w:val="false"/>
                <w:bCs w:val="false"/>
                <w:sz w:val="16"/>
                <w:szCs w:val="16"/>
              </w:rPr>
              <w:t xml:space="preserve">Table 8 - Fresh water (WSD)</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51.52</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m3</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0.437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e/m3</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22.50</w:t>
            </w:r>
          </w:p>
        </w:tc>
      </w:tr>
      <w:tr>
        <w:trPr>
          <w:cantSplit/>
        </w:trPr>
        <w:tc>
          <w:tcPr>
            <w:tcW w:type="dxa" w:w="3612"/>
            <w:tcMar>
              <w:top w:type="dxa" w:w="50"/>
              <w:left w:type="dxa" w:w="90"/>
              <w:bottom w:type="dxa" w:w="50"/>
              <w:right w:type="dxa" w:w="90"/>
            </w:tcMar>
            <w:vAlign w:val="center"/>
          </w:tcPr>
          <w:p>
            <w:pPr>
              <w:spacing w:after="0" w:line="240"/>
              <w:jc w:val="left"/>
            </w:pPr>
            <w:r>
              <w:rPr>
                <w:b w:val="false"/>
                <w:bCs w:val="false"/>
                <w:sz w:val="16"/>
                <w:szCs w:val="16"/>
              </w:rPr>
              <w:t xml:space="preserve">Table 9 - Sewage (DSD)</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51.52</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m3</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0.203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e/m3</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10.46</w:t>
            </w:r>
          </w:p>
        </w:tc>
      </w:tr>
      <w:tr>
        <w:trPr>
          <w:cantSplit/>
        </w:trPr>
        <w:tc>
          <w:tcPr>
            <w:tcW w:type="dxa" w:w="3612"/>
            <w:tcMar>
              <w:top w:type="dxa" w:w="50"/>
              <w:left w:type="dxa" w:w="90"/>
              <w:bottom w:type="dxa" w:w="50"/>
              <w:right w:type="dxa" w:w="90"/>
            </w:tcMar>
            <w:vAlign w:val="center"/>
          </w:tcPr>
          <w:p>
            <w:pPr>
              <w:spacing w:after="0" w:line="240"/>
              <w:jc w:val="left"/>
            </w:pPr>
            <w:r>
              <w:rPr>
                <w:b w:val="false"/>
                <w:bCs w:val="false"/>
                <w:sz w:val="16"/>
                <w:szCs w:val="16"/>
              </w:rPr>
              <w:t xml:space="preserve">Seawater for flushing (WSD, optional)</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21.90</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m3</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0.253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e/m3</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5.55</w:t>
            </w:r>
          </w:p>
        </w:tc>
      </w:tr>
      <w:tr>
        <w:trPr>
          <w:cantSplit/>
        </w:trPr>
        <w:tc>
          <w:tcPr>
            <w:tcW w:type="dxa" w:w="3612"/>
            <w:shd w:fill="F2F2F2" w:color="auto" w:val="clear"/>
            <w:tcMar>
              <w:top w:type="dxa" w:w="50"/>
              <w:left w:type="dxa" w:w="90"/>
              <w:bottom w:type="dxa" w:w="50"/>
              <w:right w:type="dxa" w:w="90"/>
            </w:tcMar>
            <w:vAlign w:val="center"/>
          </w:tcPr>
          <w:p>
            <w:pPr>
              <w:spacing w:after="0" w:line="240"/>
              <w:jc w:val="left"/>
            </w:pPr>
            <w:r>
              <w:rPr>
                <w:b/>
                <w:bCs/>
                <w:sz w:val="16"/>
                <w:szCs w:val="16"/>
              </w:rPr>
              <w:t xml:space="preserve">Scope 3 total</w:t>
            </w:r>
          </w:p>
        </w:tc>
        <w:tc>
          <w:tcPr>
            <w:tcW w:type="dxa" w:w="1300"/>
            <w:shd w:fill="F2F2F2" w:color="auto" w:val="clear"/>
            <w:tcMar>
              <w:top w:type="dxa" w:w="50"/>
              <w:left w:type="dxa" w:w="90"/>
              <w:bottom w:type="dxa" w:w="50"/>
              <w:right w:type="dxa" w:w="90"/>
            </w:tcMar>
            <w:vAlign w:val="center"/>
          </w:tcPr>
          <w:p>
            <w:pPr>
              <w:spacing w:after="0" w:line="240"/>
              <w:jc w:val="right"/>
            </w:pPr>
          </w:p>
        </w:tc>
        <w:tc>
          <w:tcPr>
            <w:tcW w:type="dxa" w:w="900"/>
            <w:shd w:fill="F2F2F2" w:color="auto" w:val="clear"/>
            <w:tcMar>
              <w:top w:type="dxa" w:w="50"/>
              <w:left w:type="dxa" w:w="90"/>
              <w:bottom w:type="dxa" w:w="50"/>
              <w:right w:type="dxa" w:w="90"/>
            </w:tcMar>
            <w:vAlign w:val="center"/>
          </w:tcPr>
          <w:p>
            <w:pPr>
              <w:spacing w:after="0" w:line="240"/>
              <w:jc w:val="left"/>
            </w:pPr>
          </w:p>
        </w:tc>
        <w:tc>
          <w:tcPr>
            <w:tcW w:type="dxa" w:w="2100"/>
            <w:shd w:fill="F2F2F2" w:color="auto" w:val="clear"/>
            <w:tcMar>
              <w:top w:type="dxa" w:w="50"/>
              <w:left w:type="dxa" w:w="90"/>
              <w:bottom w:type="dxa" w:w="50"/>
              <w:right w:type="dxa" w:w="90"/>
            </w:tcMar>
            <w:vAlign w:val="center"/>
          </w:tcPr>
          <w:p>
            <w:pPr>
              <w:spacing w:after="0" w:line="240"/>
              <w:jc w:val="left"/>
            </w:pPr>
          </w:p>
        </w:tc>
        <w:tc>
          <w:tcPr>
            <w:tcW w:type="dxa" w:w="1500"/>
            <w:shd w:fill="F2F2F2" w:color="auto" w:val="clear"/>
            <w:tcMar>
              <w:top w:type="dxa" w:w="50"/>
              <w:left w:type="dxa" w:w="90"/>
              <w:bottom w:type="dxa" w:w="50"/>
              <w:right w:type="dxa" w:w="90"/>
            </w:tcMar>
            <w:vAlign w:val="center"/>
          </w:tcPr>
          <w:p>
            <w:pPr>
              <w:spacing w:after="0" w:line="240"/>
              <w:jc w:val="right"/>
            </w:pPr>
            <w:r>
              <w:rPr>
                <w:b/>
                <w:bCs/>
                <w:sz w:val="16"/>
                <w:szCs w:val="16"/>
              </w:rPr>
              <w:t xml:space="preserve">43.31</w:t>
            </w:r>
          </w:p>
        </w:tc>
      </w:tr>
    </w:tbl>
    <w:p>
      <w:pPr>
        <w:pStyle w:val="Heading2"/>
      </w:pPr>
      <w:r>
        <w:rPr>
          <w:b w:val="false"/>
          <w:bCs w:val="false"/>
        </w:rPr>
        <w:t xml:space="preserve">7.5  Inventory summary</w:t>
      </w:r>
    </w:p>
    <w:p>
      <w:pPr>
        <w:keepNext/>
        <w:spacing w:after="80" w:before="160"/>
      </w:pPr>
      <w:r>
        <w:rPr>
          <w:b/>
          <w:bCs/>
          <w:color w:val="1F3864"/>
          <w:sz w:val="18"/>
          <w:szCs w:val="18"/>
        </w:rPr>
        <w:t xml:space="preserve">Table 7.5: GHG inventory of the household (kg </w:t>
      </w:r>
      <w:r>
        <w:rPr>
          <w:b/>
          <w:bCs/>
          <w:color w:val="1F3864"/>
          <w:sz w:val="18"/>
          <w:szCs w:val="18"/>
        </w:rPr>
        <w:t xml:space="preserve">CO</w:t>
      </w:r>
      <w:r>
        <w:rPr>
          <w:b/>
          <w:bCs/>
          <w:color w:val="1F3864"/>
          <w:sz w:val="18"/>
          <w:szCs w:val="18"/>
          <w:vertAlign w:val="subscript"/>
        </w:rPr>
        <w:t xml:space="preserve">2</w:t>
      </w:r>
      <w:r>
        <w:rPr>
          <w:b/>
          <w:bCs/>
          <w:color w:val="1F3864"/>
          <w:sz w:val="18"/>
          <w:szCs w:val="18"/>
        </w:rPr>
        <w:t xml:space="preserve">e/yr)</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812"/>
        <w:gridCol w:w="1400"/>
        <w:gridCol w:w="1500"/>
        <w:gridCol w:w="1100"/>
        <w:gridCol w:w="1300"/>
        <w:gridCol w:w="1300"/>
      </w:tblGrid>
      <w:tr>
        <w:trPr>
          <w:tblHeader/>
        </w:trPr>
        <w:tc>
          <w:tcPr>
            <w:tcW w:type="dxa" w:w="28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Scope</w:t>
            </w:r>
          </w:p>
        </w:tc>
        <w:tc>
          <w:tcPr>
            <w:tcW w:type="dxa" w:w="14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CLP-specific basis</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Territory default basis</w:t>
            </w:r>
          </w:p>
        </w:tc>
        <w:tc>
          <w:tcPr>
            <w:tcW w:type="dxa" w:w="11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Share (CLP)</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Per person (CLP)</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Per person (default)</w:t>
            </w:r>
          </w:p>
        </w:tc>
      </w:tr>
      <w:tr>
        <w:trPr>
          <w:cantSplit/>
        </w:trPr>
        <w:tc>
          <w:tcPr>
            <w:tcW w:type="dxa" w:w="2812"/>
            <w:tcMar>
              <w:top w:type="dxa" w:w="50"/>
              <w:left w:type="dxa" w:w="90"/>
              <w:bottom w:type="dxa" w:w="50"/>
              <w:right w:type="dxa" w:w="90"/>
            </w:tcMar>
            <w:vAlign w:val="center"/>
          </w:tcPr>
          <w:p>
            <w:pPr>
              <w:spacing w:after="0" w:line="240"/>
              <w:jc w:val="left"/>
            </w:pPr>
            <w:r>
              <w:rPr>
                <w:b w:val="false"/>
                <w:bCs w:val="false"/>
                <w:sz w:val="16"/>
                <w:szCs w:val="16"/>
              </w:rPr>
              <w:t xml:space="preserve">Scope 1 - direct (refrigerant screening)</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16.4</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16.4</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1.8%</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8.2</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8.2</w:t>
            </w:r>
          </w:p>
        </w:tc>
      </w:tr>
      <w:tr>
        <w:trPr>
          <w:cantSplit/>
        </w:trPr>
        <w:tc>
          <w:tcPr>
            <w:tcW w:type="dxa" w:w="2812"/>
            <w:tcMar>
              <w:top w:type="dxa" w:w="50"/>
              <w:left w:type="dxa" w:w="90"/>
              <w:bottom w:type="dxa" w:w="50"/>
              <w:right w:type="dxa" w:w="90"/>
            </w:tcMar>
            <w:vAlign w:val="center"/>
          </w:tcPr>
          <w:p>
            <w:pPr>
              <w:spacing w:after="0" w:line="240"/>
              <w:jc w:val="left"/>
            </w:pPr>
            <w:r>
              <w:rPr>
                <w:b w:val="false"/>
                <w:bCs w:val="false"/>
                <w:sz w:val="16"/>
                <w:szCs w:val="16"/>
              </w:rPr>
              <w:t xml:space="preserve">Scope 2 - purchased electricity</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879.4</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1,810.5</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93.6%</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439.7</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905.2</w:t>
            </w:r>
          </w:p>
        </w:tc>
      </w:tr>
      <w:tr>
        <w:trPr>
          <w:cantSplit/>
        </w:trPr>
        <w:tc>
          <w:tcPr>
            <w:tcW w:type="dxa" w:w="2812"/>
            <w:tcMar>
              <w:top w:type="dxa" w:w="50"/>
              <w:left w:type="dxa" w:w="90"/>
              <w:bottom w:type="dxa" w:w="50"/>
              <w:right w:type="dxa" w:w="90"/>
            </w:tcMar>
            <w:vAlign w:val="center"/>
          </w:tcPr>
          <w:p>
            <w:pPr>
              <w:spacing w:after="0" w:line="240"/>
              <w:jc w:val="left"/>
            </w:pPr>
            <w:r>
              <w:rPr>
                <w:b w:val="false"/>
                <w:bCs w:val="false"/>
                <w:sz w:val="16"/>
                <w:szCs w:val="16"/>
              </w:rPr>
              <w:t xml:space="preserve">Scope 3 - water, sewage, paper</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43.3</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43.3</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4.6%</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21.7</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21.7</w:t>
            </w:r>
          </w:p>
        </w:tc>
      </w:tr>
      <w:tr>
        <w:trPr>
          <w:cantSplit/>
        </w:trPr>
        <w:tc>
          <w:tcPr>
            <w:tcW w:type="dxa" w:w="2812"/>
            <w:shd w:fill="F2F2F2" w:color="auto" w:val="clear"/>
            <w:tcMar>
              <w:top w:type="dxa" w:w="50"/>
              <w:left w:type="dxa" w:w="90"/>
              <w:bottom w:type="dxa" w:w="50"/>
              <w:right w:type="dxa" w:w="90"/>
            </w:tcMar>
            <w:vAlign w:val="center"/>
          </w:tcPr>
          <w:p>
            <w:pPr>
              <w:spacing w:after="0" w:line="240"/>
              <w:jc w:val="left"/>
            </w:pPr>
            <w:r>
              <w:rPr>
                <w:b/>
                <w:bCs/>
                <w:sz w:val="16"/>
                <w:szCs w:val="16"/>
              </w:rPr>
              <w:t xml:space="preserve">TOTAL</w:t>
            </w:r>
          </w:p>
        </w:tc>
        <w:tc>
          <w:tcPr>
            <w:tcW w:type="dxa" w:w="1400"/>
            <w:shd w:fill="F2F2F2" w:color="auto" w:val="clear"/>
            <w:tcMar>
              <w:top w:type="dxa" w:w="50"/>
              <w:left w:type="dxa" w:w="90"/>
              <w:bottom w:type="dxa" w:w="50"/>
              <w:right w:type="dxa" w:w="90"/>
            </w:tcMar>
            <w:vAlign w:val="center"/>
          </w:tcPr>
          <w:p>
            <w:pPr>
              <w:spacing w:after="0" w:line="240"/>
              <w:jc w:val="right"/>
            </w:pPr>
            <w:r>
              <w:rPr>
                <w:b/>
                <w:bCs/>
                <w:sz w:val="16"/>
                <w:szCs w:val="16"/>
              </w:rPr>
              <w:t xml:space="preserve">939.1</w:t>
            </w:r>
          </w:p>
        </w:tc>
        <w:tc>
          <w:tcPr>
            <w:tcW w:type="dxa" w:w="15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1,870.2</w:t>
            </w:r>
          </w:p>
        </w:tc>
        <w:tc>
          <w:tcPr>
            <w:tcW w:type="dxa" w:w="11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100.0%</w:t>
            </w:r>
          </w:p>
        </w:tc>
        <w:tc>
          <w:tcPr>
            <w:tcW w:type="dxa" w:w="1300"/>
            <w:shd w:fill="F2F2F2" w:color="auto" w:val="clear"/>
            <w:tcMar>
              <w:top w:type="dxa" w:w="50"/>
              <w:left w:type="dxa" w:w="90"/>
              <w:bottom w:type="dxa" w:w="50"/>
              <w:right w:type="dxa" w:w="90"/>
            </w:tcMar>
            <w:vAlign w:val="center"/>
          </w:tcPr>
          <w:p>
            <w:pPr>
              <w:spacing w:after="0" w:line="240"/>
              <w:jc w:val="right"/>
            </w:pPr>
            <w:r>
              <w:rPr>
                <w:b/>
                <w:bCs/>
                <w:sz w:val="16"/>
                <w:szCs w:val="16"/>
              </w:rPr>
              <w:t xml:space="preserve">469.6</w:t>
            </w:r>
          </w:p>
        </w:tc>
        <w:tc>
          <w:tcPr>
            <w:tcW w:type="dxa" w:w="1300"/>
            <w:shd w:fill="F2F2F2" w:color="auto" w:val="clear"/>
            <w:tcMar>
              <w:top w:type="dxa" w:w="50"/>
              <w:left w:type="dxa" w:w="90"/>
              <w:bottom w:type="dxa" w:w="50"/>
              <w:right w:type="dxa" w:w="90"/>
            </w:tcMar>
            <w:vAlign w:val="center"/>
          </w:tcPr>
          <w:p>
            <w:pPr>
              <w:spacing w:after="0" w:line="240"/>
              <w:jc w:val="right"/>
            </w:pPr>
            <w:r>
              <w:rPr>
                <w:b/>
                <w:bCs/>
                <w:sz w:val="16"/>
                <w:szCs w:val="16"/>
              </w:rPr>
              <w:t xml:space="preserve">935.1</w:t>
            </w:r>
          </w:p>
        </w:tc>
      </w:tr>
    </w:tbl>
    <w:p>
      <w:pPr>
        <w:spacing w:after="60"/>
      </w:pPr>
    </w:p>
    <w:p>
      <w:pPr>
        <w:spacing w:after="40" w:before="0" w:line="276"/>
        <w:jc w:val="both"/>
      </w:pPr>
      <w:r>
        <w:rPr>
          <w:b w:val="false"/>
          <w:bCs w:val="false"/>
        </w:rPr>
        <w:t xml:space="preserve">The household emits </w:t>
      </w:r>
      <w:r>
        <w:rPr>
          <w:b/>
          <w:bCs/>
        </w:rPr>
        <w:t xml:space="preserve">939 kg </w:t>
      </w:r>
      <w:r>
        <w:rPr>
          <w:b/>
          <w:bCs/>
        </w:rPr>
        <w:t xml:space="preserve">CO</w:t>
      </w:r>
      <w:r>
        <w:rPr>
          <w:b/>
          <w:bCs/>
          <w:vertAlign w:val="subscript"/>
        </w:rPr>
        <w:t xml:space="preserve">2</w:t>
      </w:r>
      <w:r>
        <w:rPr>
          <w:b/>
          <w:bCs/>
        </w:rPr>
        <w:t xml:space="preserve">e a year</w:t>
      </w:r>
      <w:r>
        <w:rPr>
          <w:b w:val="false"/>
          <w:bCs w:val="false"/>
        </w:rPr>
        <w:t xml:space="preserve"> on the CLP-specific basis (470 kg per person), or 1,870 kg on the territory-wide default. Scope 2 electricity is 93.6% of the total; the room's own Scope 2 intensity is 27.6 kg </w:t>
      </w:r>
      <w:r>
        <w:rPr>
          <w:b w:val="false"/>
          <w:bCs w:val="false"/>
        </w:rPr>
        <w:t xml:space="preserve">CO</w:t>
      </w:r>
      <w:r>
        <w:rPr>
          <w:b w:val="false"/>
          <w:bCs w:val="false"/>
          <w:vertAlign w:val="subscript"/>
        </w:rPr>
        <w:t xml:space="preserve">2</w:t>
      </w:r>
      <w:r>
        <w:rPr>
          <w:b w:val="false"/>
          <w:bCs w:val="false"/>
        </w:rPr>
        <w:t xml:space="preserve">e/m²/yr. Because Scope 2 dominates, the choice of factor matters more than any single item of equipment.</w:t>
      </w:r>
    </w:p>
    <w:p>
      <w:pPr>
        <w:pStyle w:val="ListParagraph"/>
        <w:numPr>
          <w:ilvl w:val="0"/>
          <w:numId w:val="2"/>
        </w:numPr>
        <w:spacing w:after="60" w:line="264"/>
      </w:pPr>
      <w:r>
        <w:rPr>
          <w:b w:val="false"/>
          <w:bCs w:val="false"/>
        </w:rPr>
        <w:t xml:space="preserve">The 0.7 default reflects a coal-heavy grid of the 2000s.</w:t>
      </w:r>
    </w:p>
    <w:p>
      <w:pPr>
        <w:pStyle w:val="ListParagraph"/>
        <w:numPr>
          <w:ilvl w:val="0"/>
          <w:numId w:val="2"/>
        </w:numPr>
        <w:spacing w:after="120" w:line="264"/>
      </w:pPr>
      <w:r>
        <w:rPr>
          <w:b w:val="false"/>
          <w:bCs w:val="false"/>
        </w:rPr>
        <w:t xml:space="preserve">CLP's 2025 factor reflects today's gas and non-carbon mix and is the better estimate of this household's actual emissions.</w:t>
      </w:r>
    </w:p>
    <w:p>
      <w:pPr>
        <w:spacing w:after="120" w:before="0" w:line="276"/>
        <w:jc w:val="both"/>
      </w:pPr>
      <w:r>
        <w:rPr>
          <w:b w:val="false"/>
          <w:bCs w:val="false"/>
        </w:rPr>
        <w:t xml:space="preserve">Reporting both, as required, makes the results comparable with older Hong Kong building inventories.</w:t>
      </w:r>
    </w:p>
    <w:p>
      <w:pPr>
        <w:pStyle w:val="Heading2"/>
      </w:pPr>
      <w:r>
        <w:rPr>
          <w:b w:val="false"/>
          <w:bCs w:val="false"/>
        </w:rPr>
        <w:t xml:space="preserve">7.6  Daily-activity extension (reported separately)</w:t>
      </w:r>
    </w:p>
    <w:p>
      <w:pPr>
        <w:spacing w:after="40" w:before="0" w:line="276"/>
        <w:jc w:val="both"/>
      </w:pPr>
      <w:r>
        <w:rPr>
          <w:b w:val="false"/>
          <w:bCs w:val="false"/>
        </w:rPr>
        <w:t xml:space="preserve">The assignment calls this a carbon audit of daily activity, so the auditor's personal travel and diet were also estimated. They are kept outside the building inventory because they fall outside the Guidelines' building boundary. They correspond to Scope 3 categories in the GHG Protocol and ISO 14064-1.</w:t>
      </w:r>
    </w:p>
    <w:p>
      <w:pPr>
        <w:pStyle w:val="ListParagraph"/>
        <w:numPr>
          <w:ilvl w:val="0"/>
          <w:numId w:val="2"/>
        </w:numPr>
        <w:spacing w:after="60" w:line="264"/>
      </w:pPr>
      <w:r>
        <w:rPr>
          <w:b/>
          <w:bCs/>
        </w:rPr>
        <w:t xml:space="preserve">MTR:</w:t>
      </w:r>
      <w:r>
        <w:rPr>
          <w:b w:val="false"/>
          <w:bCs w:val="false"/>
        </w:rPr>
        <w:t xml:space="preserve"> 11,820 p-km/yr. This covers an 18 km commute each way, six days a week for 48 weeks, plus three other trips a month of 22 km each way. The factor is MTR's reported rail intensity of 0.0723 kg </w:t>
      </w:r>
      <w:r>
        <w:rPr>
          <w:b w:val="false"/>
          <w:bCs w:val="false"/>
        </w:rPr>
        <w:t xml:space="preserve">CO</w:t>
      </w:r>
      <w:r>
        <w:rPr>
          <w:b w:val="false"/>
          <w:bCs w:val="false"/>
          <w:vertAlign w:val="subscript"/>
        </w:rPr>
        <w:t xml:space="preserve">2</w:t>
      </w:r>
      <w:r>
        <w:rPr>
          <w:b w:val="false"/>
          <w:bCs w:val="false"/>
        </w:rPr>
        <w:t xml:space="preserve">e/p-km [17].</w:t>
      </w:r>
    </w:p>
    <w:p>
      <w:pPr>
        <w:pStyle w:val="ListParagraph"/>
        <w:numPr>
          <w:ilvl w:val="0"/>
          <w:numId w:val="2"/>
        </w:numPr>
        <w:spacing w:after="60" w:line="264"/>
      </w:pPr>
      <w:r>
        <w:rPr>
          <w:b/>
          <w:bCs/>
        </w:rPr>
        <w:t xml:space="preserve">Flights:</w:t>
      </w:r>
      <w:r>
        <w:rPr>
          <w:b w:val="false"/>
          <w:bCs w:val="false"/>
        </w:rPr>
        <w:t xml:space="preserve"> four flights in the last 12 months (Hong Kong-Delhi, Delhi-Hong Kong, Delhi-Goa, Goa-Hong Kong). Each uses its great-circle distance + 8%, with UK DESNZ 2025 economy factors including radiative forcing [18].</w:t>
      </w:r>
    </w:p>
    <w:p>
      <w:pPr>
        <w:pStyle w:val="ListParagraph"/>
        <w:numPr>
          <w:ilvl w:val="0"/>
          <w:numId w:val="2"/>
        </w:numPr>
        <w:spacing w:after="60" w:line="264"/>
      </w:pPr>
      <w:r>
        <w:rPr>
          <w:b/>
          <w:bCs/>
        </w:rPr>
        <w:t xml:space="preserve">Diet:</w:t>
      </w:r>
      <w:r>
        <w:rPr>
          <w:b w:val="false"/>
          <w:bCs w:val="false"/>
        </w:rPr>
        <w:t xml:space="preserve"> mixed (medium meat-eater), taken from Scarborough et al. at 5.63 kg </w:t>
      </w:r>
      <w:r>
        <w:rPr>
          <w:b w:val="false"/>
          <w:bCs w:val="false"/>
        </w:rPr>
        <w:t xml:space="preserve">CO</w:t>
      </w:r>
      <w:r>
        <w:rPr>
          <w:b w:val="false"/>
          <w:bCs w:val="false"/>
          <w:vertAlign w:val="subscript"/>
        </w:rPr>
        <w:t xml:space="preserve">2</w:t>
      </w:r>
      <w:r>
        <w:rPr>
          <w:b w:val="false"/>
          <w:bCs w:val="false"/>
        </w:rPr>
        <w:t xml:space="preserve">e/day [19].</w:t>
      </w:r>
    </w:p>
    <w:p>
      <w:pPr>
        <w:keepNext/>
        <w:spacing w:after="80" w:before="160"/>
      </w:pPr>
      <w:r>
        <w:rPr>
          <w:b/>
          <w:bCs/>
          <w:color w:val="1F3864"/>
          <w:sz w:val="18"/>
          <w:szCs w:val="18"/>
        </w:rPr>
        <w:t xml:space="preserve">Table 7.6: Auditor's daily-activity footprint</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3612"/>
        <w:gridCol w:w="1300"/>
        <w:gridCol w:w="900"/>
        <w:gridCol w:w="2100"/>
        <w:gridCol w:w="1500"/>
      </w:tblGrid>
      <w:tr>
        <w:trPr>
          <w:tblHeader/>
        </w:trPr>
        <w:tc>
          <w:tcPr>
            <w:tcW w:type="dxa" w:w="36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Activity</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Quantity</w:t>
            </w:r>
          </w:p>
        </w:tc>
        <w:tc>
          <w:tcPr>
            <w:tcW w:type="dxa" w:w="9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Unit</w:t>
            </w:r>
          </w:p>
        </w:tc>
        <w:tc>
          <w:tcPr>
            <w:tcW w:type="dxa" w:w="21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Factor</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e/yr</w:t>
            </w:r>
          </w:p>
        </w:tc>
      </w:tr>
      <w:tr>
        <w:trPr>
          <w:cantSplit/>
        </w:trPr>
        <w:tc>
          <w:tcPr>
            <w:tcW w:type="dxa" w:w="3612"/>
            <w:tcMar>
              <w:top w:type="dxa" w:w="50"/>
              <w:left w:type="dxa" w:w="90"/>
              <w:bottom w:type="dxa" w:w="50"/>
              <w:right w:type="dxa" w:w="90"/>
            </w:tcMar>
            <w:vAlign w:val="center"/>
          </w:tcPr>
          <w:p>
            <w:pPr>
              <w:spacing w:after="0" w:line="240"/>
              <w:jc w:val="left"/>
            </w:pPr>
            <w:r>
              <w:rPr>
                <w:b w:val="false"/>
                <w:bCs w:val="false"/>
                <w:sz w:val="16"/>
                <w:szCs w:val="16"/>
              </w:rPr>
              <w:t xml:space="preserve">MTR commute (18 km x 2 x 6 days/week)</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10,368</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p-km</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0.0723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e/p-km</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750</w:t>
            </w:r>
          </w:p>
        </w:tc>
      </w:tr>
      <w:tr>
        <w:trPr>
          <w:cantSplit/>
        </w:trPr>
        <w:tc>
          <w:tcPr>
            <w:tcW w:type="dxa" w:w="3612"/>
            <w:tcMar>
              <w:top w:type="dxa" w:w="50"/>
              <w:left w:type="dxa" w:w="90"/>
              <w:bottom w:type="dxa" w:w="50"/>
              <w:right w:type="dxa" w:w="90"/>
            </w:tcMar>
            <w:vAlign w:val="center"/>
          </w:tcPr>
          <w:p>
            <w:pPr>
              <w:spacing w:after="0" w:line="240"/>
              <w:jc w:val="left"/>
            </w:pPr>
            <w:r>
              <w:rPr>
                <w:b w:val="false"/>
                <w:bCs w:val="false"/>
                <w:sz w:val="16"/>
                <w:szCs w:val="16"/>
              </w:rPr>
              <w:t xml:space="preserve">Other MTR trips (22 km x 2 x 3/month)</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1,452</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p-km</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0.0723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e/p-km</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105</w:t>
            </w:r>
          </w:p>
        </w:tc>
      </w:tr>
      <w:tr>
        <w:trPr>
          <w:cantSplit/>
        </w:trPr>
        <w:tc>
          <w:tcPr>
            <w:tcW w:type="dxa" w:w="3612"/>
            <w:tcMar>
              <w:top w:type="dxa" w:w="50"/>
              <w:left w:type="dxa" w:w="90"/>
              <w:bottom w:type="dxa" w:w="50"/>
              <w:right w:type="dxa" w:w="90"/>
            </w:tcMar>
            <w:vAlign w:val="center"/>
          </w:tcPr>
          <w:p>
            <w:pPr>
              <w:spacing w:after="0" w:line="240"/>
              <w:jc w:val="left"/>
            </w:pPr>
            <w:r>
              <w:rPr>
                <w:b w:val="false"/>
                <w:bCs w:val="false"/>
                <w:sz w:val="16"/>
                <w:szCs w:val="16"/>
              </w:rPr>
              <w:t xml:space="preserve">Flights (4 legs, table below)</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14,335</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p-km</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0.1180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e/p-km</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1,692</w:t>
            </w:r>
          </w:p>
        </w:tc>
      </w:tr>
      <w:tr>
        <w:trPr>
          <w:cantSplit/>
        </w:trPr>
        <w:tc>
          <w:tcPr>
            <w:tcW w:type="dxa" w:w="3612"/>
            <w:tcMar>
              <w:top w:type="dxa" w:w="50"/>
              <w:left w:type="dxa" w:w="90"/>
              <w:bottom w:type="dxa" w:w="50"/>
              <w:right w:type="dxa" w:w="90"/>
            </w:tcMar>
            <w:vAlign w:val="center"/>
          </w:tcPr>
          <w:p>
            <w:pPr>
              <w:spacing w:after="0" w:line="240"/>
              <w:jc w:val="left"/>
            </w:pPr>
            <w:r>
              <w:rPr>
                <w:b w:val="false"/>
                <w:bCs w:val="false"/>
                <w:sz w:val="16"/>
                <w:szCs w:val="16"/>
              </w:rPr>
              <w:t xml:space="preserve">Diet - mixed (medium meat-eater)</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365</w:t>
            </w:r>
          </w:p>
        </w:tc>
        <w:tc>
          <w:tcPr>
            <w:tcW w:type="dxa" w:w="900"/>
            <w:tcMar>
              <w:top w:type="dxa" w:w="50"/>
              <w:left w:type="dxa" w:w="90"/>
              <w:bottom w:type="dxa" w:w="50"/>
              <w:right w:type="dxa" w:w="90"/>
            </w:tcMar>
            <w:vAlign w:val="center"/>
          </w:tcPr>
          <w:p>
            <w:pPr>
              <w:spacing w:after="0" w:line="240"/>
              <w:jc w:val="left"/>
            </w:pPr>
            <w:r>
              <w:rPr>
                <w:b w:val="false"/>
                <w:bCs w:val="false"/>
                <w:sz w:val="16"/>
                <w:szCs w:val="16"/>
              </w:rPr>
              <w:t xml:space="preserve">days</w:t>
            </w:r>
          </w:p>
        </w:tc>
        <w:tc>
          <w:tcPr>
            <w:tcW w:type="dxa" w:w="2100"/>
            <w:tcMar>
              <w:top w:type="dxa" w:w="50"/>
              <w:left w:type="dxa" w:w="90"/>
              <w:bottom w:type="dxa" w:w="50"/>
              <w:right w:type="dxa" w:w="90"/>
            </w:tcMar>
            <w:vAlign w:val="center"/>
          </w:tcPr>
          <w:p>
            <w:pPr>
              <w:spacing w:after="0" w:line="240"/>
              <w:jc w:val="left"/>
            </w:pPr>
            <w:r>
              <w:rPr>
                <w:b w:val="false"/>
                <w:bCs w:val="false"/>
                <w:sz w:val="16"/>
                <w:szCs w:val="16"/>
              </w:rPr>
              <w:t xml:space="preserve">5.6300 kg </w:t>
            </w:r>
            <w:r>
              <w:rPr>
                <w:b w:val="false"/>
                <w:bCs w:val="false"/>
                <w:sz w:val="16"/>
                <w:szCs w:val="16"/>
              </w:rPr>
              <w:t xml:space="preserve">CO</w:t>
            </w:r>
            <w:r>
              <w:rPr>
                <w:b w:val="false"/>
                <w:bCs w:val="false"/>
                <w:sz w:val="16"/>
                <w:szCs w:val="16"/>
                <w:vertAlign w:val="subscript"/>
              </w:rPr>
              <w:t xml:space="preserve">2</w:t>
            </w:r>
            <w:r>
              <w:rPr>
                <w:b w:val="false"/>
                <w:bCs w:val="false"/>
                <w:sz w:val="16"/>
                <w:szCs w:val="16"/>
              </w:rPr>
              <w:t xml:space="preserve">e/day</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2,055</w:t>
            </w:r>
          </w:p>
        </w:tc>
      </w:tr>
      <w:tr>
        <w:trPr>
          <w:cantSplit/>
        </w:trPr>
        <w:tc>
          <w:tcPr>
            <w:tcW w:type="dxa" w:w="3612"/>
            <w:shd w:fill="F2F2F2" w:color="auto" w:val="clear"/>
            <w:tcMar>
              <w:top w:type="dxa" w:w="50"/>
              <w:left w:type="dxa" w:w="90"/>
              <w:bottom w:type="dxa" w:w="50"/>
              <w:right w:type="dxa" w:w="90"/>
            </w:tcMar>
            <w:vAlign w:val="center"/>
          </w:tcPr>
          <w:p>
            <w:pPr>
              <w:spacing w:after="0" w:line="240"/>
              <w:jc w:val="left"/>
            </w:pPr>
            <w:r>
              <w:rPr>
                <w:b/>
                <w:bCs/>
                <w:sz w:val="16"/>
                <w:szCs w:val="16"/>
              </w:rPr>
              <w:t xml:space="preserve">Lifestyle total</w:t>
            </w:r>
          </w:p>
        </w:tc>
        <w:tc>
          <w:tcPr>
            <w:tcW w:type="dxa" w:w="1300"/>
            <w:shd w:fill="F2F2F2" w:color="auto" w:val="clear"/>
            <w:tcMar>
              <w:top w:type="dxa" w:w="50"/>
              <w:left w:type="dxa" w:w="90"/>
              <w:bottom w:type="dxa" w:w="50"/>
              <w:right w:type="dxa" w:w="90"/>
            </w:tcMar>
            <w:vAlign w:val="center"/>
          </w:tcPr>
          <w:p>
            <w:pPr>
              <w:spacing w:after="0" w:line="240"/>
              <w:jc w:val="right"/>
            </w:pPr>
          </w:p>
        </w:tc>
        <w:tc>
          <w:tcPr>
            <w:tcW w:type="dxa" w:w="900"/>
            <w:shd w:fill="F2F2F2" w:color="auto" w:val="clear"/>
            <w:tcMar>
              <w:top w:type="dxa" w:w="50"/>
              <w:left w:type="dxa" w:w="90"/>
              <w:bottom w:type="dxa" w:w="50"/>
              <w:right w:type="dxa" w:w="90"/>
            </w:tcMar>
            <w:vAlign w:val="center"/>
          </w:tcPr>
          <w:p>
            <w:pPr>
              <w:spacing w:after="0" w:line="240"/>
              <w:jc w:val="left"/>
            </w:pPr>
          </w:p>
        </w:tc>
        <w:tc>
          <w:tcPr>
            <w:tcW w:type="dxa" w:w="2100"/>
            <w:shd w:fill="F2F2F2" w:color="auto" w:val="clear"/>
            <w:tcMar>
              <w:top w:type="dxa" w:w="50"/>
              <w:left w:type="dxa" w:w="90"/>
              <w:bottom w:type="dxa" w:w="50"/>
              <w:right w:type="dxa" w:w="90"/>
            </w:tcMar>
            <w:vAlign w:val="center"/>
          </w:tcPr>
          <w:p>
            <w:pPr>
              <w:spacing w:after="0" w:line="240"/>
              <w:jc w:val="left"/>
            </w:pPr>
          </w:p>
        </w:tc>
        <w:tc>
          <w:tcPr>
            <w:tcW w:type="dxa" w:w="1500"/>
            <w:shd w:fill="F2F2F2" w:color="auto" w:val="clear"/>
            <w:tcMar>
              <w:top w:type="dxa" w:w="50"/>
              <w:left w:type="dxa" w:w="90"/>
              <w:bottom w:type="dxa" w:w="50"/>
              <w:right w:type="dxa" w:w="90"/>
            </w:tcMar>
            <w:vAlign w:val="center"/>
          </w:tcPr>
          <w:p>
            <w:pPr>
              <w:spacing w:after="0" w:line="240"/>
              <w:jc w:val="right"/>
            </w:pPr>
            <w:r>
              <w:rPr>
                <w:b/>
                <w:bCs/>
                <w:sz w:val="16"/>
                <w:szCs w:val="16"/>
              </w:rPr>
              <w:t xml:space="preserve">4,601</w:t>
            </w:r>
          </w:p>
        </w:tc>
      </w:tr>
    </w:tbl>
    <w:p>
      <w:pPr>
        <w:keepNext/>
        <w:spacing w:after="80" w:before="160"/>
      </w:pPr>
      <w:r>
        <w:rPr>
          <w:b/>
          <w:bCs/>
          <w:color w:val="1F3864"/>
          <w:sz w:val="18"/>
          <w:szCs w:val="18"/>
        </w:rPr>
        <w:t xml:space="preserve">Table 7.7: Flight legs</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3012"/>
        <w:gridCol w:w="1300"/>
        <w:gridCol w:w="1100"/>
        <w:gridCol w:w="1500"/>
        <w:gridCol w:w="1300"/>
        <w:gridCol w:w="1200"/>
      </w:tblGrid>
      <w:tr>
        <w:trPr>
          <w:tblHeader/>
        </w:trPr>
        <w:tc>
          <w:tcPr>
            <w:tcW w:type="dxa" w:w="30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Leg</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Great-circle km</w:t>
            </w:r>
          </w:p>
        </w:tc>
        <w:tc>
          <w:tcPr>
            <w:tcW w:type="dxa" w:w="1100"/>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Haul</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km incl. 8% uplift</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Factor (kg/p-km)</w:t>
            </w:r>
          </w:p>
        </w:tc>
        <w:tc>
          <w:tcPr>
            <w:tcW w:type="dxa" w:w="12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w:t>
            </w:r>
          </w:p>
        </w:tc>
      </w:tr>
      <w:tr>
        <w:trPr>
          <w:cantSplit/>
        </w:trPr>
        <w:tc>
          <w:tcPr>
            <w:tcW w:type="dxa" w:w="3012"/>
            <w:tcMar>
              <w:top w:type="dxa" w:w="50"/>
              <w:left w:type="dxa" w:w="90"/>
              <w:bottom w:type="dxa" w:w="50"/>
              <w:right w:type="dxa" w:w="90"/>
            </w:tcMar>
            <w:vAlign w:val="center"/>
          </w:tcPr>
          <w:p>
            <w:pPr>
              <w:spacing w:after="0" w:line="240"/>
              <w:jc w:val="left"/>
            </w:pPr>
            <w:r>
              <w:rPr>
                <w:b w:val="false"/>
                <w:bCs w:val="false"/>
                <w:sz w:val="16"/>
                <w:szCs w:val="16"/>
              </w:rPr>
              <w:t xml:space="preserve">Hong Kong (HKG) - Delhi (DEL)</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3,747</w:t>
            </w:r>
          </w:p>
        </w:tc>
        <w:tc>
          <w:tcPr>
            <w:tcW w:type="dxa" w:w="1100"/>
            <w:tcMar>
              <w:top w:type="dxa" w:w="50"/>
              <w:left w:type="dxa" w:w="90"/>
              <w:bottom w:type="dxa" w:w="50"/>
              <w:right w:type="dxa" w:w="90"/>
            </w:tcMar>
            <w:vAlign w:val="center"/>
          </w:tcPr>
          <w:p>
            <w:pPr>
              <w:spacing w:after="0" w:line="240"/>
              <w:jc w:val="left"/>
            </w:pPr>
            <w:r>
              <w:rPr>
                <w:b w:val="false"/>
                <w:bCs w:val="false"/>
                <w:sz w:val="16"/>
                <w:szCs w:val="16"/>
              </w:rPr>
              <w:t xml:space="preserve">Long-haul</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4,047</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0.11704</w:t>
            </w:r>
          </w:p>
        </w:tc>
        <w:tc>
          <w:tcPr>
            <w:tcW w:type="dxa" w:w="1200"/>
            <w:tcMar>
              <w:top w:type="dxa" w:w="50"/>
              <w:left w:type="dxa" w:w="90"/>
              <w:bottom w:type="dxa" w:w="50"/>
              <w:right w:type="dxa" w:w="90"/>
            </w:tcMar>
            <w:vAlign w:val="center"/>
          </w:tcPr>
          <w:p>
            <w:pPr>
              <w:spacing w:after="0" w:line="240"/>
              <w:jc w:val="right"/>
            </w:pPr>
            <w:r>
              <w:rPr>
                <w:b w:val="false"/>
                <w:bCs w:val="false"/>
                <w:sz w:val="16"/>
                <w:szCs w:val="16"/>
              </w:rPr>
              <w:t xml:space="preserve">474</w:t>
            </w:r>
          </w:p>
        </w:tc>
      </w:tr>
      <w:tr>
        <w:trPr>
          <w:cantSplit/>
        </w:trPr>
        <w:tc>
          <w:tcPr>
            <w:tcW w:type="dxa" w:w="3012"/>
            <w:tcMar>
              <w:top w:type="dxa" w:w="50"/>
              <w:left w:type="dxa" w:w="90"/>
              <w:bottom w:type="dxa" w:w="50"/>
              <w:right w:type="dxa" w:w="90"/>
            </w:tcMar>
            <w:vAlign w:val="center"/>
          </w:tcPr>
          <w:p>
            <w:pPr>
              <w:spacing w:after="0" w:line="240"/>
              <w:jc w:val="left"/>
            </w:pPr>
            <w:r>
              <w:rPr>
                <w:b w:val="false"/>
                <w:bCs w:val="false"/>
                <w:sz w:val="16"/>
                <w:szCs w:val="16"/>
              </w:rPr>
              <w:t xml:space="preserve">Delhi (DEL) - Hong Kong (HKG)</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3,747</w:t>
            </w:r>
          </w:p>
        </w:tc>
        <w:tc>
          <w:tcPr>
            <w:tcW w:type="dxa" w:w="1100"/>
            <w:tcMar>
              <w:top w:type="dxa" w:w="50"/>
              <w:left w:type="dxa" w:w="90"/>
              <w:bottom w:type="dxa" w:w="50"/>
              <w:right w:type="dxa" w:w="90"/>
            </w:tcMar>
            <w:vAlign w:val="center"/>
          </w:tcPr>
          <w:p>
            <w:pPr>
              <w:spacing w:after="0" w:line="240"/>
              <w:jc w:val="left"/>
            </w:pPr>
            <w:r>
              <w:rPr>
                <w:b w:val="false"/>
                <w:bCs w:val="false"/>
                <w:sz w:val="16"/>
                <w:szCs w:val="16"/>
              </w:rPr>
              <w:t xml:space="preserve">Long-haul</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4,047</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0.11704</w:t>
            </w:r>
          </w:p>
        </w:tc>
        <w:tc>
          <w:tcPr>
            <w:tcW w:type="dxa" w:w="1200"/>
            <w:tcMar>
              <w:top w:type="dxa" w:w="50"/>
              <w:left w:type="dxa" w:w="90"/>
              <w:bottom w:type="dxa" w:w="50"/>
              <w:right w:type="dxa" w:w="90"/>
            </w:tcMar>
            <w:vAlign w:val="center"/>
          </w:tcPr>
          <w:p>
            <w:pPr>
              <w:spacing w:after="0" w:line="240"/>
              <w:jc w:val="right"/>
            </w:pPr>
            <w:r>
              <w:rPr>
                <w:b w:val="false"/>
                <w:bCs w:val="false"/>
                <w:sz w:val="16"/>
                <w:szCs w:val="16"/>
              </w:rPr>
              <w:t xml:space="preserve">474</w:t>
            </w:r>
          </w:p>
        </w:tc>
      </w:tr>
      <w:tr>
        <w:trPr>
          <w:cantSplit/>
        </w:trPr>
        <w:tc>
          <w:tcPr>
            <w:tcW w:type="dxa" w:w="3012"/>
            <w:tcMar>
              <w:top w:type="dxa" w:w="50"/>
              <w:left w:type="dxa" w:w="90"/>
              <w:bottom w:type="dxa" w:w="50"/>
              <w:right w:type="dxa" w:w="90"/>
            </w:tcMar>
            <w:vAlign w:val="center"/>
          </w:tcPr>
          <w:p>
            <w:pPr>
              <w:spacing w:after="0" w:line="240"/>
              <w:jc w:val="left"/>
            </w:pPr>
            <w:r>
              <w:rPr>
                <w:b w:val="false"/>
                <w:bCs w:val="false"/>
                <w:sz w:val="16"/>
                <w:szCs w:val="16"/>
              </w:rPr>
              <w:t xml:space="preserve">Delhi (DEL) - Goa (GOI)</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1,503</w:t>
            </w:r>
          </w:p>
        </w:tc>
        <w:tc>
          <w:tcPr>
            <w:tcW w:type="dxa" w:w="1100"/>
            <w:tcMar>
              <w:top w:type="dxa" w:w="50"/>
              <w:left w:type="dxa" w:w="90"/>
              <w:bottom w:type="dxa" w:w="50"/>
              <w:right w:type="dxa" w:w="90"/>
            </w:tcMar>
            <w:vAlign w:val="center"/>
          </w:tcPr>
          <w:p>
            <w:pPr>
              <w:spacing w:after="0" w:line="240"/>
              <w:jc w:val="left"/>
            </w:pPr>
            <w:r>
              <w:rPr>
                <w:b w:val="false"/>
                <w:bCs w:val="false"/>
                <w:sz w:val="16"/>
                <w:szCs w:val="16"/>
              </w:rPr>
              <w:t xml:space="preserve">Short-haul</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1,623</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0.12580</w:t>
            </w:r>
          </w:p>
        </w:tc>
        <w:tc>
          <w:tcPr>
            <w:tcW w:type="dxa" w:w="1200"/>
            <w:tcMar>
              <w:top w:type="dxa" w:w="50"/>
              <w:left w:type="dxa" w:w="90"/>
              <w:bottom w:type="dxa" w:w="50"/>
              <w:right w:type="dxa" w:w="90"/>
            </w:tcMar>
            <w:vAlign w:val="center"/>
          </w:tcPr>
          <w:p>
            <w:pPr>
              <w:spacing w:after="0" w:line="240"/>
              <w:jc w:val="right"/>
            </w:pPr>
            <w:r>
              <w:rPr>
                <w:b w:val="false"/>
                <w:bCs w:val="false"/>
                <w:sz w:val="16"/>
                <w:szCs w:val="16"/>
              </w:rPr>
              <w:t xml:space="preserve">204</w:t>
            </w:r>
          </w:p>
        </w:tc>
      </w:tr>
      <w:tr>
        <w:trPr>
          <w:cantSplit/>
        </w:trPr>
        <w:tc>
          <w:tcPr>
            <w:tcW w:type="dxa" w:w="3012"/>
            <w:tcMar>
              <w:top w:type="dxa" w:w="50"/>
              <w:left w:type="dxa" w:w="90"/>
              <w:bottom w:type="dxa" w:w="50"/>
              <w:right w:type="dxa" w:w="90"/>
            </w:tcMar>
            <w:vAlign w:val="center"/>
          </w:tcPr>
          <w:p>
            <w:pPr>
              <w:spacing w:after="0" w:line="240"/>
              <w:jc w:val="left"/>
            </w:pPr>
            <w:r>
              <w:rPr>
                <w:b w:val="false"/>
                <w:bCs w:val="false"/>
                <w:sz w:val="16"/>
                <w:szCs w:val="16"/>
              </w:rPr>
              <w:t xml:space="preserve">Goa (GOI) - Hong Kong (HKG)</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4,276</w:t>
            </w:r>
          </w:p>
        </w:tc>
        <w:tc>
          <w:tcPr>
            <w:tcW w:type="dxa" w:w="1100"/>
            <w:tcMar>
              <w:top w:type="dxa" w:w="50"/>
              <w:left w:type="dxa" w:w="90"/>
              <w:bottom w:type="dxa" w:w="50"/>
              <w:right w:type="dxa" w:w="90"/>
            </w:tcMar>
            <w:vAlign w:val="center"/>
          </w:tcPr>
          <w:p>
            <w:pPr>
              <w:spacing w:after="0" w:line="240"/>
              <w:jc w:val="left"/>
            </w:pPr>
            <w:r>
              <w:rPr>
                <w:b w:val="false"/>
                <w:bCs w:val="false"/>
                <w:sz w:val="16"/>
                <w:szCs w:val="16"/>
              </w:rPr>
              <w:t xml:space="preserve">Long-haul</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4,618</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0.11704</w:t>
            </w:r>
          </w:p>
        </w:tc>
        <w:tc>
          <w:tcPr>
            <w:tcW w:type="dxa" w:w="1200"/>
            <w:tcMar>
              <w:top w:type="dxa" w:w="50"/>
              <w:left w:type="dxa" w:w="90"/>
              <w:bottom w:type="dxa" w:w="50"/>
              <w:right w:type="dxa" w:w="90"/>
            </w:tcMar>
            <w:vAlign w:val="center"/>
          </w:tcPr>
          <w:p>
            <w:pPr>
              <w:spacing w:after="0" w:line="240"/>
              <w:jc w:val="right"/>
            </w:pPr>
            <w:r>
              <w:rPr>
                <w:b w:val="false"/>
                <w:bCs w:val="false"/>
                <w:sz w:val="16"/>
                <w:szCs w:val="16"/>
              </w:rPr>
              <w:t xml:space="preserve">540</w:t>
            </w:r>
          </w:p>
        </w:tc>
      </w:tr>
    </w:tbl>
    <w:p>
      <w:pPr>
        <w:keepNext/>
        <w:spacing w:after="40" w:before="120"/>
        <w:jc w:val="center"/>
      </w:pPr>
      <w:r>
        <w:drawing>
          <wp:inline distT="0" distB="0" distL="0" distR="0">
            <wp:extent cx="58102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1752600"/>
                    </a:xfrm>
                    <a:prstGeom prst="rect">
                      <a:avLst/>
                    </a:prstGeom>
                  </pic:spPr>
                </pic:pic>
              </a:graphicData>
            </a:graphic>
          </wp:inline>
        </w:drawing>
      </w:r>
    </w:p>
    <w:p>
      <w:pPr>
        <w:spacing w:after="200" w:before="60"/>
        <w:jc w:val="center"/>
      </w:pPr>
      <w:r>
        <w:rPr>
          <w:b w:val="false"/>
          <w:bCs w:val="false"/>
          <w:i/>
          <w:iCs/>
          <w:color w:val="52514E"/>
          <w:sz w:val="17"/>
          <w:szCs w:val="17"/>
        </w:rPr>
        <w:t xml:space="preserve">Figure 7.2: The auditor's annual footprint: home energy is a small part</w:t>
      </w:r>
    </w:p>
    <w:p>
      <w:pPr>
        <w:spacing w:after="40" w:before="0" w:line="276"/>
        <w:jc w:val="both"/>
      </w:pPr>
      <w:r>
        <w:rPr>
          <w:b w:val="false"/>
          <w:bCs w:val="false"/>
        </w:rPr>
        <w:t xml:space="preserve">The auditor's total is about </w:t>
      </w:r>
      <w:r>
        <w:rPr>
          <w:b/>
          <w:bCs/>
        </w:rPr>
        <w:t xml:space="preserve">5.1 t </w:t>
      </w:r>
      <w:r>
        <w:rPr>
          <w:b/>
          <w:bCs/>
        </w:rPr>
        <w:t xml:space="preserve">CO</w:t>
      </w:r>
      <w:r>
        <w:rPr>
          <w:b/>
          <w:bCs/>
          <w:vertAlign w:val="subscript"/>
        </w:rPr>
        <w:t xml:space="preserve">2</w:t>
      </w:r>
      <w:r>
        <w:rPr>
          <w:b/>
          <w:bCs/>
        </w:rPr>
        <w:t xml:space="preserve">e/yr</w:t>
      </w:r>
      <w:r>
        <w:rPr>
          <w:b w:val="false"/>
          <w:bCs w:val="false"/>
        </w:rPr>
        <w:t xml:space="preserve">, 1.11 × Hong Kong's per-capita figure of 4.58 t [10]. That figure is a territorial inventory, which excludes international aviation and the emissions embodied in imported food, so the comparison is indicative only. The key insight is proportion:</w:t>
      </w:r>
    </w:p>
    <w:p>
      <w:pPr>
        <w:pStyle w:val="ListParagraph"/>
        <w:numPr>
          <w:ilvl w:val="0"/>
          <w:numId w:val="2"/>
        </w:numPr>
        <w:spacing w:after="60" w:line="264"/>
      </w:pPr>
      <w:r>
        <w:rPr>
          <w:b w:val="false"/>
          <w:bCs w:val="false"/>
        </w:rPr>
        <w:t xml:space="preserve">diet (41%) and flights (33%) outweigh the home's energy and water (9%);</w:t>
      </w:r>
    </w:p>
    <w:p>
      <w:pPr>
        <w:pStyle w:val="ListParagraph"/>
        <w:numPr>
          <w:ilvl w:val="0"/>
          <w:numId w:val="2"/>
        </w:numPr>
        <w:spacing w:after="60" w:line="264"/>
      </w:pPr>
      <w:r>
        <w:rPr>
          <w:b w:val="false"/>
          <w:bCs w:val="false"/>
        </w:rPr>
        <w:t xml:space="preserve">the same pattern of Scope 3 dominance is typical of corporate footprints.</w:t>
      </w:r>
    </w:p>
    <w:p>
      <w:pPr>
        <w:pStyle w:val="Heading1"/>
        <w:pageBreakBefore/>
      </w:pPr>
      <w:r>
        <w:rPr>
          <w:b w:val="false"/>
          <w:bCs w:val="false"/>
        </w:rPr>
        <w:t xml:space="preserve">8  Walk-through findings (EAC §7.4.5, §8.1(i))</w:t>
      </w:r>
    </w:p>
    <w:p>
      <w:pPr>
        <w:spacing w:after="40" w:before="0" w:line="276"/>
        <w:jc w:val="both"/>
      </w:pPr>
      <w:r>
        <w:rPr>
          <w:b w:val="false"/>
          <w:bCs w:val="false"/>
        </w:rPr>
        <w:t xml:space="preserve">The site inspection was structured around the four kinds of obvious saving opportunity listed in EAC §7.4.5:</w:t>
      </w:r>
    </w:p>
    <w:p>
      <w:pPr>
        <w:pStyle w:val="ListParagraph"/>
        <w:numPr>
          <w:ilvl w:val="0"/>
          <w:numId w:val="2"/>
        </w:numPr>
        <w:spacing w:after="60" w:line="264"/>
      </w:pPr>
      <w:r>
        <w:rPr>
          <w:b w:val="false"/>
          <w:bCs w:val="false"/>
        </w:rPr>
        <w:t xml:space="preserve">(a) maintenance condition;</w:t>
      </w:r>
    </w:p>
    <w:p>
      <w:pPr>
        <w:pStyle w:val="ListParagraph"/>
        <w:numPr>
          <w:ilvl w:val="0"/>
          <w:numId w:val="2"/>
        </w:numPr>
        <w:spacing w:after="60" w:line="264"/>
      </w:pPr>
      <w:r>
        <w:rPr>
          <w:b w:val="false"/>
          <w:bCs w:val="false"/>
        </w:rPr>
        <w:t xml:space="preserve">(b) excessive provision of temperature, light or flow;</w:t>
      </w:r>
    </w:p>
    <w:p>
      <w:pPr>
        <w:pStyle w:val="ListParagraph"/>
        <w:numPr>
          <w:ilvl w:val="0"/>
          <w:numId w:val="2"/>
        </w:numPr>
        <w:spacing w:after="60" w:line="264"/>
      </w:pPr>
      <w:r>
        <w:rPr>
          <w:b w:val="false"/>
          <w:bCs w:val="false"/>
        </w:rPr>
        <w:t xml:space="preserve">(c) occupant behaviour;</w:t>
      </w:r>
    </w:p>
    <w:p>
      <w:pPr>
        <w:pStyle w:val="ListParagraph"/>
        <w:numPr>
          <w:ilvl w:val="0"/>
          <w:numId w:val="2"/>
        </w:numPr>
        <w:spacing w:after="60" w:line="264"/>
      </w:pPr>
      <w:r>
        <w:rPr>
          <w:b w:val="false"/>
          <w:bCs w:val="false"/>
        </w:rPr>
        <w:t xml:space="preserve">(d) match of operating schedules to need.</w:t>
      </w:r>
    </w:p>
    <w:p>
      <w:pPr>
        <w:spacing w:after="120" w:before="40" w:line="276"/>
        <w:jc w:val="both"/>
      </w:pPr>
      <w:r>
        <w:rPr>
          <w:b w:val="false"/>
          <w:bCs w:val="false"/>
        </w:rPr>
        <w:t xml:space="preserve">It also covered the building characteristics listed in §7.3.1(k).</w:t>
      </w:r>
    </w:p>
    <w:p>
      <w:pPr>
        <w:keepNext/>
        <w:spacing w:after="80" w:before="160"/>
      </w:pPr>
      <w:r>
        <w:rPr>
          <w:b/>
          <w:bCs/>
          <w:color w:val="1F3864"/>
          <w:sz w:val="18"/>
          <w:szCs w:val="18"/>
        </w:rPr>
        <w:t xml:space="preserve">Table 8.1: Findings from the walk-through</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4000"/>
        <w:gridCol w:w="1250"/>
        <w:gridCol w:w="1700"/>
        <w:gridCol w:w="1902"/>
      </w:tblGrid>
      <w:tr>
        <w:trPr>
          <w:tblHeader/>
        </w:trPr>
        <w:tc>
          <w:tcPr>
            <w:tcW w:type="dxa" w:w="56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No.</w:t>
            </w:r>
          </w:p>
        </w:tc>
        <w:tc>
          <w:tcPr>
            <w:tcW w:type="dxa" w:w="40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Finding</w:t>
            </w:r>
          </w:p>
        </w:tc>
        <w:tc>
          <w:tcPr>
            <w:tcW w:type="dxa" w:w="125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EAC clause</w:t>
            </w:r>
          </w:p>
        </w:tc>
        <w:tc>
          <w:tcPr>
            <w:tcW w:type="dxa" w:w="17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Evidence</w:t>
            </w:r>
          </w:p>
        </w:tc>
        <w:tc>
          <w:tcPr>
            <w:tcW w:type="dxa" w:w="1902"/>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Leads to</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F1</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Dark deposits (dust/mould) on the AC discharge louvres; filter last cleaned 2 months ago</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7.4.5(a)</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 03b</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EMO-03, EMO-13</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F2</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AC set at 25 °C and run all night (12 h/day in hot months) while the occupants sleep</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7.4.5(b), (d)</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Questionnaire Q19-20</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EMO-01, EMO-02</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F3</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Washroom exhaust fan runs 24 h/day regardless of occupancy</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7.4.5(d)</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 08d, Q35</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EMO-09</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F4</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Kitchen AC (7 kW) left on for 8 h or more; no one is responsible for switching it off</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7.4.5(c), (d)</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 09f, Q46</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EMO-10</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F5</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Water dispenser keeps 10 L at 98 °C and an ice tank around the clock; SRO already schedules a weekly auto-clean</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7.4.6(a)</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 09b</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EMO-11</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F6</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Single glazing in a dark aluminium frame facing NW: late-afternoon solar gain in summer</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7.3.1(k)</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Photos 02a-02c</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EMO-03, EMO-17</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F7</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Lighting is all-LED; washroom lights are on occupancy sensors (good practice)</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7.4.1(e)</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Photos 05a, 08b</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EMO-04 only</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F8</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AC, refrigerators and kitchen AC are all Grade 1 labelled; operation, not equipment, drives energy use</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7.4.4(a)</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Photos 03a, 09g, 09i</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EMO-16 not viable</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F9</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24.4 kW instantaneous shower heater: no standing loss but very high peak demand</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7.4.4(a)</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Photos 08a, 08e</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EMO-15</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F10</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Shower flow and temperature are not displayed; heater dial setting not legible</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7.4.5(b)</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Photo 08a</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EMO-05, -06, -12</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F11</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No metering of non-AC loads, which limits measurement and verification</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7.5.7, 7.6.3</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EMO-14</w:t>
            </w:r>
          </w:p>
        </w:tc>
      </w:tr>
      <w:tr>
        <w:trPr>
          <w:cantSplit/>
        </w:trPr>
        <w:tc>
          <w:tcPr>
            <w:tcW w:type="dxa" w:w="560"/>
            <w:tcMar>
              <w:top w:type="dxa" w:w="50"/>
              <w:left w:type="dxa" w:w="90"/>
              <w:bottom w:type="dxa" w:w="50"/>
              <w:right w:type="dxa" w:w="90"/>
            </w:tcMar>
            <w:vAlign w:val="center"/>
          </w:tcPr>
          <w:p>
            <w:pPr>
              <w:spacing w:after="0" w:line="240"/>
              <w:jc w:val="left"/>
            </w:pPr>
            <w:r>
              <w:rPr>
                <w:b w:val="false"/>
                <w:bCs w:val="false"/>
                <w:sz w:val="15"/>
                <w:szCs w:val="15"/>
              </w:rPr>
              <w:t xml:space="preserve">F12</w:t>
            </w:r>
          </w:p>
        </w:tc>
        <w:tc>
          <w:tcPr>
            <w:tcW w:type="dxa" w:w="4000"/>
            <w:tcMar>
              <w:top w:type="dxa" w:w="50"/>
              <w:left w:type="dxa" w:w="90"/>
              <w:bottom w:type="dxa" w:w="50"/>
              <w:right w:type="dxa" w:w="90"/>
            </w:tcMar>
            <w:vAlign w:val="center"/>
          </w:tcPr>
          <w:p>
            <w:pPr>
              <w:spacing w:after="0" w:line="240"/>
              <w:jc w:val="left"/>
            </w:pPr>
            <w:r>
              <w:rPr>
                <w:b w:val="false"/>
                <w:bCs w:val="false"/>
                <w:sz w:val="15"/>
                <w:szCs w:val="15"/>
              </w:rPr>
              <w:t xml:space="preserve">Good habits already in place: devices unplugged overnight, paper recycled, filtered tap water instead of bottled water</w:t>
            </w:r>
          </w:p>
        </w:tc>
        <w:tc>
          <w:tcPr>
            <w:tcW w:type="dxa" w:w="1250"/>
            <w:tcMar>
              <w:top w:type="dxa" w:w="50"/>
              <w:left w:type="dxa" w:w="90"/>
              <w:bottom w:type="dxa" w:w="50"/>
              <w:right w:type="dxa" w:w="90"/>
            </w:tcMar>
            <w:vAlign w:val="center"/>
          </w:tcPr>
          <w:p>
            <w:pPr>
              <w:spacing w:after="0" w:line="240"/>
              <w:jc w:val="left"/>
            </w:pPr>
            <w:r>
              <w:rPr>
                <w:b w:val="false"/>
                <w:bCs w:val="false"/>
                <w:sz w:val="15"/>
                <w:szCs w:val="15"/>
              </w:rPr>
              <w:t xml:space="preserve">7.4.5(c)</w:t>
            </w:r>
          </w:p>
        </w:tc>
        <w:tc>
          <w:tcPr>
            <w:tcW w:type="dxa" w:w="1700"/>
            <w:tcMar>
              <w:top w:type="dxa" w:w="50"/>
              <w:left w:type="dxa" w:w="90"/>
              <w:bottom w:type="dxa" w:w="50"/>
              <w:right w:type="dxa" w:w="90"/>
            </w:tcMar>
            <w:vAlign w:val="center"/>
          </w:tcPr>
          <w:p>
            <w:pPr>
              <w:spacing w:after="0" w:line="240"/>
              <w:jc w:val="left"/>
            </w:pPr>
            <w:r>
              <w:rPr>
                <w:b w:val="false"/>
                <w:bCs w:val="false"/>
                <w:sz w:val="15"/>
                <w:szCs w:val="15"/>
              </w:rPr>
              <w:t xml:space="preserve">Questionnaire</w:t>
            </w:r>
          </w:p>
        </w:tc>
        <w:tc>
          <w:tcPr>
            <w:tcW w:type="dxa" w:w="1902"/>
            <w:tcMar>
              <w:top w:type="dxa" w:w="50"/>
              <w:left w:type="dxa" w:w="90"/>
              <w:bottom w:type="dxa" w:w="50"/>
              <w:right w:type="dxa" w:w="90"/>
            </w:tcMar>
            <w:vAlign w:val="center"/>
          </w:tcPr>
          <w:p>
            <w:pPr>
              <w:spacing w:after="0" w:line="240"/>
              <w:jc w:val="left"/>
            </w:pPr>
            <w:r>
              <w:rPr>
                <w:b w:val="false"/>
                <w:bCs w:val="false"/>
                <w:sz w:val="15"/>
                <w:szCs w:val="15"/>
              </w:rPr>
              <w:t xml:space="preserve">Maintain</w:t>
            </w:r>
          </w:p>
        </w:tc>
      </w:tr>
    </w:tbl>
    <w:p>
      <w:pPr>
        <w:spacing w:after="80"/>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3137"/>
              <w:gridCol w:w="3137"/>
              <w:gridCol w:w="3138"/>
            </w:tblGrid>
            <w:tr>
              <w:trPr>
                <w:cantSplit/>
              </w:trPr>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8764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76425" cy="140970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09f: kitchen AC (F4)</w:t>
                  </w:r>
                </w:p>
              </w:tc>
              <w:tc>
                <w:tcPr>
                  <w:tcW w:type="dxa" w:w="3137"/>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2858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285875" cy="171450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09b: dispenser at 98 °C (F5)</w:t>
                  </w:r>
                </w:p>
              </w:tc>
              <w:tc>
                <w:tcPr>
                  <w:tcW w:type="dxa" w:w="3138"/>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2858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285875" cy="171450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Photo 08c: washroom fan and light (F3)</w:t>
                  </w:r>
                </w:p>
              </w:tc>
            </w:tr>
          </w:tbl>
          <w:p>
            <w:pPr>
              <w:spacing w:after="200" w:before="60"/>
              <w:jc w:val="center"/>
            </w:pPr>
            <w:r>
              <w:rPr>
                <w:b w:val="false"/>
                <w:bCs w:val="false"/>
                <w:i/>
                <w:iCs/>
                <w:color w:val="52514E"/>
                <w:sz w:val="17"/>
                <w:szCs w:val="17"/>
              </w:rPr>
              <w:t xml:space="preserve">Figure 8.1: Evidence for findings F3-F5</w:t>
            </w:r>
          </w:p>
        </w:tc>
      </w:tr>
    </w:tbl>
    <w:p>
      <w:pPr>
        <w:pStyle w:val="Heading1"/>
        <w:pageBreakBefore/>
      </w:pPr>
      <w:r>
        <w:rPr>
          <w:b w:val="false"/>
          <w:bCs w:val="false"/>
        </w:rPr>
        <w:t xml:space="preserve">9  Energy Management Opportunities (EAC §6.2, §7.4-7.5)</w:t>
      </w:r>
    </w:p>
    <w:p>
      <w:pPr>
        <w:spacing w:after="40" w:before="0" w:line="276"/>
        <w:jc w:val="both"/>
      </w:pPr>
      <w:r>
        <w:rPr>
          <w:b w:val="false"/>
          <w:bCs w:val="false"/>
        </w:rPr>
        <w:t xml:space="preserve">Eighteen EMOs were identified and classified using the EAC categories [1]:</w:t>
      </w:r>
    </w:p>
    <w:p>
      <w:pPr>
        <w:pStyle w:val="ListParagraph"/>
        <w:numPr>
          <w:ilvl w:val="0"/>
          <w:numId w:val="2"/>
        </w:numPr>
        <w:spacing w:after="60" w:line="264"/>
      </w:pPr>
      <w:r>
        <w:rPr>
          <w:b/>
          <w:bCs/>
        </w:rPr>
        <w:t xml:space="preserve">Category I:</w:t>
      </w:r>
      <w:r>
        <w:rPr>
          <w:b w:val="false"/>
          <w:bCs w:val="false"/>
        </w:rPr>
        <w:t xml:space="preserve"> housekeeping with practically no cost;</w:t>
      </w:r>
    </w:p>
    <w:p>
      <w:pPr>
        <w:pStyle w:val="ListParagraph"/>
        <w:numPr>
          <w:ilvl w:val="0"/>
          <w:numId w:val="2"/>
        </w:numPr>
        <w:spacing w:after="60" w:line="264"/>
      </w:pPr>
      <w:r>
        <w:rPr>
          <w:b/>
          <w:bCs/>
        </w:rPr>
        <w:t xml:space="preserve">Category II:</w:t>
      </w:r>
      <w:r>
        <w:rPr>
          <w:b w:val="false"/>
          <w:bCs w:val="false"/>
        </w:rPr>
        <w:t xml:space="preserve"> operational changes with relatively low cost;</w:t>
      </w:r>
    </w:p>
    <w:p>
      <w:pPr>
        <w:pStyle w:val="ListParagraph"/>
        <w:numPr>
          <w:ilvl w:val="0"/>
          <w:numId w:val="2"/>
        </w:numPr>
        <w:spacing w:after="120" w:line="264"/>
      </w:pPr>
      <w:r>
        <w:rPr>
          <w:b/>
          <w:bCs/>
        </w:rPr>
        <w:t xml:space="preserve">Category III:</w:t>
      </w:r>
      <w:r>
        <w:rPr>
          <w:b w:val="false"/>
          <w:bCs w:val="false"/>
        </w:rPr>
        <w:t xml:space="preserve"> higher capital investment.</w:t>
      </w:r>
    </w:p>
    <w:p>
      <w:pPr>
        <w:spacing w:after="120" w:before="0" w:line="276"/>
        <w:jc w:val="both"/>
      </w:pPr>
      <w:r>
        <w:rPr>
          <w:b w:val="false"/>
          <w:bCs w:val="false"/>
        </w:rPr>
        <w:t xml:space="preserve">They are also typed as in EE-EAes Part 3: LG lighting, AC air-conditioning, EL electrical, LE lift/escalator, or others.</w:t>
      </w:r>
    </w:p>
    <w:p>
      <w:pPr>
        <w:spacing w:after="120" w:before="0" w:line="276"/>
        <w:jc w:val="both"/>
      </w:pPr>
      <w:r>
        <w:rPr>
          <w:b w:val="false"/>
          <w:bCs w:val="false"/>
        </w:rPr>
        <w:t xml:space="preserve">Savings are shown as the household's share. For hall-level measures, the facility-level savings and paybacks are in the workbook's EMO_Register sheet. Savings are priced at HK$1.406/kWh and converted to </w:t>
      </w:r>
      <w:r>
        <w:rPr>
          <w:b w:val="false"/>
          <w:bCs w:val="false"/>
        </w:rPr>
        <w:t xml:space="preserve">CO</w:t>
      </w:r>
      <w:r>
        <w:rPr>
          <w:b w:val="false"/>
          <w:bCs w:val="false"/>
          <w:vertAlign w:val="subscript"/>
        </w:rPr>
        <w:t xml:space="preserve">2</w:t>
      </w:r>
      <w:r>
        <w:rPr>
          <w:b w:val="false"/>
          <w:bCs w:val="false"/>
        </w:rPr>
        <w:t xml:space="preserve">e with the CLP 2025 factor. Capital costs are indicative and should be confirmed by quotation.</w:t>
      </w:r>
    </w:p>
    <w:p>
      <w:pPr>
        <w:keepNext/>
        <w:spacing w:after="80" w:before="160"/>
      </w:pPr>
      <w:r>
        <w:rPr>
          <w:b/>
          <w:bCs/>
          <w:color w:val="1F3864"/>
          <w:sz w:val="18"/>
          <w:szCs w:val="18"/>
        </w:rPr>
        <w:t xml:space="preserve">Table 9.1: EMO register (household share of savings)</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760"/>
        <w:gridCol w:w="500"/>
        <w:gridCol w:w="640"/>
        <w:gridCol w:w="3220"/>
        <w:gridCol w:w="760"/>
        <w:gridCol w:w="760"/>
        <w:gridCol w:w="800"/>
        <w:gridCol w:w="1000"/>
        <w:gridCol w:w="972"/>
      </w:tblGrid>
      <w:tr>
        <w:trPr>
          <w:tblHeader/>
        </w:trPr>
        <w:tc>
          <w:tcPr>
            <w:tcW w:type="dxa" w:w="760"/>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Ref</w:t>
            </w:r>
          </w:p>
        </w:tc>
        <w:tc>
          <w:tcPr>
            <w:tcW w:type="dxa" w:w="500"/>
            <w:shd w:fill="DCE6F0" w:color="auto" w:val="clear"/>
            <w:tcMar>
              <w:top w:type="dxa" w:w="50"/>
              <w:left w:type="dxa" w:w="90"/>
              <w:bottom w:type="dxa" w:w="50"/>
              <w:right w:type="dxa" w:w="90"/>
            </w:tcMar>
            <w:vAlign w:val="center"/>
          </w:tcPr>
          <w:p>
            <w:pPr>
              <w:spacing w:after="0" w:line="240"/>
              <w:jc w:val="center"/>
            </w:pPr>
            <w:r>
              <w:rPr>
                <w:b/>
                <w:bCs/>
                <w:color w:val="1F3864"/>
                <w:sz w:val="14"/>
                <w:szCs w:val="14"/>
              </w:rPr>
              <w:t xml:space="preserve">Cat.</w:t>
            </w:r>
          </w:p>
        </w:tc>
        <w:tc>
          <w:tcPr>
            <w:tcW w:type="dxa" w:w="640"/>
            <w:shd w:fill="DCE6F0" w:color="auto" w:val="clear"/>
            <w:tcMar>
              <w:top w:type="dxa" w:w="50"/>
              <w:left w:type="dxa" w:w="90"/>
              <w:bottom w:type="dxa" w:w="50"/>
              <w:right w:type="dxa" w:w="90"/>
            </w:tcMar>
            <w:vAlign w:val="center"/>
          </w:tcPr>
          <w:p>
            <w:pPr>
              <w:spacing w:after="0" w:line="240"/>
              <w:jc w:val="center"/>
            </w:pPr>
            <w:r>
              <w:rPr>
                <w:b/>
                <w:bCs/>
                <w:color w:val="1F3864"/>
                <w:sz w:val="14"/>
                <w:szCs w:val="14"/>
              </w:rPr>
              <w:t xml:space="preserve">Type</w:t>
            </w:r>
          </w:p>
        </w:tc>
        <w:tc>
          <w:tcPr>
            <w:tcW w:type="dxa" w:w="3220"/>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Energy Management Opportunity</w:t>
            </w:r>
          </w:p>
        </w:tc>
        <w:tc>
          <w:tcPr>
            <w:tcW w:type="dxa" w:w="760"/>
            <w:shd w:fill="DCE6F0" w:color="auto" w:val="clear"/>
            <w:tcMar>
              <w:top w:type="dxa" w:w="50"/>
              <w:left w:type="dxa" w:w="90"/>
              <w:bottom w:type="dxa" w:w="50"/>
              <w:right w:type="dxa" w:w="90"/>
            </w:tcMar>
            <w:vAlign w:val="center"/>
          </w:tcPr>
          <w:p>
            <w:pPr>
              <w:spacing w:after="0" w:line="240"/>
              <w:jc w:val="right"/>
            </w:pPr>
            <w:r>
              <w:rPr>
                <w:b/>
                <w:bCs/>
                <w:color w:val="1F3864"/>
                <w:sz w:val="14"/>
                <w:szCs w:val="14"/>
              </w:rPr>
              <w:t xml:space="preserve">kWh/yr</w:t>
            </w:r>
          </w:p>
        </w:tc>
        <w:tc>
          <w:tcPr>
            <w:tcW w:type="dxa" w:w="760"/>
            <w:shd w:fill="DCE6F0" w:color="auto" w:val="clear"/>
            <w:tcMar>
              <w:top w:type="dxa" w:w="50"/>
              <w:left w:type="dxa" w:w="90"/>
              <w:bottom w:type="dxa" w:w="50"/>
              <w:right w:type="dxa" w:w="90"/>
            </w:tcMar>
            <w:vAlign w:val="center"/>
          </w:tcPr>
          <w:p>
            <w:pPr>
              <w:spacing w:after="0" w:line="240"/>
              <w:jc w:val="right"/>
            </w:pPr>
            <w:r>
              <w:rPr>
                <w:b/>
                <w:bCs/>
                <w:color w:val="1F3864"/>
                <w:sz w:val="14"/>
                <w:szCs w:val="14"/>
              </w:rPr>
              <w:t xml:space="preserve">HK$/yr</w:t>
            </w:r>
          </w:p>
        </w:tc>
        <w:tc>
          <w:tcPr>
            <w:tcW w:type="dxa" w:w="800"/>
            <w:shd w:fill="DCE6F0" w:color="auto" w:val="clear"/>
            <w:tcMar>
              <w:top w:type="dxa" w:w="50"/>
              <w:left w:type="dxa" w:w="90"/>
              <w:bottom w:type="dxa" w:w="50"/>
              <w:right w:type="dxa" w:w="90"/>
            </w:tcMar>
            <w:vAlign w:val="center"/>
          </w:tcPr>
          <w:p>
            <w:pPr>
              <w:spacing w:after="0" w:line="240"/>
              <w:jc w:val="right"/>
            </w:pPr>
            <w:r>
              <w:rPr>
                <w:b/>
                <w:bCs/>
                <w:color w:val="1F3864"/>
                <w:sz w:val="14"/>
                <w:szCs w:val="14"/>
              </w:rPr>
              <w:t xml:space="preserve">Cost HK$</w:t>
            </w:r>
          </w:p>
        </w:tc>
        <w:tc>
          <w:tcPr>
            <w:tcW w:type="dxa" w:w="1000"/>
            <w:shd w:fill="DCE6F0" w:color="auto" w:val="clear"/>
            <w:tcMar>
              <w:top w:type="dxa" w:w="50"/>
              <w:left w:type="dxa" w:w="90"/>
              <w:bottom w:type="dxa" w:w="50"/>
              <w:right w:type="dxa" w:w="90"/>
            </w:tcMar>
            <w:vAlign w:val="center"/>
          </w:tcPr>
          <w:p>
            <w:pPr>
              <w:spacing w:after="0" w:line="240"/>
              <w:jc w:val="right"/>
            </w:pPr>
            <w:r>
              <w:rPr>
                <w:b/>
                <w:bCs/>
                <w:color w:val="1F3864"/>
                <w:sz w:val="14"/>
                <w:szCs w:val="14"/>
              </w:rPr>
              <w:t xml:space="preserve">Payback (yr)</w:t>
            </w:r>
          </w:p>
        </w:tc>
        <w:tc>
          <w:tcPr>
            <w:tcW w:type="dxa" w:w="972"/>
            <w:shd w:fill="DCE6F0" w:color="auto" w:val="clear"/>
            <w:tcMar>
              <w:top w:type="dxa" w:w="50"/>
              <w:left w:type="dxa" w:w="90"/>
              <w:bottom w:type="dxa" w:w="50"/>
              <w:right w:type="dxa" w:w="90"/>
            </w:tcMar>
            <w:vAlign w:val="center"/>
          </w:tcPr>
          <w:p>
            <w:pPr>
              <w:spacing w:after="0" w:line="240"/>
              <w:jc w:val="right"/>
            </w:pPr>
            <w:r>
              <w:rPr>
                <w:b/>
                <w:bCs/>
                <w:color w:val="1F3864"/>
                <w:sz w:val="14"/>
                <w:szCs w:val="14"/>
              </w:rPr>
              <w:t xml:space="preserve">kg </w:t>
            </w:r>
            <w:r>
              <w:rPr>
                <w:b/>
                <w:bCs/>
                <w:color w:val="1F3864"/>
                <w:sz w:val="14"/>
                <w:szCs w:val="14"/>
              </w:rPr>
              <w:t xml:space="preserve">CO</w:t>
            </w:r>
            <w:r>
              <w:rPr>
                <w:b/>
                <w:bCs/>
                <w:color w:val="1F3864"/>
                <w:sz w:val="14"/>
                <w:szCs w:val="14"/>
                <w:vertAlign w:val="subscript"/>
              </w:rPr>
              <w:t xml:space="preserve">2</w:t>
            </w:r>
            <w:r>
              <w:rPr>
                <w:b/>
                <w:bCs/>
                <w:color w:val="1F3864"/>
                <w:sz w:val="14"/>
                <w:szCs w:val="14"/>
              </w:rPr>
              <w:t xml:space="preserve">e/yr</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EMO-01</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AC</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Raise the AC set-point from 25 °C to 26 °C and keep the 20 W desk fan running for air movement</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24</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34</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8</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EMO-02</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AC</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Use the AC's built-in timer to switch off 2 h before waking in hot months (12 to 10 h/day)</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100</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140</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34</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EMO-03</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AC</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Clean the AC filter fortnightly in summer, wipe the soiled louvres, close the curtain against late-afternoon NW sun</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41</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57</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14</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EMO-04</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LG</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Use the desk task lights instead of both ceiling battens for 3 of the 6 lit hours</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44</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62</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15</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EMO-05</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Others</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Shorten showers from 5 to 4 minutes</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127</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178</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43</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EMO-06</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Others</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Lower the delivered shower temperature from 40 °C to 38 °C (turn the heater dial down)</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77</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108</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26</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EMO-07</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EL</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Laptop power management: lower brightness, sleep after 10 min idle, battery-saver mode</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28</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40</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10</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EMO-08</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Others</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Cook with lids, match pan to the induction zone, batch-cook two meals per session</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62</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88</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21</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EMO-09</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AC</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Washroom exhaust fan: replace 24 h running with an occupancy / humidistat run-on control (~8 h/day)</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88</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123</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800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3.2</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30</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EMO-10</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AC</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Kitchen AC: 7-day timer + occupancy interlock, set-point locked at 25.5 °C (8 to 5 h/day hot, 4 to 2 h/day cool)</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33</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46</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1,000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1.4</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11</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EMO-11</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Others</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Water dispenser: enable night set-back / timer on hot and ice tanks (00:00-06:00)</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9</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12</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200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1.0</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3</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EMO-12</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Others</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Fit a WELS Grade-1 low-flow showerhead (9 to 7 L/min) in the shared washroom</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141</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198</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250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0.6</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48</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EMO-13</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AC</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Annual professional clean of the window-AC coil and louvres (heavy soiling seen in photo 03b)</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24</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34</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400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11.7</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8</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EMO-14</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EL</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Buy a plug-in power meter (about HK$120) to measure the laptop, fan and AC and verify savings (EAC §7.6.3)</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120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n/a</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EMO-15</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Others</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Replace 24.4 kW instantaneous shower heaters with central air-source heat-pump water heating (COP about 3.5) and storage</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455</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640</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20,000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15.6</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155</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EMO-16</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AC</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Replace the Grade-1 window AC (CSPF 4.66) with a best-in-class split unit (CSPF about 7.5)</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307</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431</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9,000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20.9</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104</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EMO-17</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AC</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Solar-control film on the NW single glazing (1.55 m²)</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16</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23</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800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35.1</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6</w:t>
            </w:r>
          </w:p>
        </w:tc>
      </w:tr>
      <w:tr>
        <w:trPr>
          <w:cantSplit/>
        </w:trPr>
        <w:tc>
          <w:tcPr>
            <w:tcW w:type="dxa" w:w="760"/>
            <w:tcMar>
              <w:top w:type="dxa" w:w="50"/>
              <w:left w:type="dxa" w:w="90"/>
              <w:bottom w:type="dxa" w:w="50"/>
              <w:right w:type="dxa" w:w="90"/>
            </w:tcMar>
            <w:vAlign w:val="center"/>
          </w:tcPr>
          <w:p>
            <w:pPr>
              <w:spacing w:after="0" w:line="240"/>
              <w:jc w:val="left"/>
            </w:pPr>
            <w:r>
              <w:rPr>
                <w:b w:val="false"/>
                <w:bCs w:val="false"/>
                <w:sz w:val="14"/>
                <w:szCs w:val="14"/>
              </w:rPr>
              <w:t xml:space="preserve">EMO-18</w:t>
            </w:r>
          </w:p>
        </w:tc>
        <w:tc>
          <w:tcPr>
            <w:tcW w:type="dxa" w:w="500"/>
            <w:tcMar>
              <w:top w:type="dxa" w:w="50"/>
              <w:left w:type="dxa" w:w="90"/>
              <w:bottom w:type="dxa" w:w="50"/>
              <w:right w:type="dxa" w:w="90"/>
            </w:tcMar>
            <w:vAlign w:val="center"/>
          </w:tcPr>
          <w:p>
            <w:pPr>
              <w:spacing w:after="0" w:line="240"/>
              <w:jc w:val="center"/>
            </w:pPr>
            <w:r>
              <w:rPr>
                <w:b w:val="false"/>
                <w:bCs w:val="false"/>
                <w:sz w:val="14"/>
                <w:szCs w:val="14"/>
              </w:rPr>
              <w:t xml:space="preserve">III</w:t>
            </w:r>
          </w:p>
        </w:tc>
        <w:tc>
          <w:tcPr>
            <w:tcW w:type="dxa" w:w="640"/>
            <w:tcMar>
              <w:top w:type="dxa" w:w="50"/>
              <w:left w:type="dxa" w:w="90"/>
              <w:bottom w:type="dxa" w:w="50"/>
              <w:right w:type="dxa" w:w="90"/>
            </w:tcMar>
            <w:vAlign w:val="center"/>
          </w:tcPr>
          <w:p>
            <w:pPr>
              <w:spacing w:after="0" w:line="240"/>
              <w:jc w:val="center"/>
            </w:pPr>
            <w:r>
              <w:rPr>
                <w:b w:val="false"/>
                <w:bCs w:val="false"/>
                <w:sz w:val="14"/>
                <w:szCs w:val="14"/>
              </w:rPr>
              <w:t xml:space="preserve">Others</w:t>
            </w:r>
          </w:p>
        </w:tc>
        <w:tc>
          <w:tcPr>
            <w:tcW w:type="dxa" w:w="3220"/>
            <w:tcMar>
              <w:top w:type="dxa" w:w="50"/>
              <w:left w:type="dxa" w:w="90"/>
              <w:bottom w:type="dxa" w:w="50"/>
              <w:right w:type="dxa" w:w="90"/>
            </w:tcMar>
            <w:vAlign w:val="center"/>
          </w:tcPr>
          <w:p>
            <w:pPr>
              <w:spacing w:after="0" w:line="240"/>
              <w:jc w:val="left"/>
            </w:pPr>
            <w:r>
              <w:rPr>
                <w:b w:val="false"/>
                <w:bCs w:val="false"/>
                <w:sz w:val="14"/>
                <w:szCs w:val="14"/>
              </w:rPr>
              <w:t xml:space="preserve">Expand rooftop solar PV under the CLP Feed-in Tariff (the village already has 110 panels)</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w:t>
            </w:r>
          </w:p>
        </w:tc>
        <w:tc>
          <w:tcPr>
            <w:tcW w:type="dxa" w:w="760"/>
            <w:tcMar>
              <w:top w:type="dxa" w:w="50"/>
              <w:left w:type="dxa" w:w="90"/>
              <w:bottom w:type="dxa" w:w="50"/>
              <w:right w:type="dxa" w:w="90"/>
            </w:tcMar>
            <w:vAlign w:val="center"/>
          </w:tcPr>
          <w:p>
            <w:pPr>
              <w:spacing w:after="0" w:line="240"/>
              <w:jc w:val="right"/>
            </w:pPr>
            <w:r>
              <w:rPr>
                <w:b w:val="false"/>
                <w:bCs w:val="false"/>
                <w:sz w:val="14"/>
                <w:szCs w:val="14"/>
              </w:rPr>
              <w:t xml:space="preserve">-</w:t>
            </w:r>
          </w:p>
        </w:tc>
        <w:tc>
          <w:tcPr>
            <w:tcW w:type="dxa" w:w="800"/>
            <w:tcMar>
              <w:top w:type="dxa" w:w="50"/>
              <w:left w:type="dxa" w:w="90"/>
              <w:bottom w:type="dxa" w:w="50"/>
              <w:right w:type="dxa" w:w="90"/>
            </w:tcMar>
            <w:vAlign w:val="center"/>
          </w:tcPr>
          <w:p>
            <w:pPr>
              <w:spacing w:after="0" w:line="240"/>
              <w:jc w:val="right"/>
            </w:pPr>
            <w:r>
              <w:rPr>
                <w:b w:val="false"/>
                <w:bCs w:val="false"/>
                <w:sz w:val="14"/>
                <w:szCs w:val="14"/>
              </w:rPr>
              <w:t xml:space="preserve">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Immediate</w:t>
            </w:r>
          </w:p>
        </w:tc>
        <w:tc>
          <w:tcPr>
            <w:tcW w:type="dxa" w:w="972"/>
            <w:tcMar>
              <w:top w:type="dxa" w:w="50"/>
              <w:left w:type="dxa" w:w="90"/>
              <w:bottom w:type="dxa" w:w="50"/>
              <w:right w:type="dxa" w:w="90"/>
            </w:tcMar>
            <w:vAlign w:val="center"/>
          </w:tcPr>
          <w:p>
            <w:pPr>
              <w:spacing w:after="0" w:line="240"/>
              <w:jc w:val="right"/>
            </w:pPr>
            <w:r>
              <w:rPr>
                <w:b w:val="false"/>
                <w:bCs w:val="false"/>
                <w:sz w:val="14"/>
                <w:szCs w:val="14"/>
              </w:rPr>
              <w:t xml:space="preserve">-</w:t>
            </w:r>
          </w:p>
        </w:tc>
      </w:tr>
    </w:tbl>
    <w:p>
      <w:pPr>
        <w:pStyle w:val="Heading2"/>
      </w:pPr>
      <w:r>
        <w:rPr>
          <w:b w:val="false"/>
          <w:bCs w:val="false"/>
        </w:rPr>
        <w:t xml:space="preserve">9.1  Category I - housekeeping (no cost)</w:t>
      </w:r>
    </w:p>
    <w:p>
      <w:pPr>
        <w:spacing w:after="80" w:before="0" w:line="276"/>
        <w:jc w:val="both"/>
      </w:pPr>
      <w:r>
        <w:rPr>
          <w:b/>
          <w:bCs/>
        </w:rPr>
        <w:t xml:space="preserve">EMO-01 Set-point 26 °C with fan</w:t>
      </w:r>
      <w:r>
        <w:rPr>
          <w:b w:val="false"/>
          <w:bCs w:val="false"/>
        </w:rPr>
        <w:t xml:space="preserve"> - Each 1 °C rise saves about 3% of AC electricity [14]. Hong Kong's government guideline for offices is 25.5 °C [2], [14]. With the 20 W desk fan raising air speed, 26 °C remains comfortable (the elevated-air-speed principle of ASHRAE 55). Saving 24 kWh/yr.</w:t>
      </w:r>
    </w:p>
    <w:p>
      <w:pPr>
        <w:spacing w:after="80" w:before="0" w:line="276"/>
        <w:jc w:val="both"/>
      </w:pPr>
      <w:r>
        <w:rPr>
          <w:b/>
          <w:bCs/>
        </w:rPr>
        <w:t xml:space="preserve">EMO-02 Sleep timer</w:t>
      </w:r>
      <w:r>
        <w:rPr>
          <w:b w:val="false"/>
          <w:bCs w:val="false"/>
        </w:rPr>
        <w:t xml:space="preserve"> - The AC's built-in timer switches it off 2 h before waking in hot months. The room stays cool from the overnight run, and the fan continues. Saving 100 kWh/yr (2 of 12 hot-season hours).</w:t>
      </w:r>
    </w:p>
    <w:p>
      <w:pPr>
        <w:spacing w:after="80" w:before="0" w:line="276"/>
        <w:jc w:val="both"/>
      </w:pPr>
      <w:r>
        <w:rPr>
          <w:b/>
          <w:bCs/>
        </w:rPr>
        <w:t xml:space="preserve">EMO-03 Filter, louvres and curtain</w:t>
      </w:r>
      <w:r>
        <w:rPr>
          <w:b w:val="false"/>
          <w:bCs w:val="false"/>
        </w:rPr>
        <w:t xml:space="preserve"> - Clean the washable filter every two weeks during the cooling season, as the Guidelines' energy-saving tips advise [2]. Wipe the louvres and close the curtain against late-afternoon NW sun. The saving is set at 5%. This is the low end of the US DOE's 5-15% for replacing a clogged filter [32], and consistent with LBNL's finding that typical coil fouling degrades efficiency by less than 5% [26]. Saving 41 kWh/yr; it also improves indoor air quality.</w:t>
      </w:r>
    </w:p>
    <w:p>
      <w:pPr>
        <w:spacing w:after="80" w:before="0" w:line="276"/>
        <w:jc w:val="both"/>
      </w:pPr>
      <w:r>
        <w:rPr>
          <w:b/>
          <w:bCs/>
        </w:rPr>
        <w:t xml:space="preserve">EMO-04 Task lighting</w:t>
      </w:r>
      <w:r>
        <w:rPr>
          <w:b w:val="false"/>
          <w:bCs w:val="false"/>
        </w:rPr>
        <w:t xml:space="preserve"> - Use the under-shelf desk lights instead of both ceiling battens for 3 of the 6 lit hours. Saving 44 kWh/yr.</w:t>
      </w:r>
    </w:p>
    <w:p>
      <w:pPr>
        <w:spacing w:after="80" w:before="0" w:line="276"/>
        <w:jc w:val="both"/>
      </w:pPr>
      <w:r>
        <w:rPr>
          <w:b/>
          <w:bCs/>
        </w:rPr>
        <w:t xml:space="preserve">EMO-05 4-minute showers</w:t>
      </w:r>
      <w:r>
        <w:rPr>
          <w:b w:val="false"/>
          <w:bCs w:val="false"/>
        </w:rPr>
        <w:t xml:space="preserve"> - Saves 20% of shower heating energy and water: 127 kWh/yr for the household, plus about 6.6 m³ of water.</w:t>
      </w:r>
    </w:p>
    <w:p>
      <w:pPr>
        <w:spacing w:after="80" w:before="0" w:line="276"/>
        <w:jc w:val="both"/>
      </w:pPr>
      <w:r>
        <w:rPr>
          <w:b/>
          <w:bCs/>
        </w:rPr>
        <w:t xml:space="preserve">EMO-06 38 °C instead of 40 °C</w:t>
      </w:r>
      <w:r>
        <w:rPr>
          <w:b w:val="false"/>
          <w:bCs w:val="false"/>
        </w:rPr>
        <w:t xml:space="preserve"> - Turn the heater dial down rather than mixing in cold water. Saving 77 kWh/yr, which is 2 K of the 16.5 K average temperature rise.</w:t>
      </w:r>
    </w:p>
    <w:p>
      <w:pPr>
        <w:spacing w:after="80" w:before="0" w:line="276"/>
        <w:jc w:val="both"/>
      </w:pPr>
      <w:r>
        <w:rPr>
          <w:b/>
          <w:bCs/>
        </w:rPr>
        <w:t xml:space="preserve">EMO-07 Laptop power management</w:t>
      </w:r>
      <w:r>
        <w:rPr>
          <w:b w:val="false"/>
          <w:bCs w:val="false"/>
        </w:rPr>
        <w:t xml:space="preserve"> - Lower screen brightness, sleep after 10 minutes idle and use battery-saver mode. About 15% of laptop energy: 28 kWh/yr.</w:t>
      </w:r>
    </w:p>
    <w:p>
      <w:pPr>
        <w:spacing w:after="80" w:before="0" w:line="276"/>
        <w:jc w:val="both"/>
      </w:pPr>
      <w:r>
        <w:rPr>
          <w:b/>
          <w:bCs/>
        </w:rPr>
        <w:t xml:space="preserve">EMO-08 Efficient cooking</w:t>
      </w:r>
      <w:r>
        <w:rPr>
          <w:b w:val="false"/>
          <w:bCs w:val="false"/>
        </w:rPr>
        <w:t xml:space="preserve"> - Use lids, match the pan to the induction zone and batch-cook two meals per session. About 20% of cooking energy: 62 kWh/yr.</w:t>
      </w:r>
    </w:p>
    <w:p>
      <w:pPr>
        <w:spacing w:after="120" w:before="0" w:line="276"/>
        <w:jc w:val="both"/>
      </w:pPr>
      <w:r>
        <w:rPr>
          <w:b/>
          <w:bCs/>
        </w:rPr>
        <w:t xml:space="preserve">The Category I package saves about 503 kWh/yr (19.5% of household electricity) and 171 kg </w:t>
      </w:r>
      <w:r>
        <w:rPr>
          <w:b/>
          <w:bCs/>
        </w:rPr>
        <w:t xml:space="preserve">CO</w:t>
      </w:r>
      <w:r>
        <w:rPr>
          <w:b/>
          <w:bCs/>
          <w:vertAlign w:val="subscript"/>
        </w:rPr>
        <w:t xml:space="preserve">2</w:t>
      </w:r>
      <w:r>
        <w:rPr>
          <w:b/>
          <w:bCs/>
        </w:rPr>
        <w:t xml:space="preserve">e/yr at no cost.</w:t>
      </w:r>
      <w:r>
        <w:rPr>
          <w:b w:val="false"/>
          <w:bCs w:val="false"/>
        </w:rPr>
        <w:t xml:space="preserve"> The AC measures (EMO-01 to -03) cut the occupants' own Octopus spend by about HK$231 a year, 20% of it. The other Category I measures mainly reduce energy paid for by the hall: a classic split incentive.</w:t>
      </w:r>
    </w:p>
    <w:p>
      <w:pPr>
        <w:pStyle w:val="Heading2"/>
      </w:pPr>
      <w:r>
        <w:rPr>
          <w:b w:val="false"/>
          <w:bCs w:val="false"/>
        </w:rPr>
        <w:t xml:space="preserve">9.2  Category II - low-cost operational changes</w:t>
      </w:r>
    </w:p>
    <w:p>
      <w:pPr>
        <w:spacing w:after="80" w:before="0" w:line="276"/>
        <w:jc w:val="both"/>
      </w:pPr>
      <w:r>
        <w:rPr>
          <w:b/>
          <w:bCs/>
        </w:rPr>
        <w:t xml:space="preserve">EMO-09 Exhaust-fan control (hall)</w:t>
      </w:r>
      <w:r>
        <w:rPr>
          <w:b w:val="false"/>
          <w:bCs w:val="false"/>
        </w:rPr>
        <w:t xml:space="preserve"> - Replace 24 h running with an occupancy sensor or humidistat with a run-on timer, giving about 8 h a day. Facility saving 175 kWh/yr per washroom (household share 88). Indicative cost HK$800; payback 3.2 years. Hong Kong's humidity makes run-on control essential to avoid condensation.</w:t>
      </w:r>
    </w:p>
    <w:p>
      <w:pPr>
        <w:spacing w:after="80" w:before="0" w:line="276"/>
        <w:jc w:val="both"/>
      </w:pPr>
      <w:r>
        <w:rPr>
          <w:b/>
          <w:bCs/>
        </w:rPr>
        <w:t xml:space="preserve">EMO-10 Kitchen-AC timer and set-point lock (hall)</w:t>
      </w:r>
      <w:r>
        <w:rPr>
          <w:b w:val="false"/>
          <w:bCs w:val="false"/>
        </w:rPr>
        <w:t xml:space="preserve"> - A 7-day timer with an occupancy interlock, and a set-point fixed at 25.5 °C. Cutting run-hours from 8 to 5 h/day (hot season) and from 4 to 2 h/day (cool season) saves 524 kWh/yr per kitchen. Payback 1.4 years.</w:t>
      </w:r>
    </w:p>
    <w:p>
      <w:pPr>
        <w:spacing w:after="80" w:before="0" w:line="276"/>
        <w:jc w:val="both"/>
      </w:pPr>
      <w:r>
        <w:rPr>
          <w:b/>
          <w:bCs/>
        </w:rPr>
        <w:t xml:space="preserve">EMO-11 Dispenser night set-back (hall)</w:t>
      </w:r>
      <w:r>
        <w:rPr>
          <w:b w:val="false"/>
          <w:bCs w:val="false"/>
        </w:rPr>
        <w:t xml:space="preserve"> - Use the dispenser's timer to switch off the hot and ice tanks from 00:00 to 06:00. The SRO already suspends the machines weekly for auto-cleaning (Photo 09b), so overnight scheduling is feasible. Saving 137 kWh/yr per kitchen.</w:t>
      </w:r>
    </w:p>
    <w:p>
      <w:pPr>
        <w:spacing w:after="80" w:before="0" w:line="276"/>
        <w:jc w:val="both"/>
      </w:pPr>
      <w:r>
        <w:rPr>
          <w:b/>
          <w:bCs/>
        </w:rPr>
        <w:t xml:space="preserve">EMO-12 Grade-1 showerheads (hall)</w:t>
      </w:r>
      <w:r>
        <w:rPr>
          <w:b w:val="false"/>
          <w:bCs w:val="false"/>
        </w:rPr>
        <w:t xml:space="preserve"> - A WELS Grade-1 head at about 7 L/min instead of the assumed 9 L/min cuts energy and water by 22% for all four users. That is 282 kWh/yr per washroom; payback 0.6 years, the best of all the EMOs.</w:t>
      </w:r>
    </w:p>
    <w:p>
      <w:pPr>
        <w:spacing w:after="80" w:before="0" w:line="276"/>
        <w:jc w:val="both"/>
      </w:pPr>
      <w:r>
        <w:rPr>
          <w:b/>
          <w:bCs/>
        </w:rPr>
        <w:t xml:space="preserve">EMO-13 Annual AC coil clean (hall)</w:t>
      </w:r>
      <w:r>
        <w:rPr>
          <w:b w:val="false"/>
          <w:bCs w:val="false"/>
        </w:rPr>
        <w:t xml:space="preserve"> - Saves about 3% of AC energy (24 kWh/yr). The energy payback of 11.7 years exceeds the one-year service interval, so this measure is justified by hygiene (Finding F1) and equipment life rather than energy. It should be bundled with routine maintenance, as EAC §7.6.4 suggests.</w:t>
      </w:r>
    </w:p>
    <w:p>
      <w:pPr>
        <w:spacing w:after="80" w:before="0" w:line="276"/>
        <w:jc w:val="both"/>
      </w:pPr>
      <w:r>
        <w:rPr>
          <w:b/>
          <w:bCs/>
        </w:rPr>
        <w:t xml:space="preserve">EMO-14 Plug-in power meter (occupants)</w:t>
      </w:r>
      <w:r>
        <w:rPr>
          <w:b w:val="false"/>
          <w:bCs w:val="false"/>
        </w:rPr>
        <w:t xml:space="preserve"> - About HK$120, within the stated HK$200 budget. It measures the laptop, fan and AC directly, which turns the assumed values into measured ones and provides M&amp;V (EAC §7.5.7, §7.6.3). No saving is claimed.</w:t>
      </w:r>
    </w:p>
    <w:p>
      <w:pPr>
        <w:pStyle w:val="Heading2"/>
      </w:pPr>
      <w:r>
        <w:rPr>
          <w:b w:val="false"/>
          <w:bCs w:val="false"/>
        </w:rPr>
        <w:t xml:space="preserve">9.3  Category III - capital measures and cost-benefit with service life (EAC §7.5.4)</w:t>
      </w:r>
    </w:p>
    <w:p>
      <w:pPr>
        <w:spacing w:after="80" w:before="0" w:line="276"/>
        <w:jc w:val="both"/>
      </w:pPr>
      <w:r>
        <w:rPr>
          <w:b/>
          <w:bCs/>
        </w:rPr>
        <w:t xml:space="preserve">EMO-15 Heat-pump water heating (CityU)</w:t>
      </w:r>
      <w:r>
        <w:rPr>
          <w:b w:val="false"/>
          <w:bCs w:val="false"/>
        </w:rPr>
        <w:t xml:space="preserve"> - A central air-source heat pump (COP about 3.5) with storage would replace the 24.4 kW instantaneous heaters. It saves about 72% of shower electricity (910 kWh/yr per washroom) and greatly reduces the hall's maximum demand. The indicative payback of 15.6 years is close to a 15-year life, so it needs a feasibility study covering the demand-charge savings and the space and structural limits of the MiC modules.</w:t>
      </w:r>
    </w:p>
    <w:p>
      <w:pPr>
        <w:spacing w:after="80" w:before="0" w:line="276"/>
        <w:jc w:val="both"/>
      </w:pPr>
      <w:r>
        <w:rPr>
          <w:b/>
          <w:bCs/>
        </w:rPr>
        <w:t xml:space="preserve">EMO-16 Replace the window AC (CityU)</w:t>
      </w:r>
      <w:r>
        <w:rPr>
          <w:b w:val="false"/>
          <w:bCs w:val="false"/>
        </w:rPr>
        <w:t xml:space="preserve"> - A best-in-class split unit (CSPF about 7.5; Grade-1 units range from 5.06 to 7.51 [27]) would save 307 kWh/yr. However, the payback of 20.9 years exceeds the 12-year service life, and the existing unit is new and Grade 1. </w:t>
      </w:r>
      <w:r>
        <w:rPr>
          <w:b/>
          <w:bCs/>
        </w:rPr>
        <w:t xml:space="preserve">Not viable.</w:t>
      </w:r>
    </w:p>
    <w:p>
      <w:pPr>
        <w:spacing w:after="80" w:before="0" w:line="276"/>
        <w:jc w:val="both"/>
      </w:pPr>
      <w:r>
        <w:rPr>
          <w:b/>
          <w:bCs/>
        </w:rPr>
        <w:t xml:space="preserve">EMO-17 Solar-control film (CityU)</w:t>
      </w:r>
      <w:r>
        <w:rPr>
          <w:b w:val="false"/>
          <w:bCs w:val="false"/>
        </w:rPr>
        <w:t xml:space="preserve"> - On only 1.55 m² of NW glazing, about 2% of AC energy is saved; payback 35.1 years. </w:t>
      </w:r>
      <w:r>
        <w:rPr>
          <w:b/>
          <w:bCs/>
        </w:rPr>
        <w:t xml:space="preserve">Not viable at present.</w:t>
      </w:r>
    </w:p>
    <w:p>
      <w:pPr>
        <w:spacing w:after="80" w:before="0" w:line="276"/>
        <w:jc w:val="both"/>
      </w:pPr>
      <w:r>
        <w:rPr>
          <w:b/>
          <w:bCs/>
        </w:rPr>
        <w:t xml:space="preserve">EMO-18 Rooftop PV (CityU)</w:t>
      </w:r>
      <w:r>
        <w:rPr>
          <w:b w:val="false"/>
          <w:bCs w:val="false"/>
        </w:rPr>
        <w:t xml:space="preserve"> - A viability statement under EAC §7.4.4(d) and §8.1(l)(iii); see Section 9.4.</w:t>
      </w:r>
    </w:p>
    <w:p>
      <w:pPr>
        <w:spacing w:after="120" w:before="0" w:line="276"/>
        <w:jc w:val="both"/>
      </w:pPr>
      <w:r>
        <w:rPr>
          <w:b w:val="false"/>
          <w:bCs w:val="false"/>
        </w:rPr>
        <w:t xml:space="preserve">The paybacks above are simple paybacks at today's tariff. EAC §7.5.4(b) also asks for efficiency degradation over the payback period to be considered. Degradation would lengthen these paybacks further, so it does not change any of the viability conclusions.</w:t>
      </w:r>
    </w:p>
    <w:p>
      <w:pPr>
        <w:pStyle w:val="Heading2"/>
      </w:pPr>
      <w:r>
        <w:rPr>
          <w:b w:val="false"/>
          <w:bCs w:val="false"/>
        </w:rPr>
        <w:t xml:space="preserve">9.4  Energy recovery and renewable energy (EAC §7.4.4(c)-(d), §8.1(l)(iii))</w:t>
      </w:r>
    </w:p>
    <w:p>
      <w:pPr>
        <w:spacing w:after="120" w:before="0" w:line="276"/>
        <w:jc w:val="both"/>
      </w:pPr>
      <w:r>
        <w:rPr>
          <w:b/>
          <w:bCs/>
        </w:rPr>
        <w:t xml:space="preserve">Energy recovery:</w:t>
      </w:r>
      <w:r>
        <w:rPr>
          <w:b w:val="false"/>
          <w:bCs w:val="false"/>
        </w:rPr>
        <w:t xml:space="preserve"> drain-water heat recovery could pre-heat shower water. However, with one shower at a time, instantaneous heating and the tight MiC washroom pods, the recoverable heat is small and the retrofit intrusive, so it is not recommended.</w:t>
      </w:r>
    </w:p>
    <w:p>
      <w:pPr>
        <w:spacing w:after="120" w:before="0" w:line="276"/>
        <w:jc w:val="both"/>
      </w:pPr>
      <w:r>
        <w:rPr>
          <w:b/>
          <w:bCs/>
        </w:rPr>
        <w:t xml:space="preserve">Renewable energy:</w:t>
      </w:r>
      <w:r>
        <w:rPr>
          <w:b w:val="false"/>
          <w:bCs w:val="false"/>
        </w:rPr>
        <w:t xml:space="preserve"> the village already has 110 rooftop PV panels [15]. Additional roof or façade PV would earn CLP's Feed-in Tariff: HK$3/kWh for 10-200 kW and HK$2.5/kWh for 200 kW-1 MW [22]. The economics are attractive at hall scale but are outside the household's control. They are recommended for study by CityU (EMO-18).</w:t>
      </w:r>
    </w:p>
    <w:p>
      <w:pPr>
        <w:keepNext/>
        <w:spacing w:after="40" w:before="120"/>
        <w:jc w:val="center"/>
      </w:pPr>
      <w:r>
        <w:drawing>
          <wp:inline distT="0" distB="0" distL="0" distR="0">
            <wp:extent cx="58102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10250" cy="3771900"/>
                    </a:xfrm>
                    <a:prstGeom prst="rect">
                      <a:avLst/>
                    </a:prstGeom>
                  </pic:spPr>
                </pic:pic>
              </a:graphicData>
            </a:graphic>
          </wp:inline>
        </w:drawing>
      </w:r>
    </w:p>
    <w:p>
      <w:pPr>
        <w:spacing w:after="200" w:before="60"/>
        <w:jc w:val="center"/>
      </w:pPr>
      <w:r>
        <w:rPr>
          <w:b w:val="false"/>
          <w:bCs w:val="false"/>
          <w:i/>
          <w:iCs/>
          <w:color w:val="52514E"/>
          <w:sz w:val="17"/>
          <w:szCs w:val="17"/>
        </w:rPr>
        <w:t xml:space="preserve">Figure 9.1: Household share of saving by EMO and category</w:t>
      </w:r>
    </w:p>
    <w:p>
      <w:pPr>
        <w:keepNext/>
        <w:spacing w:after="80" w:before="160"/>
      </w:pPr>
      <w:r>
        <w:rPr>
          <w:b/>
          <w:bCs/>
          <w:color w:val="1F3864"/>
          <w:sz w:val="18"/>
          <w:szCs w:val="18"/>
        </w:rPr>
        <w:t xml:space="preserve">Table 9.2: Combined impact by category (household share)</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412"/>
        <w:gridCol w:w="1100"/>
        <w:gridCol w:w="1300"/>
        <w:gridCol w:w="1700"/>
        <w:gridCol w:w="1400"/>
        <w:gridCol w:w="1500"/>
      </w:tblGrid>
      <w:tr>
        <w:trPr>
          <w:tblHeader/>
        </w:trPr>
        <w:tc>
          <w:tcPr>
            <w:tcW w:type="dxa" w:w="2412"/>
            <w:shd w:fill="DCE6F0" w:color="auto" w:val="clear"/>
            <w:tcMar>
              <w:top w:type="dxa" w:w="50"/>
              <w:left w:type="dxa" w:w="90"/>
              <w:bottom w:type="dxa" w:w="50"/>
              <w:right w:type="dxa" w:w="90"/>
            </w:tcMar>
            <w:vAlign w:val="center"/>
          </w:tcPr>
          <w:p>
            <w:pPr>
              <w:spacing w:after="0" w:line="240"/>
              <w:jc w:val="left"/>
            </w:pPr>
            <w:r>
              <w:rPr>
                <w:b/>
                <w:bCs/>
                <w:color w:val="1F3864"/>
                <w:sz w:val="16"/>
                <w:szCs w:val="16"/>
              </w:rPr>
              <w:t xml:space="preserve">Category</w:t>
            </w:r>
          </w:p>
        </w:tc>
        <w:tc>
          <w:tcPr>
            <w:tcW w:type="dxa" w:w="11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No. of EMOs</w:t>
            </w:r>
          </w:p>
        </w:tc>
        <w:tc>
          <w:tcPr>
            <w:tcW w:type="dxa" w:w="13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kWh/yr saved</w:t>
            </w:r>
          </w:p>
        </w:tc>
        <w:tc>
          <w:tcPr>
            <w:tcW w:type="dxa" w:w="17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 of household electricity</w:t>
            </w:r>
          </w:p>
        </w:tc>
        <w:tc>
          <w:tcPr>
            <w:tcW w:type="dxa" w:w="14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kg </w:t>
            </w:r>
            <w:r>
              <w:rPr>
                <w:b/>
                <w:bCs/>
                <w:color w:val="1F3864"/>
                <w:sz w:val="16"/>
                <w:szCs w:val="16"/>
              </w:rPr>
              <w:t xml:space="preserve">CO</w:t>
            </w:r>
            <w:r>
              <w:rPr>
                <w:b/>
                <w:bCs/>
                <w:color w:val="1F3864"/>
                <w:sz w:val="16"/>
                <w:szCs w:val="16"/>
                <w:vertAlign w:val="subscript"/>
              </w:rPr>
              <w:t xml:space="preserve">2</w:t>
            </w:r>
            <w:r>
              <w:rPr>
                <w:b/>
                <w:bCs/>
                <w:color w:val="1F3864"/>
                <w:sz w:val="16"/>
                <w:szCs w:val="16"/>
              </w:rPr>
              <w:t xml:space="preserve">e/yr (CLP)</w:t>
            </w:r>
          </w:p>
        </w:tc>
        <w:tc>
          <w:tcPr>
            <w:tcW w:type="dxa" w:w="1500"/>
            <w:shd w:fill="DCE6F0" w:color="auto" w:val="clear"/>
            <w:tcMar>
              <w:top w:type="dxa" w:w="50"/>
              <w:left w:type="dxa" w:w="90"/>
              <w:bottom w:type="dxa" w:w="50"/>
              <w:right w:type="dxa" w:w="90"/>
            </w:tcMar>
            <w:vAlign w:val="center"/>
          </w:tcPr>
          <w:p>
            <w:pPr>
              <w:spacing w:after="0" w:line="240"/>
              <w:jc w:val="right"/>
            </w:pPr>
            <w:r>
              <w:rPr>
                <w:b/>
                <w:bCs/>
                <w:color w:val="1F3864"/>
                <w:sz w:val="16"/>
                <w:szCs w:val="16"/>
              </w:rPr>
              <w:t xml:space="preserve">Facility-level kWh/yr</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Category I</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8</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503</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19.5%</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171</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503</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Category II</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6</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294</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11.4%</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100</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1,143</w:t>
            </w:r>
          </w:p>
        </w:tc>
      </w:tr>
      <w:tr>
        <w:trPr>
          <w:cantSplit/>
        </w:trPr>
        <w:tc>
          <w:tcPr>
            <w:tcW w:type="dxa" w:w="2412"/>
            <w:tcMar>
              <w:top w:type="dxa" w:w="50"/>
              <w:left w:type="dxa" w:w="90"/>
              <w:bottom w:type="dxa" w:w="50"/>
              <w:right w:type="dxa" w:w="90"/>
            </w:tcMar>
            <w:vAlign w:val="center"/>
          </w:tcPr>
          <w:p>
            <w:pPr>
              <w:spacing w:after="0" w:line="240"/>
              <w:jc w:val="left"/>
            </w:pPr>
            <w:r>
              <w:rPr>
                <w:b w:val="false"/>
                <w:bCs w:val="false"/>
                <w:sz w:val="16"/>
                <w:szCs w:val="16"/>
              </w:rPr>
              <w:t xml:space="preserve">Category III</w:t>
            </w:r>
          </w:p>
        </w:tc>
        <w:tc>
          <w:tcPr>
            <w:tcW w:type="dxa" w:w="1100"/>
            <w:tcMar>
              <w:top w:type="dxa" w:w="50"/>
              <w:left w:type="dxa" w:w="90"/>
              <w:bottom w:type="dxa" w:w="50"/>
              <w:right w:type="dxa" w:w="90"/>
            </w:tcMar>
            <w:vAlign w:val="center"/>
          </w:tcPr>
          <w:p>
            <w:pPr>
              <w:spacing w:after="0" w:line="240"/>
              <w:jc w:val="right"/>
            </w:pPr>
            <w:r>
              <w:rPr>
                <w:b w:val="false"/>
                <w:bCs w:val="false"/>
                <w:sz w:val="16"/>
                <w:szCs w:val="16"/>
              </w:rPr>
              <w:t xml:space="preserve">4</w:t>
            </w:r>
          </w:p>
        </w:tc>
        <w:tc>
          <w:tcPr>
            <w:tcW w:type="dxa" w:w="1300"/>
            <w:tcMar>
              <w:top w:type="dxa" w:w="50"/>
              <w:left w:type="dxa" w:w="90"/>
              <w:bottom w:type="dxa" w:w="50"/>
              <w:right w:type="dxa" w:w="90"/>
            </w:tcMar>
            <w:vAlign w:val="center"/>
          </w:tcPr>
          <w:p>
            <w:pPr>
              <w:spacing w:after="0" w:line="240"/>
              <w:jc w:val="right"/>
            </w:pPr>
            <w:r>
              <w:rPr>
                <w:b w:val="false"/>
                <w:bCs w:val="false"/>
                <w:sz w:val="16"/>
                <w:szCs w:val="16"/>
              </w:rPr>
              <w:t xml:space="preserve">778</w:t>
            </w:r>
          </w:p>
        </w:tc>
        <w:tc>
          <w:tcPr>
            <w:tcW w:type="dxa" w:w="1700"/>
            <w:tcMar>
              <w:top w:type="dxa" w:w="50"/>
              <w:left w:type="dxa" w:w="90"/>
              <w:bottom w:type="dxa" w:w="50"/>
              <w:right w:type="dxa" w:w="90"/>
            </w:tcMar>
            <w:vAlign w:val="center"/>
          </w:tcPr>
          <w:p>
            <w:pPr>
              <w:spacing w:after="0" w:line="240"/>
              <w:jc w:val="right"/>
            </w:pPr>
            <w:r>
              <w:rPr>
                <w:b w:val="false"/>
                <w:bCs w:val="false"/>
                <w:sz w:val="16"/>
                <w:szCs w:val="16"/>
              </w:rPr>
              <w:t xml:space="preserve">30.1%</w:t>
            </w:r>
          </w:p>
        </w:tc>
        <w:tc>
          <w:tcPr>
            <w:tcW w:type="dxa" w:w="1400"/>
            <w:tcMar>
              <w:top w:type="dxa" w:w="50"/>
              <w:left w:type="dxa" w:w="90"/>
              <w:bottom w:type="dxa" w:w="50"/>
              <w:right w:type="dxa" w:w="90"/>
            </w:tcMar>
            <w:vAlign w:val="center"/>
          </w:tcPr>
          <w:p>
            <w:pPr>
              <w:spacing w:after="0" w:line="240"/>
              <w:jc w:val="right"/>
            </w:pPr>
            <w:r>
              <w:rPr>
                <w:b w:val="false"/>
                <w:bCs w:val="false"/>
                <w:sz w:val="16"/>
                <w:szCs w:val="16"/>
              </w:rPr>
              <w:t xml:space="preserve">265</w:t>
            </w:r>
          </w:p>
        </w:tc>
        <w:tc>
          <w:tcPr>
            <w:tcW w:type="dxa" w:w="1500"/>
            <w:tcMar>
              <w:top w:type="dxa" w:w="50"/>
              <w:left w:type="dxa" w:w="90"/>
              <w:bottom w:type="dxa" w:w="50"/>
              <w:right w:type="dxa" w:w="90"/>
            </w:tcMar>
            <w:vAlign w:val="center"/>
          </w:tcPr>
          <w:p>
            <w:pPr>
              <w:spacing w:after="0" w:line="240"/>
              <w:jc w:val="right"/>
            </w:pPr>
            <w:r>
              <w:rPr>
                <w:b w:val="false"/>
                <w:bCs w:val="false"/>
                <w:sz w:val="16"/>
                <w:szCs w:val="16"/>
              </w:rPr>
              <w:t xml:space="preserve">1,233</w:t>
            </w:r>
          </w:p>
        </w:tc>
      </w:tr>
      <w:tr>
        <w:trPr>
          <w:cantSplit/>
        </w:trPr>
        <w:tc>
          <w:tcPr>
            <w:tcW w:type="dxa" w:w="2412"/>
            <w:shd w:fill="F2F2F2" w:color="auto" w:val="clear"/>
            <w:tcMar>
              <w:top w:type="dxa" w:w="50"/>
              <w:left w:type="dxa" w:w="90"/>
              <w:bottom w:type="dxa" w:w="50"/>
              <w:right w:type="dxa" w:w="90"/>
            </w:tcMar>
            <w:vAlign w:val="center"/>
          </w:tcPr>
          <w:p>
            <w:pPr>
              <w:spacing w:after="0" w:line="240"/>
              <w:jc w:val="left"/>
            </w:pPr>
            <w:r>
              <w:rPr>
                <w:b/>
                <w:bCs/>
                <w:sz w:val="16"/>
                <w:szCs w:val="16"/>
              </w:rPr>
              <w:t xml:space="preserve">All EMOs*</w:t>
            </w:r>
          </w:p>
        </w:tc>
        <w:tc>
          <w:tcPr>
            <w:tcW w:type="dxa" w:w="11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18</w:t>
            </w:r>
          </w:p>
        </w:tc>
        <w:tc>
          <w:tcPr>
            <w:tcW w:type="dxa" w:w="1300"/>
            <w:shd w:fill="F2F2F2" w:color="auto" w:val="clear"/>
            <w:tcMar>
              <w:top w:type="dxa" w:w="50"/>
              <w:left w:type="dxa" w:w="90"/>
              <w:bottom w:type="dxa" w:w="50"/>
              <w:right w:type="dxa" w:w="90"/>
            </w:tcMar>
            <w:vAlign w:val="center"/>
          </w:tcPr>
          <w:p>
            <w:pPr>
              <w:spacing w:after="0" w:line="240"/>
              <w:jc w:val="right"/>
            </w:pPr>
            <w:r>
              <w:rPr>
                <w:b/>
                <w:bCs/>
                <w:sz w:val="16"/>
                <w:szCs w:val="16"/>
              </w:rPr>
              <w:t xml:space="preserve">1,576</w:t>
            </w:r>
          </w:p>
        </w:tc>
        <w:tc>
          <w:tcPr>
            <w:tcW w:type="dxa" w:w="1700"/>
            <w:shd w:fill="F2F2F2" w:color="auto" w:val="clear"/>
            <w:tcMar>
              <w:top w:type="dxa" w:w="50"/>
              <w:left w:type="dxa" w:w="90"/>
              <w:bottom w:type="dxa" w:w="50"/>
              <w:right w:type="dxa" w:w="90"/>
            </w:tcMar>
            <w:vAlign w:val="center"/>
          </w:tcPr>
          <w:p>
            <w:pPr>
              <w:spacing w:after="0" w:line="240"/>
              <w:jc w:val="right"/>
            </w:pPr>
            <w:r>
              <w:rPr>
                <w:b/>
                <w:bCs/>
                <w:sz w:val="16"/>
                <w:szCs w:val="16"/>
              </w:rPr>
              <w:t xml:space="preserve">60.9%</w:t>
            </w:r>
          </w:p>
        </w:tc>
        <w:tc>
          <w:tcPr>
            <w:tcW w:type="dxa" w:w="1400"/>
            <w:shd w:fill="F2F2F2" w:color="auto" w:val="clear"/>
            <w:tcMar>
              <w:top w:type="dxa" w:w="50"/>
              <w:left w:type="dxa" w:w="90"/>
              <w:bottom w:type="dxa" w:w="50"/>
              <w:right w:type="dxa" w:w="90"/>
            </w:tcMar>
            <w:vAlign w:val="center"/>
          </w:tcPr>
          <w:p>
            <w:pPr>
              <w:spacing w:after="0" w:line="240"/>
              <w:jc w:val="right"/>
            </w:pPr>
            <w:r>
              <w:rPr>
                <w:b/>
                <w:bCs/>
                <w:sz w:val="16"/>
                <w:szCs w:val="16"/>
              </w:rPr>
              <w:t xml:space="preserve">536</w:t>
            </w:r>
          </w:p>
        </w:tc>
        <w:tc>
          <w:tcPr>
            <w:tcW w:type="dxa" w:w="1500"/>
            <w:shd w:fill="F2F2F2" w:color="auto" w:val="clear"/>
            <w:tcMar>
              <w:top w:type="dxa" w:w="50"/>
              <w:left w:type="dxa" w:w="90"/>
              <w:bottom w:type="dxa" w:w="50"/>
              <w:right w:type="dxa" w:w="90"/>
            </w:tcMar>
            <w:vAlign w:val="center"/>
          </w:tcPr>
          <w:p>
            <w:pPr>
              <w:spacing w:after="0" w:line="240"/>
              <w:jc w:val="right"/>
            </w:pPr>
            <w:r>
              <w:rPr>
                <w:b/>
                <w:bCs/>
                <w:sz w:val="16"/>
                <w:szCs w:val="16"/>
              </w:rPr>
              <w:t xml:space="preserve">2,879</w:t>
            </w:r>
          </w:p>
        </w:tc>
      </w:tr>
    </w:tbl>
    <w:p>
      <w:pPr>
        <w:spacing w:after="120" w:before="0" w:line="276"/>
        <w:jc w:val="both"/>
      </w:pPr>
      <w:r>
        <w:rPr>
          <w:b w:val="false"/>
          <w:bCs w:val="false"/>
          <w:i/>
          <w:iCs/>
          <w:sz w:val="16"/>
          <w:szCs w:val="16"/>
        </w:rPr>
        <w:t xml:space="preserve">*Savings interact (e.g. shorter showers and low-flow heads both reduce the same hot water), so totals are indicative rather than strictly additive. The Category III total includes measures found not viable.</w:t>
      </w:r>
    </w:p>
    <w:p>
      <w:pPr>
        <w:pStyle w:val="Heading1"/>
        <w:pageBreakBefore/>
      </w:pPr>
      <w:r>
        <w:rPr>
          <w:b w:val="false"/>
          <w:bCs w:val="false"/>
        </w:rPr>
        <w:t xml:space="preserve">10  Recommendations, implementation and M&amp;V (EAC §7.6)</w:t>
      </w:r>
    </w:p>
    <w:p>
      <w:pPr>
        <w:pStyle w:val="Heading2"/>
      </w:pPr>
      <w:r>
        <w:rPr>
          <w:b w:val="false"/>
          <w:bCs w:val="false"/>
        </w:rPr>
        <w:t xml:space="preserve">10.1  Implementation plan</w:t>
      </w:r>
    </w:p>
    <w:p>
      <w:pPr>
        <w:keepNext/>
        <w:spacing w:after="80" w:before="160"/>
      </w:pPr>
      <w:r>
        <w:rPr>
          <w:b/>
          <w:bCs/>
          <w:color w:val="1F3864"/>
          <w:sz w:val="18"/>
          <w:szCs w:val="18"/>
        </w:rPr>
        <w:t xml:space="preserve">Table 10.1: Action plan</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912"/>
        <w:gridCol w:w="1500"/>
        <w:gridCol w:w="1100"/>
        <w:gridCol w:w="1400"/>
      </w:tblGrid>
      <w:tr>
        <w:trPr>
          <w:tblHeader/>
        </w:trPr>
        <w:tc>
          <w:tcPr>
            <w:tcW w:type="dxa" w:w="15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When</w:t>
            </w:r>
          </w:p>
        </w:tc>
        <w:tc>
          <w:tcPr>
            <w:tcW w:type="dxa" w:w="3912"/>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Action</w:t>
            </w:r>
          </w:p>
        </w:tc>
        <w:tc>
          <w:tcPr>
            <w:tcW w:type="dxa" w:w="15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Who</w:t>
            </w:r>
          </w:p>
        </w:tc>
        <w:tc>
          <w:tcPr>
            <w:tcW w:type="dxa" w:w="11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Cost</w:t>
            </w:r>
          </w:p>
        </w:tc>
        <w:tc>
          <w:tcPr>
            <w:tcW w:type="dxa" w:w="14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Indicator to track</w:t>
            </w:r>
          </w:p>
        </w:tc>
      </w:tr>
      <w:tr>
        <w:trPr>
          <w:cantSplit/>
        </w:trPr>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Now</w:t>
            </w:r>
          </w:p>
        </w:tc>
        <w:tc>
          <w:tcPr>
            <w:tcW w:type="dxa" w:w="3912"/>
            <w:tcMar>
              <w:top w:type="dxa" w:w="50"/>
              <w:left w:type="dxa" w:w="90"/>
              <w:bottom w:type="dxa" w:w="50"/>
              <w:right w:type="dxa" w:w="90"/>
            </w:tcMar>
            <w:vAlign w:val="center"/>
          </w:tcPr>
          <w:p>
            <w:pPr>
              <w:spacing w:after="0" w:line="240"/>
              <w:jc w:val="left"/>
            </w:pPr>
            <w:r>
              <w:rPr>
                <w:b w:val="false"/>
                <w:bCs w:val="false"/>
                <w:sz w:val="15"/>
                <w:szCs w:val="15"/>
              </w:rPr>
              <w:t xml:space="preserve">EMO-01 to -08: set-point 26 °C + fan, timer-off, filter cleaning, task lighting, 4-min showers at 38 °C, laptop settings, efficient cooking</w:t>
            </w:r>
          </w:p>
        </w:tc>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Both occupants</w:t>
            </w:r>
          </w:p>
        </w:tc>
        <w:tc>
          <w:tcPr>
            <w:tcW w:type="dxa" w:w="1100"/>
            <w:tcMar>
              <w:top w:type="dxa" w:w="50"/>
              <w:left w:type="dxa" w:w="90"/>
              <w:bottom w:type="dxa" w:w="50"/>
              <w:right w:type="dxa" w:w="90"/>
            </w:tcMar>
            <w:vAlign w:val="center"/>
          </w:tcPr>
          <w:p>
            <w:pPr>
              <w:spacing w:after="0" w:line="240"/>
              <w:jc w:val="left"/>
            </w:pPr>
            <w:r>
              <w:rPr>
                <w:b w:val="false"/>
                <w:bCs w:val="false"/>
                <w:sz w:val="15"/>
                <w:szCs w:val="15"/>
              </w:rPr>
              <w:t xml:space="preserve">HK$0</w:t>
            </w:r>
          </w:p>
        </w:tc>
        <w:tc>
          <w:tcPr>
            <w:tcW w:type="dxa" w:w="1400"/>
            <w:tcMar>
              <w:top w:type="dxa" w:w="50"/>
              <w:left w:type="dxa" w:w="90"/>
              <w:bottom w:type="dxa" w:w="50"/>
              <w:right w:type="dxa" w:w="90"/>
            </w:tcMar>
            <w:vAlign w:val="center"/>
          </w:tcPr>
          <w:p>
            <w:pPr>
              <w:spacing w:after="0" w:line="240"/>
              <w:jc w:val="left"/>
            </w:pPr>
            <w:r>
              <w:rPr>
                <w:b w:val="false"/>
                <w:bCs w:val="false"/>
                <w:sz w:val="15"/>
                <w:szCs w:val="15"/>
              </w:rPr>
              <w:t xml:space="preserve">Octopus spend per month; shower timer</w:t>
            </w:r>
          </w:p>
        </w:tc>
      </w:tr>
      <w:tr>
        <w:trPr>
          <w:cantSplit/>
        </w:trPr>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Within 1 month</w:t>
            </w:r>
          </w:p>
        </w:tc>
        <w:tc>
          <w:tcPr>
            <w:tcW w:type="dxa" w:w="3912"/>
            <w:tcMar>
              <w:top w:type="dxa" w:w="50"/>
              <w:left w:type="dxa" w:w="90"/>
              <w:bottom w:type="dxa" w:w="50"/>
              <w:right w:type="dxa" w:w="90"/>
            </w:tcMar>
            <w:vAlign w:val="center"/>
          </w:tcPr>
          <w:p>
            <w:pPr>
              <w:spacing w:after="0" w:line="240"/>
              <w:jc w:val="left"/>
            </w:pPr>
            <w:r>
              <w:rPr>
                <w:b w:val="false"/>
                <w:bCs w:val="false"/>
                <w:sz w:val="15"/>
                <w:szCs w:val="15"/>
              </w:rPr>
              <w:t xml:space="preserve">EMO-14: buy a plug-in power meter; measure laptop, fan and AC for 2 weeks</w:t>
            </w:r>
          </w:p>
        </w:tc>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Auditor</w:t>
            </w:r>
          </w:p>
        </w:tc>
        <w:tc>
          <w:tcPr>
            <w:tcW w:type="dxa" w:w="1100"/>
            <w:tcMar>
              <w:top w:type="dxa" w:w="50"/>
              <w:left w:type="dxa" w:w="90"/>
              <w:bottom w:type="dxa" w:w="50"/>
              <w:right w:type="dxa" w:w="90"/>
            </w:tcMar>
            <w:vAlign w:val="center"/>
          </w:tcPr>
          <w:p>
            <w:pPr>
              <w:spacing w:after="0" w:line="240"/>
              <w:jc w:val="left"/>
            </w:pPr>
            <w:r>
              <w:rPr>
                <w:b w:val="false"/>
                <w:bCs w:val="false"/>
                <w:sz w:val="15"/>
                <w:szCs w:val="15"/>
              </w:rPr>
              <w:t xml:space="preserve">About HK$120</w:t>
            </w:r>
          </w:p>
        </w:tc>
        <w:tc>
          <w:tcPr>
            <w:tcW w:type="dxa" w:w="1400"/>
            <w:tcMar>
              <w:top w:type="dxa" w:w="50"/>
              <w:left w:type="dxa" w:w="90"/>
              <w:bottom w:type="dxa" w:w="50"/>
              <w:right w:type="dxa" w:w="90"/>
            </w:tcMar>
            <w:vAlign w:val="center"/>
          </w:tcPr>
          <w:p>
            <w:pPr>
              <w:spacing w:after="0" w:line="240"/>
              <w:jc w:val="left"/>
            </w:pPr>
            <w:r>
              <w:rPr>
                <w:b w:val="false"/>
                <w:bCs w:val="false"/>
                <w:sz w:val="15"/>
                <w:szCs w:val="15"/>
              </w:rPr>
              <w:t xml:space="preserve">Measured W and kWh</w:t>
            </w:r>
          </w:p>
        </w:tc>
      </w:tr>
      <w:tr>
        <w:trPr>
          <w:cantSplit/>
        </w:trPr>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Within 1 month</w:t>
            </w:r>
          </w:p>
        </w:tc>
        <w:tc>
          <w:tcPr>
            <w:tcW w:type="dxa" w:w="3912"/>
            <w:tcMar>
              <w:top w:type="dxa" w:w="50"/>
              <w:left w:type="dxa" w:w="90"/>
              <w:bottom w:type="dxa" w:w="50"/>
              <w:right w:type="dxa" w:w="90"/>
            </w:tcMar>
            <w:vAlign w:val="center"/>
          </w:tcPr>
          <w:p>
            <w:pPr>
              <w:spacing w:after="0" w:line="240"/>
              <w:jc w:val="left"/>
            </w:pPr>
            <w:r>
              <w:rPr>
                <w:b w:val="false"/>
                <w:bCs w:val="false"/>
                <w:sz w:val="15"/>
                <w:szCs w:val="15"/>
              </w:rPr>
              <w:t xml:space="preserve">Send the findings memo (Section 10.3) to the Student Residence Office</w:t>
            </w:r>
          </w:p>
        </w:tc>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Auditor</w:t>
            </w:r>
          </w:p>
        </w:tc>
        <w:tc>
          <w:tcPr>
            <w:tcW w:type="dxa" w:w="1100"/>
            <w:tcMar>
              <w:top w:type="dxa" w:w="50"/>
              <w:left w:type="dxa" w:w="90"/>
              <w:bottom w:type="dxa" w:w="50"/>
              <w:right w:type="dxa" w:w="90"/>
            </w:tcMar>
            <w:vAlign w:val="center"/>
          </w:tcPr>
          <w:p>
            <w:pPr>
              <w:spacing w:after="0" w:line="240"/>
              <w:jc w:val="left"/>
            </w:pPr>
            <w:r>
              <w:rPr>
                <w:b w:val="false"/>
                <w:bCs w:val="false"/>
                <w:sz w:val="15"/>
                <w:szCs w:val="15"/>
              </w:rPr>
              <w:t xml:space="preserve">HK$0</w:t>
            </w:r>
          </w:p>
        </w:tc>
        <w:tc>
          <w:tcPr>
            <w:tcW w:type="dxa" w:w="1400"/>
            <w:tcMar>
              <w:top w:type="dxa" w:w="50"/>
              <w:left w:type="dxa" w:w="90"/>
              <w:bottom w:type="dxa" w:w="50"/>
              <w:right w:type="dxa" w:w="90"/>
            </w:tcMar>
            <w:vAlign w:val="center"/>
          </w:tcPr>
          <w:p>
            <w:pPr>
              <w:spacing w:after="0" w:line="240"/>
              <w:jc w:val="left"/>
            </w:pPr>
            <w:r>
              <w:rPr>
                <w:b w:val="false"/>
                <w:bCs w:val="false"/>
                <w:sz w:val="15"/>
                <w:szCs w:val="15"/>
              </w:rPr>
              <w:t xml:space="preserve">Reply / action from SRO</w:t>
            </w:r>
          </w:p>
        </w:tc>
      </w:tr>
      <w:tr>
        <w:trPr>
          <w:cantSplit/>
        </w:trPr>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Next maintenance cycle</w:t>
            </w:r>
          </w:p>
        </w:tc>
        <w:tc>
          <w:tcPr>
            <w:tcW w:type="dxa" w:w="3912"/>
            <w:tcMar>
              <w:top w:type="dxa" w:w="50"/>
              <w:left w:type="dxa" w:w="90"/>
              <w:bottom w:type="dxa" w:w="50"/>
              <w:right w:type="dxa" w:w="90"/>
            </w:tcMar>
            <w:vAlign w:val="center"/>
          </w:tcPr>
          <w:p>
            <w:pPr>
              <w:spacing w:after="0" w:line="240"/>
              <w:jc w:val="left"/>
            </w:pPr>
            <w:r>
              <w:rPr>
                <w:b w:val="false"/>
                <w:bCs w:val="false"/>
                <w:sz w:val="15"/>
                <w:szCs w:val="15"/>
              </w:rPr>
              <w:t xml:space="preserve">EMO-09 to -13: exhaust-fan control, kitchen-AC timer, dispenser set-back, Grade-1 showerheads, AC coil clean</w:t>
            </w:r>
          </w:p>
        </w:tc>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SRO / hall maintenance</w:t>
            </w:r>
          </w:p>
        </w:tc>
        <w:tc>
          <w:tcPr>
            <w:tcW w:type="dxa" w:w="1100"/>
            <w:tcMar>
              <w:top w:type="dxa" w:w="50"/>
              <w:left w:type="dxa" w:w="90"/>
              <w:bottom w:type="dxa" w:w="50"/>
              <w:right w:type="dxa" w:w="90"/>
            </w:tcMar>
            <w:vAlign w:val="center"/>
          </w:tcPr>
          <w:p>
            <w:pPr>
              <w:spacing w:after="0" w:line="240"/>
              <w:jc w:val="left"/>
            </w:pPr>
            <w:r>
              <w:rPr>
                <w:b w:val="false"/>
                <w:bCs w:val="false"/>
                <w:sz w:val="15"/>
                <w:szCs w:val="15"/>
              </w:rPr>
              <w:t xml:space="preserve">HK$200-1,000 each</w:t>
            </w:r>
          </w:p>
        </w:tc>
        <w:tc>
          <w:tcPr>
            <w:tcW w:type="dxa" w:w="1400"/>
            <w:tcMar>
              <w:top w:type="dxa" w:w="50"/>
              <w:left w:type="dxa" w:w="90"/>
              <w:bottom w:type="dxa" w:w="50"/>
              <w:right w:type="dxa" w:w="90"/>
            </w:tcMar>
            <w:vAlign w:val="center"/>
          </w:tcPr>
          <w:p>
            <w:pPr>
              <w:spacing w:after="0" w:line="240"/>
              <w:jc w:val="left"/>
            </w:pPr>
            <w:r>
              <w:rPr>
                <w:b w:val="false"/>
                <w:bCs w:val="false"/>
                <w:sz w:val="15"/>
                <w:szCs w:val="15"/>
              </w:rPr>
              <w:t xml:space="preserve">Fan and AC run-hours; kitchen meter</w:t>
            </w:r>
          </w:p>
        </w:tc>
      </w:tr>
      <w:tr>
        <w:trPr>
          <w:cantSplit/>
        </w:trPr>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Next capital plan</w:t>
            </w:r>
          </w:p>
        </w:tc>
        <w:tc>
          <w:tcPr>
            <w:tcW w:type="dxa" w:w="3912"/>
            <w:tcMar>
              <w:top w:type="dxa" w:w="50"/>
              <w:left w:type="dxa" w:w="90"/>
              <w:bottom w:type="dxa" w:w="50"/>
              <w:right w:type="dxa" w:w="90"/>
            </w:tcMar>
            <w:vAlign w:val="center"/>
          </w:tcPr>
          <w:p>
            <w:pPr>
              <w:spacing w:after="0" w:line="240"/>
              <w:jc w:val="left"/>
            </w:pPr>
            <w:r>
              <w:rPr>
                <w:b w:val="false"/>
                <w:bCs w:val="false"/>
                <w:sz w:val="15"/>
                <w:szCs w:val="15"/>
              </w:rPr>
              <w:t xml:space="preserve">EMO-15 and -18: heat-pump hot water and PV feasibility studies</w:t>
            </w:r>
          </w:p>
        </w:tc>
        <w:tc>
          <w:tcPr>
            <w:tcW w:type="dxa" w:w="1500"/>
            <w:tcMar>
              <w:top w:type="dxa" w:w="50"/>
              <w:left w:type="dxa" w:w="90"/>
              <w:bottom w:type="dxa" w:w="50"/>
              <w:right w:type="dxa" w:w="90"/>
            </w:tcMar>
            <w:vAlign w:val="center"/>
          </w:tcPr>
          <w:p>
            <w:pPr>
              <w:spacing w:after="0" w:line="240"/>
              <w:jc w:val="left"/>
            </w:pPr>
            <w:r>
              <w:rPr>
                <w:b w:val="false"/>
                <w:bCs w:val="false"/>
                <w:sz w:val="15"/>
                <w:szCs w:val="15"/>
              </w:rPr>
              <w:t xml:space="preserve">CityU Campus Development</w:t>
            </w:r>
          </w:p>
        </w:tc>
        <w:tc>
          <w:tcPr>
            <w:tcW w:type="dxa" w:w="1100"/>
            <w:tcMar>
              <w:top w:type="dxa" w:w="50"/>
              <w:left w:type="dxa" w:w="90"/>
              <w:bottom w:type="dxa" w:w="50"/>
              <w:right w:type="dxa" w:w="90"/>
            </w:tcMar>
            <w:vAlign w:val="center"/>
          </w:tcPr>
          <w:p>
            <w:pPr>
              <w:spacing w:after="0" w:line="240"/>
              <w:jc w:val="left"/>
            </w:pPr>
            <w:r>
              <w:rPr>
                <w:b w:val="false"/>
                <w:bCs w:val="false"/>
                <w:sz w:val="15"/>
                <w:szCs w:val="15"/>
              </w:rPr>
              <w:t xml:space="preserve">Study cost</w:t>
            </w:r>
          </w:p>
        </w:tc>
        <w:tc>
          <w:tcPr>
            <w:tcW w:type="dxa" w:w="1400"/>
            <w:tcMar>
              <w:top w:type="dxa" w:w="50"/>
              <w:left w:type="dxa" w:w="90"/>
              <w:bottom w:type="dxa" w:w="50"/>
              <w:right w:type="dxa" w:w="90"/>
            </w:tcMar>
            <w:vAlign w:val="center"/>
          </w:tcPr>
          <w:p>
            <w:pPr>
              <w:spacing w:after="0" w:line="240"/>
              <w:jc w:val="left"/>
            </w:pPr>
            <w:r>
              <w:rPr>
                <w:b w:val="false"/>
                <w:bCs w:val="false"/>
                <w:sz w:val="15"/>
                <w:szCs w:val="15"/>
              </w:rPr>
              <w:t xml:space="preserve">Business case</w:t>
            </w:r>
          </w:p>
        </w:tc>
      </w:tr>
    </w:tbl>
    <w:p>
      <w:pPr>
        <w:pStyle w:val="Heading2"/>
      </w:pPr>
      <w:r>
        <w:rPr>
          <w:b w:val="false"/>
          <w:bCs w:val="false"/>
        </w:rPr>
        <w:t xml:space="preserve">10.2  Measurement and verification plan (EAC §7.5.3, §7.6.3)</w:t>
      </w:r>
    </w:p>
    <w:p>
      <w:pPr>
        <w:keepNext/>
        <w:spacing w:after="80" w:before="160"/>
      </w:pPr>
      <w:r>
        <w:rPr>
          <w:b/>
          <w:bCs/>
          <w:color w:val="1F3864"/>
          <w:sz w:val="18"/>
          <w:szCs w:val="18"/>
        </w:rPr>
        <w:t xml:space="preserve">Table 10.2: Metering points, devices and intervals</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912"/>
        <w:gridCol w:w="2500"/>
        <w:gridCol w:w="2000"/>
      </w:tblGrid>
      <w:tr>
        <w:trPr>
          <w:tblHeader/>
        </w:trPr>
        <w:tc>
          <w:tcPr>
            <w:tcW w:type="dxa" w:w="20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Quantity</w:t>
            </w:r>
          </w:p>
        </w:tc>
        <w:tc>
          <w:tcPr>
            <w:tcW w:type="dxa" w:w="2912"/>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Metering point / device</w:t>
            </w:r>
          </w:p>
        </w:tc>
        <w:tc>
          <w:tcPr>
            <w:tcW w:type="dxa" w:w="25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Interval and duration</w:t>
            </w:r>
          </w:p>
        </w:tc>
        <w:tc>
          <w:tcPr>
            <w:tcW w:type="dxa" w:w="20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Adjustment</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Room AC energy</w:t>
            </w:r>
          </w:p>
        </w:tc>
        <w:tc>
          <w:tcPr>
            <w:tcW w:type="dxa" w:w="2912"/>
            <w:tcMar>
              <w:top w:type="dxa" w:w="50"/>
              <w:left w:type="dxa" w:w="90"/>
              <w:bottom w:type="dxa" w:w="50"/>
              <w:right w:type="dxa" w:w="90"/>
            </w:tcMar>
            <w:vAlign w:val="center"/>
          </w:tcPr>
          <w:p>
            <w:pPr>
              <w:spacing w:after="0" w:line="240"/>
              <w:jc w:val="left"/>
            </w:pPr>
            <w:r>
              <w:rPr>
                <w:b w:val="false"/>
                <w:bCs w:val="false"/>
                <w:sz w:val="15"/>
                <w:szCs w:val="15"/>
              </w:rPr>
              <w:t xml:space="preserve">Octopus AC balance (screenshot weekly); plug-in meter if the socket allows</w:t>
            </w:r>
          </w:p>
        </w:tc>
        <w:tc>
          <w:tcPr>
            <w:tcW w:type="dxa" w:w="2500"/>
            <w:tcMar>
              <w:top w:type="dxa" w:w="50"/>
              <w:left w:type="dxa" w:w="90"/>
              <w:bottom w:type="dxa" w:w="50"/>
              <w:right w:type="dxa" w:w="90"/>
            </w:tcMar>
            <w:vAlign w:val="center"/>
          </w:tcPr>
          <w:p>
            <w:pPr>
              <w:spacing w:after="0" w:line="240"/>
              <w:jc w:val="left"/>
            </w:pPr>
            <w:r>
              <w:rPr>
                <w:b w:val="false"/>
                <w:bCs w:val="false"/>
                <w:sz w:val="15"/>
                <w:szCs w:val="15"/>
              </w:rPr>
              <w:t xml:space="preserve">Weekly, 4 weeks before and 4 weeks after the EMOs, in both seasons</w:t>
            </w:r>
          </w:p>
        </w:tc>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Normalise by cooling degree-days from HKO daily data</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Laptop and fan energy</w:t>
            </w:r>
          </w:p>
        </w:tc>
        <w:tc>
          <w:tcPr>
            <w:tcW w:type="dxa" w:w="2912"/>
            <w:tcMar>
              <w:top w:type="dxa" w:w="50"/>
              <w:left w:type="dxa" w:w="90"/>
              <w:bottom w:type="dxa" w:w="50"/>
              <w:right w:type="dxa" w:w="90"/>
            </w:tcMar>
            <w:vAlign w:val="center"/>
          </w:tcPr>
          <w:p>
            <w:pPr>
              <w:spacing w:after="0" w:line="240"/>
              <w:jc w:val="left"/>
            </w:pPr>
            <w:r>
              <w:rPr>
                <w:b w:val="false"/>
                <w:bCs w:val="false"/>
                <w:sz w:val="15"/>
                <w:szCs w:val="15"/>
              </w:rPr>
              <w:t xml:space="preserve">Plug-in power meter</w:t>
            </w:r>
          </w:p>
        </w:tc>
        <w:tc>
          <w:tcPr>
            <w:tcW w:type="dxa" w:w="2500"/>
            <w:tcMar>
              <w:top w:type="dxa" w:w="50"/>
              <w:left w:type="dxa" w:w="90"/>
              <w:bottom w:type="dxa" w:w="50"/>
              <w:right w:type="dxa" w:w="90"/>
            </w:tcMar>
            <w:vAlign w:val="center"/>
          </w:tcPr>
          <w:p>
            <w:pPr>
              <w:spacing w:after="0" w:line="240"/>
              <w:jc w:val="left"/>
            </w:pPr>
            <w:r>
              <w:rPr>
                <w:b w:val="false"/>
                <w:bCs w:val="false"/>
                <w:sz w:val="15"/>
                <w:szCs w:val="15"/>
              </w:rPr>
              <w:t xml:space="preserve">2 weeks each</w:t>
            </w:r>
          </w:p>
        </w:tc>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Per hour of use</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Shower flow and time</w:t>
            </w:r>
          </w:p>
        </w:tc>
        <w:tc>
          <w:tcPr>
            <w:tcW w:type="dxa" w:w="2912"/>
            <w:tcMar>
              <w:top w:type="dxa" w:w="50"/>
              <w:left w:type="dxa" w:w="90"/>
              <w:bottom w:type="dxa" w:w="50"/>
              <w:right w:type="dxa" w:w="90"/>
            </w:tcMar>
            <w:vAlign w:val="center"/>
          </w:tcPr>
          <w:p>
            <w:pPr>
              <w:spacing w:after="0" w:line="240"/>
              <w:jc w:val="left"/>
            </w:pPr>
            <w:r>
              <w:rPr>
                <w:b w:val="false"/>
                <w:bCs w:val="false"/>
                <w:sz w:val="15"/>
                <w:szCs w:val="15"/>
              </w:rPr>
              <w:t xml:space="preserve">Bucket test (L/min) and phone timer</w:t>
            </w:r>
          </w:p>
        </w:tc>
        <w:tc>
          <w:tcPr>
            <w:tcW w:type="dxa" w:w="2500"/>
            <w:tcMar>
              <w:top w:type="dxa" w:w="50"/>
              <w:left w:type="dxa" w:w="90"/>
              <w:bottom w:type="dxa" w:w="50"/>
              <w:right w:type="dxa" w:w="90"/>
            </w:tcMar>
            <w:vAlign w:val="center"/>
          </w:tcPr>
          <w:p>
            <w:pPr>
              <w:spacing w:after="0" w:line="240"/>
              <w:jc w:val="left"/>
            </w:pPr>
            <w:r>
              <w:rPr>
                <w:b w:val="false"/>
                <w:bCs w:val="false"/>
                <w:sz w:val="15"/>
                <w:szCs w:val="15"/>
              </w:rPr>
              <w:t xml:space="preserve">Once; then a weekly sample</w:t>
            </w:r>
          </w:p>
        </w:tc>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Inlet temperature by month (HKO)</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Kitchen AC and exhaust fan hours</w:t>
            </w:r>
          </w:p>
        </w:tc>
        <w:tc>
          <w:tcPr>
            <w:tcW w:type="dxa" w:w="2912"/>
            <w:tcMar>
              <w:top w:type="dxa" w:w="50"/>
              <w:left w:type="dxa" w:w="90"/>
              <w:bottom w:type="dxa" w:w="50"/>
              <w:right w:type="dxa" w:w="90"/>
            </w:tcMar>
            <w:vAlign w:val="center"/>
          </w:tcPr>
          <w:p>
            <w:pPr>
              <w:spacing w:after="0" w:line="240"/>
              <w:jc w:val="left"/>
            </w:pPr>
            <w:r>
              <w:rPr>
                <w:b w:val="false"/>
                <w:bCs w:val="false"/>
                <w:sz w:val="15"/>
                <w:szCs w:val="15"/>
              </w:rPr>
              <w:t xml:space="preserve">Run-hour log or smart-plug data (hall)</w:t>
            </w:r>
          </w:p>
        </w:tc>
        <w:tc>
          <w:tcPr>
            <w:tcW w:type="dxa" w:w="2500"/>
            <w:tcMar>
              <w:top w:type="dxa" w:w="50"/>
              <w:left w:type="dxa" w:w="90"/>
              <w:bottom w:type="dxa" w:w="50"/>
              <w:right w:type="dxa" w:w="90"/>
            </w:tcMar>
            <w:vAlign w:val="center"/>
          </w:tcPr>
          <w:p>
            <w:pPr>
              <w:spacing w:after="0" w:line="240"/>
              <w:jc w:val="left"/>
            </w:pPr>
            <w:r>
              <w:rPr>
                <w:b w:val="false"/>
                <w:bCs w:val="false"/>
                <w:sz w:val="15"/>
                <w:szCs w:val="15"/>
              </w:rPr>
              <w:t xml:space="preserve">Continuous for 1 month</w:t>
            </w:r>
          </w:p>
        </w:tc>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Occupancy (users per day)</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Baseline record</w:t>
            </w:r>
          </w:p>
        </w:tc>
        <w:tc>
          <w:tcPr>
            <w:tcW w:type="dxa" w:w="2912"/>
            <w:tcMar>
              <w:top w:type="dxa" w:w="50"/>
              <w:left w:type="dxa" w:w="90"/>
              <w:bottom w:type="dxa" w:w="50"/>
              <w:right w:type="dxa" w:w="90"/>
            </w:tcMar>
            <w:vAlign w:val="center"/>
          </w:tcPr>
          <w:p>
            <w:pPr>
              <w:spacing w:after="0" w:line="240"/>
              <w:jc w:val="left"/>
            </w:pPr>
            <w:r>
              <w:rPr>
                <w:b w:val="false"/>
                <w:bCs w:val="false"/>
                <w:sz w:val="15"/>
                <w:szCs w:val="15"/>
              </w:rPr>
              <w:t xml:space="preserve">This workbook (Inputs, AC_Baseline)</w:t>
            </w:r>
          </w:p>
        </w:tc>
        <w:tc>
          <w:tcPr>
            <w:tcW w:type="dxa" w:w="2500"/>
            <w:tcMar>
              <w:top w:type="dxa" w:w="50"/>
              <w:left w:type="dxa" w:w="90"/>
              <w:bottom w:type="dxa" w:w="50"/>
              <w:right w:type="dxa" w:w="90"/>
            </w:tcMar>
            <w:vAlign w:val="center"/>
          </w:tcPr>
          <w:p>
            <w:pPr>
              <w:spacing w:after="0" w:line="240"/>
              <w:jc w:val="left"/>
            </w:pPr>
            <w:r>
              <w:rPr>
                <w:b w:val="false"/>
                <w:bCs w:val="false"/>
                <w:sz w:val="15"/>
                <w:szCs w:val="15"/>
              </w:rPr>
              <w:t xml:space="preserve">Kept with the report</w:t>
            </w:r>
          </w:p>
        </w:tc>
        <w:tc>
          <w:tcPr>
            <w:tcW w:type="dxa" w:w="2000"/>
            <w:tcMar>
              <w:top w:type="dxa" w:w="50"/>
              <w:left w:type="dxa" w:w="90"/>
              <w:bottom w:type="dxa" w:w="50"/>
              <w:right w:type="dxa" w:w="90"/>
            </w:tcMar>
            <w:vAlign w:val="center"/>
          </w:tcPr>
          <w:p>
            <w:pPr>
              <w:spacing w:after="0" w:line="240"/>
              <w:jc w:val="left"/>
            </w:pPr>
            <w:r>
              <w:rPr>
                <w:b w:val="false"/>
                <w:bCs w:val="false"/>
                <w:sz w:val="15"/>
                <w:szCs w:val="15"/>
              </w:rPr>
              <w:t xml:space="preserve">Re-run with measured values</w:t>
            </w:r>
          </w:p>
        </w:tc>
      </w:tr>
    </w:tbl>
    <w:p>
      <w:pPr>
        <w:pStyle w:val="Heading2"/>
      </w:pPr>
      <w:r>
        <w:rPr>
          <w:b w:val="false"/>
          <w:bCs w:val="false"/>
        </w:rPr>
        <w:t xml:space="preserve">10.3  Communication with hall management (EAC §7.4.3)</w:t>
      </w:r>
    </w:p>
    <w:p>
      <w:pPr>
        <w:spacing w:after="40" w:before="0" w:line="276"/>
        <w:jc w:val="both"/>
      </w:pPr>
      <w:r>
        <w:rPr>
          <w:b w:val="false"/>
          <w:bCs w:val="false"/>
        </w:rPr>
        <w:t xml:space="preserve">More than half of the household's energy is in shared facilities, so the most effective EMOs depend on the Student Residence Office. A short memo should be sent to the SRO. It should:</w:t>
      </w:r>
    </w:p>
    <w:p>
      <w:pPr>
        <w:pStyle w:val="ListParagraph"/>
        <w:numPr>
          <w:ilvl w:val="0"/>
          <w:numId w:val="2"/>
        </w:numPr>
        <w:spacing w:after="60" w:line="264"/>
      </w:pPr>
      <w:r>
        <w:rPr>
          <w:b w:val="false"/>
          <w:bCs w:val="false"/>
        </w:rPr>
        <w:t xml:space="preserve">summarise findings F1, F3, F4 and F5;</w:t>
      </w:r>
    </w:p>
    <w:p>
      <w:pPr>
        <w:pStyle w:val="ListParagraph"/>
        <w:numPr>
          <w:ilvl w:val="0"/>
          <w:numId w:val="2"/>
        </w:numPr>
        <w:spacing w:after="60" w:line="264"/>
      </w:pPr>
      <w:r>
        <w:rPr>
          <w:b w:val="false"/>
          <w:bCs w:val="false"/>
        </w:rPr>
        <w:t xml:space="preserve">quantify the facility-level savings of EMO-09 to EMO-12 (about 1,118 kWh/yr per washroom and kitchen), and recommend the coil clean (EMO-13) on hygiene grounds;</w:t>
      </w:r>
    </w:p>
    <w:p>
      <w:pPr>
        <w:pStyle w:val="ListParagraph"/>
        <w:numPr>
          <w:ilvl w:val="0"/>
          <w:numId w:val="2"/>
        </w:numPr>
        <w:spacing w:after="120" w:line="264"/>
      </w:pPr>
      <w:r>
        <w:rPr>
          <w:b w:val="false"/>
          <w:bCs w:val="false"/>
        </w:rPr>
        <w:t xml:space="preserve">suggest piloting them on one floor, with before-and-after readings from the building management system.</w:t>
      </w:r>
    </w:p>
    <w:p>
      <w:pPr>
        <w:spacing w:after="120" w:before="0" w:line="276"/>
        <w:jc w:val="both"/>
      </w:pPr>
      <w:r>
        <w:rPr>
          <w:b w:val="false"/>
          <w:bCs w:val="false"/>
        </w:rPr>
        <w:t xml:space="preserve">This mirrors a corporate audit, where landlord-controlled central services are reported to the responsible persons for follow-up.</w:t>
      </w:r>
    </w:p>
    <w:p>
      <w:pPr>
        <w:pStyle w:val="Heading2"/>
      </w:pPr>
      <w:r>
        <w:rPr>
          <w:b w:val="false"/>
          <w:bCs w:val="false"/>
        </w:rPr>
        <w:t xml:space="preserve">10.4  Further studies (EAC §7.6.5)</w:t>
      </w:r>
    </w:p>
    <w:p>
      <w:pPr>
        <w:pStyle w:val="ListParagraph"/>
        <w:numPr>
          <w:ilvl w:val="0"/>
          <w:numId w:val="2"/>
        </w:numPr>
        <w:spacing w:after="60" w:line="264"/>
      </w:pPr>
      <w:r>
        <w:rPr>
          <w:b w:val="false"/>
          <w:bCs w:val="false"/>
        </w:rPr>
        <w:t xml:space="preserve">Obtain CityU's actual Octopus AC tariff (HK$/kWh) to replace the CLP-average proxy. This is the largest single uncertainty.</w:t>
      </w:r>
    </w:p>
    <w:p>
      <w:pPr>
        <w:pStyle w:val="ListParagraph"/>
        <w:numPr>
          <w:ilvl w:val="0"/>
          <w:numId w:val="2"/>
        </w:numPr>
        <w:spacing w:after="60" w:line="264"/>
      </w:pPr>
      <w:r>
        <w:rPr>
          <w:b w:val="false"/>
          <w:bCs w:val="false"/>
        </w:rPr>
        <w:t xml:space="preserve">Measure the exhaust-fan, desk-light and ceiling-batten power ratings, and the washroom's floor area.</w:t>
      </w:r>
    </w:p>
    <w:p>
      <w:pPr>
        <w:pStyle w:val="ListParagraph"/>
        <w:numPr>
          <w:ilvl w:val="0"/>
          <w:numId w:val="2"/>
        </w:numPr>
        <w:spacing w:after="60" w:line="264"/>
      </w:pPr>
      <w:r>
        <w:rPr>
          <w:b w:val="false"/>
          <w:bCs w:val="false"/>
        </w:rPr>
        <w:t xml:space="preserve">Record the water heater's dial setting, and measure the shower flow with a bucket test.</w:t>
      </w:r>
    </w:p>
    <w:p>
      <w:pPr>
        <w:pStyle w:val="ListParagraph"/>
        <w:numPr>
          <w:ilvl w:val="0"/>
          <w:numId w:val="2"/>
        </w:numPr>
        <w:spacing w:after="60" w:line="264"/>
      </w:pPr>
      <w:r>
        <w:rPr>
          <w:b w:val="false"/>
          <w:bCs w:val="false"/>
        </w:rPr>
        <w:t xml:space="preserve">At hall level: sub-meter the washroom heaters and kitchens, and study the demand-charge benefits of heat-pump water heating.</w:t>
      </w:r>
    </w:p>
    <w:p>
      <w:pPr>
        <w:pStyle w:val="Heading1"/>
        <w:pageBreakBefore/>
      </w:pPr>
      <w:r>
        <w:rPr>
          <w:b w:val="false"/>
          <w:bCs w:val="false"/>
        </w:rPr>
        <w:t xml:space="preserve">11  Uncertainty, limitations and sensitivity</w:t>
      </w:r>
    </w:p>
    <w:p>
      <w:pPr>
        <w:spacing w:after="120" w:before="0" w:line="276"/>
        <w:jc w:val="both"/>
      </w:pPr>
      <w:r>
        <w:rPr>
          <w:b w:val="false"/>
          <w:bCs w:val="false"/>
        </w:rPr>
        <w:t xml:space="preserve">Each key assumption was varied one at a time, and household Scope 2 emissions were recalculated in the workbook (Table 11.1, Figure 11.1).</w:t>
      </w:r>
    </w:p>
    <w:p>
      <w:pPr>
        <w:spacing w:after="40" w:before="0" w:line="276"/>
        <w:jc w:val="both"/>
      </w:pPr>
      <w:r>
        <w:rPr>
          <w:b w:val="false"/>
          <w:bCs w:val="false"/>
        </w:rPr>
        <w:t xml:space="preserve">The territory-wide default factor of 0.7 kg/kWh raises the result by 106%. This is a reporting convention rather than an uncertainty, which is why both factors are reported. Among the physical assumptions, the largest effects are:</w:t>
      </w:r>
    </w:p>
    <w:p>
      <w:pPr>
        <w:pStyle w:val="ListParagraph"/>
        <w:numPr>
          <w:ilvl w:val="0"/>
          <w:numId w:val="2"/>
        </w:numPr>
        <w:spacing w:after="60" w:line="264"/>
      </w:pPr>
      <w:r>
        <w:rPr>
          <w:b/>
          <w:bCs/>
        </w:rPr>
        <w:t xml:space="preserve">AC energy:</w:t>
      </w:r>
      <w:r>
        <w:rPr>
          <w:b w:val="false"/>
          <w:bCs w:val="false"/>
        </w:rPr>
        <w:t xml:space="preserve"> -12% to +8% across the alternative Octopus tariffs and the occupants' flat HK$120 estimate;</w:t>
      </w:r>
    </w:p>
    <w:p>
      <w:pPr>
        <w:pStyle w:val="ListParagraph"/>
        <w:numPr>
          <w:ilvl w:val="0"/>
          <w:numId w:val="2"/>
        </w:numPr>
        <w:spacing w:after="60" w:line="264"/>
      </w:pPr>
      <w:r>
        <w:rPr>
          <w:b/>
          <w:bCs/>
        </w:rPr>
        <w:t xml:space="preserve">roommate's habits:</w:t>
      </w:r>
      <w:r>
        <w:rPr>
          <w:b w:val="false"/>
          <w:bCs w:val="false"/>
        </w:rPr>
        <w:t xml:space="preserve"> -12% if the roommate's personal use is half the auditor's;</w:t>
      </w:r>
    </w:p>
    <w:p>
      <w:pPr>
        <w:pStyle w:val="ListParagraph"/>
        <w:numPr>
          <w:ilvl w:val="0"/>
          <w:numId w:val="2"/>
        </w:numPr>
        <w:spacing w:after="120" w:line="264"/>
      </w:pPr>
      <w:r>
        <w:rPr>
          <w:b/>
          <w:bCs/>
        </w:rPr>
        <w:t xml:space="preserve">shower flow rate:</w:t>
      </w:r>
      <w:r>
        <w:rPr>
          <w:b w:val="false"/>
          <w:bCs w:val="false"/>
        </w:rPr>
        <w:t xml:space="preserve"> -5% to +8% for 7-12 L/min.</w:t>
      </w:r>
    </w:p>
    <w:p>
      <w:pPr>
        <w:spacing w:after="120" w:before="0" w:line="276"/>
        <w:jc w:val="both"/>
      </w:pPr>
      <w:r>
        <w:rPr>
          <w:b w:val="false"/>
          <w:bCs w:val="false"/>
        </w:rPr>
        <w:t xml:space="preserve">Combining the main independent uncertainties by root-sum-square gives about </w:t>
      </w:r>
      <w:r>
        <w:rPr>
          <w:b/>
          <w:bCs/>
        </w:rPr>
        <w:t xml:space="preserve">±20%</w:t>
      </w:r>
      <w:r>
        <w:rPr>
          <w:b w:val="false"/>
          <w:bCs w:val="false"/>
        </w:rPr>
        <w:t xml:space="preserve"> on household electricity, i.e. roughly 2,070-3,103 kWh/yr.</w:t>
      </w:r>
    </w:p>
    <w:p>
      <w:pPr>
        <w:keepNext/>
        <w:spacing w:after="80" w:before="160"/>
      </w:pPr>
      <w:r>
        <w:rPr>
          <w:b/>
          <w:bCs/>
          <w:color w:val="1F3864"/>
          <w:sz w:val="18"/>
          <w:szCs w:val="18"/>
        </w:rPr>
        <w:t xml:space="preserve">Table 11.1: One-at-a-time sensitivity (household, CLP factor unless stated)</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450"/>
        <w:gridCol w:w="3762"/>
        <w:gridCol w:w="900"/>
        <w:gridCol w:w="1100"/>
        <w:gridCol w:w="1200"/>
        <w:gridCol w:w="1000"/>
        <w:gridCol w:w="1000"/>
      </w:tblGrid>
      <w:tr>
        <w:trPr>
          <w:tblHeader/>
        </w:trPr>
        <w:tc>
          <w:tcPr>
            <w:tcW w:type="dxa" w:w="450"/>
            <w:shd w:fill="DCE6F0" w:color="auto" w:val="clear"/>
            <w:tcMar>
              <w:top w:type="dxa" w:w="50"/>
              <w:left w:type="dxa" w:w="90"/>
              <w:bottom w:type="dxa" w:w="50"/>
              <w:right w:type="dxa" w:w="90"/>
            </w:tcMar>
            <w:vAlign w:val="center"/>
          </w:tcPr>
          <w:p>
            <w:pPr>
              <w:spacing w:after="0" w:line="240"/>
              <w:jc w:val="center"/>
            </w:pPr>
            <w:r>
              <w:rPr>
                <w:b/>
                <w:bCs/>
                <w:color w:val="1F3864"/>
                <w:sz w:val="15"/>
                <w:szCs w:val="15"/>
              </w:rPr>
              <w:t xml:space="preserve">#</w:t>
            </w:r>
          </w:p>
        </w:tc>
        <w:tc>
          <w:tcPr>
            <w:tcW w:type="dxa" w:w="3762"/>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Scenario</w:t>
            </w:r>
          </w:p>
        </w:tc>
        <w:tc>
          <w:tcPr>
            <w:tcW w:type="dxa" w:w="9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Value</w:t>
            </w:r>
          </w:p>
        </w:tc>
        <w:tc>
          <w:tcPr>
            <w:tcW w:type="dxa" w:w="11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Room AC kWh</w:t>
            </w:r>
          </w:p>
        </w:tc>
        <w:tc>
          <w:tcPr>
            <w:tcW w:type="dxa" w:w="12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Household kWh</w:t>
            </w:r>
          </w:p>
        </w:tc>
        <w:tc>
          <w:tcPr>
            <w:tcW w:type="dxa" w:w="10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Scope 2 kg</w:t>
            </w:r>
          </w:p>
        </w:tc>
        <w:tc>
          <w:tcPr>
            <w:tcW w:type="dxa" w:w="1000"/>
            <w:shd w:fill="DCE6F0" w:color="auto" w:val="clear"/>
            <w:tcMar>
              <w:top w:type="dxa" w:w="50"/>
              <w:left w:type="dxa" w:w="90"/>
              <w:bottom w:type="dxa" w:w="50"/>
              <w:right w:type="dxa" w:w="90"/>
            </w:tcMar>
            <w:vAlign w:val="center"/>
          </w:tcPr>
          <w:p>
            <w:pPr>
              <w:spacing w:after="0" w:line="240"/>
              <w:jc w:val="right"/>
            </w:pPr>
            <w:r>
              <w:rPr>
                <w:b/>
                <w:bCs/>
                <w:color w:val="1F3864"/>
                <w:sz w:val="15"/>
                <w:szCs w:val="15"/>
              </w:rPr>
              <w:t xml:space="preserve">Change</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0</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Base case</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CLP 0.34; HK$1.406/kWh</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2,586</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879</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+0.0%</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1</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CLP 2024 emission factor</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0.380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2,586</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983</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+11.8%</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2</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Territory-wide default factor</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0.700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2,586</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1,810</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+105.9%</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3</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Octopus AC rate HK$1.20/kWh (CUHK level)</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1.20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950</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2,726</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927</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+5.4%</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4</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Octopus AC rate HK$2.31/kWh (HKU level)</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2.31</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494</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2,269</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771</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-12.3%</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5</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Stated flat average HK$120/month</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120.00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1,024</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2,800</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952</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+8.2%</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6</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Bottom-up AC (label 362 kWh/1,200 h)</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362.00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884</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2,660</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904</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+2.8%</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7</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Shower flow 7 L/min (Grade-1 head)</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7.00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2,445</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831</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-5.5%</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8</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Shower flow 12 L/min</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12.00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2,798</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951</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+8.2%</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9</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Laptop average draw 30% of adapter</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0.300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2,510</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854</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-2.9%</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10</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Laptop average draw 80% of adapter</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0.800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2,700</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918</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+4.4%</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11</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Roommate uses half the auditor's personal loads</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0.500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2,275</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774</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-12.0%</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12</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Kitchen allocated over 20 active users (not 32)</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20.00</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811</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2,694</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916</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+4.1%</w:t>
            </w:r>
          </w:p>
        </w:tc>
      </w:tr>
      <w:tr>
        <w:trPr>
          <w:cantSplit/>
        </w:trPr>
        <w:tc>
          <w:tcPr>
            <w:tcW w:type="dxa" w:w="450"/>
            <w:tcMar>
              <w:top w:type="dxa" w:w="50"/>
              <w:left w:type="dxa" w:w="90"/>
              <w:bottom w:type="dxa" w:w="50"/>
              <w:right w:type="dxa" w:w="90"/>
            </w:tcMar>
            <w:vAlign w:val="center"/>
          </w:tcPr>
          <w:p>
            <w:pPr>
              <w:spacing w:after="0" w:line="240"/>
              <w:jc w:val="center"/>
            </w:pPr>
            <w:r>
              <w:rPr>
                <w:b w:val="false"/>
                <w:bCs w:val="false"/>
                <w:sz w:val="15"/>
                <w:szCs w:val="15"/>
              </w:rPr>
              <w:t xml:space="preserve">13</w:t>
            </w:r>
          </w:p>
        </w:tc>
        <w:tc>
          <w:tcPr>
            <w:tcW w:type="dxa" w:w="3762"/>
            <w:tcMar>
              <w:top w:type="dxa" w:w="50"/>
              <w:left w:type="dxa" w:w="90"/>
              <w:bottom w:type="dxa" w:w="50"/>
              <w:right w:type="dxa" w:w="90"/>
            </w:tcMar>
            <w:vAlign w:val="center"/>
          </w:tcPr>
          <w:p>
            <w:pPr>
              <w:spacing w:after="0" w:line="240"/>
              <w:jc w:val="left"/>
            </w:pPr>
            <w:r>
              <w:rPr>
                <w:b w:val="false"/>
                <w:bCs w:val="false"/>
                <w:sz w:val="15"/>
                <w:szCs w:val="15"/>
              </w:rPr>
              <w:t xml:space="preserve">One month away (11 of 12 months occupied)</w:t>
            </w:r>
          </w:p>
        </w:tc>
        <w:tc>
          <w:tcPr>
            <w:tcW w:type="dxa" w:w="900"/>
            <w:tcMar>
              <w:top w:type="dxa" w:w="50"/>
              <w:left w:type="dxa" w:w="90"/>
              <w:bottom w:type="dxa" w:w="50"/>
              <w:right w:type="dxa" w:w="90"/>
            </w:tcMar>
            <w:vAlign w:val="center"/>
          </w:tcPr>
          <w:p>
            <w:pPr>
              <w:spacing w:after="0" w:line="240"/>
              <w:jc w:val="right"/>
            </w:pPr>
            <w:r>
              <w:rPr>
                <w:b w:val="false"/>
                <w:bCs w:val="false"/>
                <w:sz w:val="15"/>
                <w:szCs w:val="15"/>
              </w:rPr>
              <w:t xml:space="preserve">0.917</w:t>
            </w:r>
          </w:p>
        </w:tc>
        <w:tc>
          <w:tcPr>
            <w:tcW w:type="dxa" w:w="1100"/>
            <w:tcMar>
              <w:top w:type="dxa" w:w="50"/>
              <w:left w:type="dxa" w:w="90"/>
              <w:bottom w:type="dxa" w:w="50"/>
              <w:right w:type="dxa" w:w="90"/>
            </w:tcMar>
            <w:vAlign w:val="center"/>
          </w:tcPr>
          <w:p>
            <w:pPr>
              <w:spacing w:after="0" w:line="240"/>
              <w:jc w:val="right"/>
            </w:pPr>
            <w:r>
              <w:rPr>
                <w:b w:val="false"/>
                <w:bCs w:val="false"/>
                <w:sz w:val="15"/>
                <w:szCs w:val="15"/>
              </w:rPr>
              <w:t xml:space="preserve">743</w:t>
            </w:r>
          </w:p>
        </w:tc>
        <w:tc>
          <w:tcPr>
            <w:tcW w:type="dxa" w:w="1200"/>
            <w:tcMar>
              <w:top w:type="dxa" w:w="50"/>
              <w:left w:type="dxa" w:w="90"/>
              <w:bottom w:type="dxa" w:w="50"/>
              <w:right w:type="dxa" w:w="90"/>
            </w:tcMar>
            <w:vAlign w:val="center"/>
          </w:tcPr>
          <w:p>
            <w:pPr>
              <w:spacing w:after="0" w:line="240"/>
              <w:jc w:val="right"/>
            </w:pPr>
            <w:r>
              <w:rPr>
                <w:b w:val="false"/>
                <w:bCs w:val="false"/>
                <w:sz w:val="15"/>
                <w:szCs w:val="15"/>
              </w:rPr>
              <w:t xml:space="preserve">2,398</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815</w:t>
            </w:r>
          </w:p>
        </w:tc>
        <w:tc>
          <w:tcPr>
            <w:tcW w:type="dxa" w:w="1000"/>
            <w:tcMar>
              <w:top w:type="dxa" w:w="50"/>
              <w:left w:type="dxa" w:w="90"/>
              <w:bottom w:type="dxa" w:w="50"/>
              <w:right w:type="dxa" w:w="90"/>
            </w:tcMar>
            <w:vAlign w:val="center"/>
          </w:tcPr>
          <w:p>
            <w:pPr>
              <w:spacing w:after="0" w:line="240"/>
              <w:jc w:val="right"/>
            </w:pPr>
            <w:r>
              <w:rPr>
                <w:b w:val="false"/>
                <w:bCs w:val="false"/>
                <w:sz w:val="15"/>
                <w:szCs w:val="15"/>
              </w:rPr>
              <w:t xml:space="preserve">-7.3%</w:t>
            </w:r>
          </w:p>
        </w:tc>
      </w:tr>
    </w:tbl>
    <w:p>
      <w:pPr>
        <w:keepNext/>
        <w:spacing w:after="40" w:before="120"/>
        <w:jc w:val="center"/>
      </w:pPr>
      <w:r>
        <w:drawing>
          <wp:inline distT="0" distB="0" distL="0" distR="0">
            <wp:extent cx="5810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10250" cy="2533650"/>
                    </a:xfrm>
                    <a:prstGeom prst="rect">
                      <a:avLst/>
                    </a:prstGeom>
                  </pic:spPr>
                </pic:pic>
              </a:graphicData>
            </a:graphic>
          </wp:inline>
        </w:drawing>
      </w:r>
    </w:p>
    <w:p>
      <w:pPr>
        <w:spacing w:after="200" w:before="60"/>
        <w:jc w:val="center"/>
      </w:pPr>
      <w:r>
        <w:rPr>
          <w:b w:val="false"/>
          <w:bCs w:val="false"/>
          <w:i/>
          <w:iCs/>
          <w:color w:val="52514E"/>
          <w:sz w:val="17"/>
          <w:szCs w:val="17"/>
        </w:rPr>
        <w:t xml:space="preserve">Figure 11.1: Sensitivity of household Scope 2 emissions to each assumption</w:t>
      </w:r>
    </w:p>
    <w:p>
      <w:pPr>
        <w:pStyle w:val="Heading2"/>
      </w:pPr>
      <w:r>
        <w:rPr>
          <w:b w:val="false"/>
          <w:bCs w:val="false"/>
        </w:rPr>
        <w:t xml:space="preserve">11.1  Limitations</w:t>
      </w:r>
    </w:p>
    <w:p>
      <w:pPr>
        <w:pStyle w:val="ListParagraph"/>
        <w:numPr>
          <w:ilvl w:val="0"/>
          <w:numId w:val="2"/>
        </w:numPr>
        <w:spacing w:after="60" w:line="264"/>
      </w:pPr>
      <w:r>
        <w:rPr>
          <w:b w:val="false"/>
          <w:bCs w:val="false"/>
        </w:rPr>
        <w:t xml:space="preserve">No sub-metering: only the AC is metered (through spend), and all other loads are estimated from ratings and reported hours.</w:t>
      </w:r>
    </w:p>
    <w:p>
      <w:pPr>
        <w:pStyle w:val="ListParagraph"/>
        <w:numPr>
          <w:ilvl w:val="0"/>
          <w:numId w:val="2"/>
        </w:numPr>
        <w:spacing w:after="60" w:line="264"/>
      </w:pPr>
      <w:r>
        <w:rPr>
          <w:b w:val="false"/>
          <w:bCs w:val="false"/>
        </w:rPr>
        <w:t xml:space="preserve">28 of 104 inputs are typical assumed values. Among them, lighting and fan wattages are assumed because no labels were visible.</w:t>
      </w:r>
    </w:p>
    <w:p>
      <w:pPr>
        <w:pStyle w:val="ListParagraph"/>
        <w:numPr>
          <w:ilvl w:val="0"/>
          <w:numId w:val="2"/>
        </w:numPr>
        <w:spacing w:after="60" w:line="264"/>
      </w:pPr>
      <w:r>
        <w:rPr>
          <w:b w:val="false"/>
          <w:bCs w:val="false"/>
        </w:rPr>
        <w:t xml:space="preserve">The roommate's personal loads are assumed equal to the auditor's.</w:t>
      </w:r>
    </w:p>
    <w:p>
      <w:pPr>
        <w:pStyle w:val="ListParagraph"/>
        <w:numPr>
          <w:ilvl w:val="0"/>
          <w:numId w:val="2"/>
        </w:numPr>
        <w:spacing w:after="60" w:line="264"/>
      </w:pPr>
      <w:r>
        <w:rPr>
          <w:b w:val="false"/>
          <w:bCs w:val="false"/>
        </w:rPr>
        <w:t xml:space="preserve">Shared loads are allocated per user, which ignores differences in individual use.</w:t>
      </w:r>
    </w:p>
    <w:p>
      <w:pPr>
        <w:pStyle w:val="ListParagraph"/>
        <w:numPr>
          <w:ilvl w:val="0"/>
          <w:numId w:val="2"/>
        </w:numPr>
        <w:spacing w:after="60" w:line="264"/>
      </w:pPr>
      <w:r>
        <w:rPr>
          <w:b w:val="false"/>
          <w:bCs w:val="false"/>
        </w:rPr>
        <w:t xml:space="preserve">The label-based AC estimate uses the HK test-condition average, not this room's measured load.</w:t>
      </w:r>
    </w:p>
    <w:p>
      <w:pPr>
        <w:pStyle w:val="ListParagraph"/>
        <w:numPr>
          <w:ilvl w:val="0"/>
          <w:numId w:val="2"/>
        </w:numPr>
        <w:spacing w:after="60" w:line="264"/>
      </w:pPr>
      <w:r>
        <w:rPr>
          <w:b w:val="false"/>
          <w:bCs w:val="false"/>
        </w:rPr>
        <w:t xml:space="preserve">Cold-water inlet temperature is taken as the monthly mean air temperature.</w:t>
      </w:r>
    </w:p>
    <w:p>
      <w:pPr>
        <w:pStyle w:val="ListParagraph"/>
        <w:numPr>
          <w:ilvl w:val="0"/>
          <w:numId w:val="2"/>
        </w:numPr>
        <w:spacing w:after="60" w:line="264"/>
      </w:pPr>
      <w:r>
        <w:rPr>
          <w:b w:val="false"/>
          <w:bCs w:val="false"/>
        </w:rPr>
        <w:t xml:space="preserve">The Guidelines (2010) are dated; current factors were substituted, using the Guidelines' methods.</w:t>
      </w:r>
    </w:p>
    <w:p>
      <w:pPr>
        <w:pStyle w:val="ListParagraph"/>
        <w:numPr>
          <w:ilvl w:val="0"/>
          <w:numId w:val="2"/>
        </w:numPr>
        <w:spacing w:after="60" w:line="264"/>
      </w:pPr>
      <w:r>
        <w:rPr>
          <w:b w:val="false"/>
          <w:bCs w:val="false"/>
        </w:rPr>
        <w:t xml:space="preserve">Daily-activity factors (DESNZ, Scarborough) are not Hong Kong-specific.</w:t>
      </w:r>
    </w:p>
    <w:p>
      <w:pPr>
        <w:pStyle w:val="Heading1"/>
        <w:pageBreakBefore/>
      </w:pPr>
      <w:r>
        <w:rPr>
          <w:b w:val="false"/>
          <w:bCs w:val="false"/>
        </w:rPr>
        <w:t xml:space="preserve">12  Conclusions and lessons for the corporate carbon audit</w:t>
      </w:r>
    </w:p>
    <w:p>
      <w:pPr>
        <w:pStyle w:val="Heading2"/>
      </w:pPr>
      <w:r>
        <w:rPr>
          <w:b w:val="false"/>
          <w:bCs w:val="false"/>
        </w:rPr>
        <w:t xml:space="preserve">12.1  Conclusions</w:t>
      </w:r>
    </w:p>
    <w:p>
      <w:pPr>
        <w:pStyle w:val="ListParagraph"/>
        <w:numPr>
          <w:ilvl w:val="0"/>
          <w:numId w:val="2"/>
        </w:numPr>
        <w:spacing w:after="60" w:line="264"/>
      </w:pPr>
      <w:r>
        <w:rPr>
          <w:b w:val="false"/>
          <w:bCs w:val="false"/>
        </w:rPr>
        <w:t xml:space="preserve">The household uses about </w:t>
      </w:r>
      <w:r>
        <w:rPr>
          <w:b/>
          <w:bCs/>
        </w:rPr>
        <w:t xml:space="preserve">2,586 kWh/yr</w:t>
      </w:r>
      <w:r>
        <w:rPr>
          <w:b w:val="false"/>
          <w:bCs w:val="false"/>
        </w:rPr>
        <w:t xml:space="preserve"> of electricity: 1,293 kWh per person, and a room EUI of 292.7 MJ/m²/yr. This emits </w:t>
      </w:r>
      <w:r>
        <w:rPr>
          <w:b/>
          <w:bCs/>
        </w:rPr>
        <w:t xml:space="preserve">939 kg </w:t>
      </w:r>
      <w:r>
        <w:rPr>
          <w:b/>
          <w:bCs/>
        </w:rPr>
        <w:t xml:space="preserve">CO</w:t>
      </w:r>
      <w:r>
        <w:rPr>
          <w:b/>
          <w:bCs/>
          <w:vertAlign w:val="subscript"/>
        </w:rPr>
        <w:t xml:space="preserve">2</w:t>
      </w:r>
      <w:r>
        <w:rPr>
          <w:b/>
          <w:bCs/>
        </w:rPr>
        <w:t xml:space="preserve">e/yr</w:t>
      </w:r>
      <w:r>
        <w:rPr>
          <w:b w:val="false"/>
          <w:bCs w:val="false"/>
        </w:rPr>
        <w:t xml:space="preserve"> on CLP's 2025 factor, or 1,870 kg on the 0.7 default.</w:t>
      </w:r>
    </w:p>
    <w:p>
      <w:pPr>
        <w:pStyle w:val="ListParagraph"/>
        <w:numPr>
          <w:ilvl w:val="0"/>
          <w:numId w:val="2"/>
        </w:numPr>
        <w:spacing w:after="60" w:line="264"/>
      </w:pPr>
      <w:r>
        <w:rPr>
          <w:b w:val="false"/>
          <w:bCs w:val="false"/>
        </w:rPr>
        <w:t xml:space="preserve">Air-conditioning (34.4%) and shower hot water (24.5%) dominate. Their seasonality runs in opposite directions, which flattens the monthly profile.</w:t>
      </w:r>
    </w:p>
    <w:p>
      <w:pPr>
        <w:pStyle w:val="ListParagraph"/>
        <w:numPr>
          <w:ilvl w:val="0"/>
          <w:numId w:val="2"/>
        </w:numPr>
        <w:spacing w:after="60" w:line="264"/>
      </w:pPr>
      <w:r>
        <w:rPr>
          <w:b w:val="false"/>
          <w:bCs w:val="false"/>
        </w:rPr>
        <w:t xml:space="preserve">The equipment is already efficient (Grade-1 labels, LED lighting). The savings lie in operation: set-points, schedules, run-hours of shared plant, and shower habits.</w:t>
      </w:r>
    </w:p>
    <w:p>
      <w:pPr>
        <w:pStyle w:val="ListParagraph"/>
        <w:numPr>
          <w:ilvl w:val="0"/>
          <w:numId w:val="2"/>
        </w:numPr>
        <w:spacing w:after="60" w:line="264"/>
      </w:pPr>
      <w:r>
        <w:rPr>
          <w:b w:val="false"/>
          <w:bCs w:val="false"/>
        </w:rPr>
        <w:t xml:space="preserve">52.8% of the household's energy is in shared facilities, so the hall management is an essential partner.</w:t>
      </w:r>
    </w:p>
    <w:p>
      <w:pPr>
        <w:pStyle w:val="ListParagraph"/>
        <w:numPr>
          <w:ilvl w:val="0"/>
          <w:numId w:val="2"/>
        </w:numPr>
        <w:spacing w:after="60" w:line="264"/>
      </w:pPr>
      <w:r>
        <w:rPr>
          <w:b w:val="false"/>
          <w:bCs w:val="false"/>
        </w:rPr>
        <w:t xml:space="preserve">No-cost Category I measures save about 19.5%. The four main Category II measures at hall level (EMO-09 to EMO-12) pay back in under 4 years. Replacing the AC is not viable.</w:t>
      </w:r>
    </w:p>
    <w:p>
      <w:pPr>
        <w:pStyle w:val="Heading2"/>
      </w:pPr>
      <w:r>
        <w:rPr>
          <w:b w:val="false"/>
          <w:bCs w:val="false"/>
        </w:rPr>
        <w:t xml:space="preserve">12.2  Lessons for the corporate carbon audit</w:t>
      </w:r>
    </w:p>
    <w:p>
      <w:pPr>
        <w:pStyle w:val="ListParagraph"/>
        <w:numPr>
          <w:ilvl w:val="0"/>
          <w:numId w:val="4"/>
        </w:numPr>
        <w:spacing w:after="60" w:line="264"/>
      </w:pPr>
      <w:r>
        <w:rPr>
          <w:b/>
          <w:bCs/>
        </w:rPr>
        <w:t xml:space="preserve">Set the boundary deliberately.</w:t>
      </w:r>
      <w:r>
        <w:rPr>
          <w:b w:val="false"/>
          <w:bCs w:val="false"/>
        </w:rPr>
        <w:t xml:space="preserve"> In a hostel, as in a multi-tenant office, the energy a user causes sits partly in landlord-controlled central services. Organisational and operational boundaries, and the allocation rules between them, must be decided and documented before any data is collected.</w:t>
      </w:r>
    </w:p>
    <w:p>
      <w:pPr>
        <w:pStyle w:val="ListParagraph"/>
        <w:numPr>
          <w:ilvl w:val="0"/>
          <w:numId w:val="4"/>
        </w:numPr>
        <w:spacing w:after="60" w:line="264"/>
      </w:pPr>
      <w:r>
        <w:rPr>
          <w:b/>
          <w:bCs/>
        </w:rPr>
        <w:t xml:space="preserve">Build a data hierarchy and fill gaps transparently.</w:t>
      </w:r>
      <w:r>
        <w:rPr>
          <w:b w:val="false"/>
          <w:bCs w:val="false"/>
        </w:rPr>
        <w:t xml:space="preserve"> Metered data, then nameplate ratings, then reported behaviour, then published values, then assumptions. Each value is tagged and stress-tested.</w:t>
      </w:r>
    </w:p>
    <w:p>
      <w:pPr>
        <w:pStyle w:val="ListParagraph"/>
        <w:numPr>
          <w:ilvl w:val="0"/>
          <w:numId w:val="4"/>
        </w:numPr>
        <w:spacing w:after="60" w:line="264"/>
      </w:pPr>
      <w:r>
        <w:rPr>
          <w:b/>
          <w:bCs/>
        </w:rPr>
        <w:t xml:space="preserve">Triangulate.</w:t>
      </w:r>
      <w:r>
        <w:rPr>
          <w:b w:val="false"/>
          <w:bCs w:val="false"/>
        </w:rPr>
        <w:t xml:space="preserve"> Two independent estimates (financial and engineering) that agree within about 10% give far more confidence than one.</w:t>
      </w:r>
    </w:p>
    <w:p>
      <w:pPr>
        <w:pStyle w:val="ListParagraph"/>
        <w:numPr>
          <w:ilvl w:val="0"/>
          <w:numId w:val="4"/>
        </w:numPr>
        <w:spacing w:after="60" w:line="264"/>
      </w:pPr>
      <w:r>
        <w:rPr>
          <w:b/>
          <w:bCs/>
        </w:rPr>
        <w:t xml:space="preserve">Report emission factors explicitly.</w:t>
      </w:r>
      <w:r>
        <w:rPr>
          <w:b w:val="false"/>
          <w:bCs w:val="false"/>
        </w:rPr>
        <w:t xml:space="preserve"> Hong Kong's Guidelines require both the territory default and the utility-specific factor; the choice alone changes the answer by a factor of two.</w:t>
      </w:r>
    </w:p>
    <w:p>
      <w:pPr>
        <w:pStyle w:val="ListParagraph"/>
        <w:numPr>
          <w:ilvl w:val="0"/>
          <w:numId w:val="4"/>
        </w:numPr>
        <w:spacing w:after="60" w:line="264"/>
      </w:pPr>
      <w:r>
        <w:rPr>
          <w:b/>
          <w:bCs/>
        </w:rPr>
        <w:t xml:space="preserve">Expect Scope 3 to dominate.</w:t>
      </w:r>
      <w:r>
        <w:rPr>
          <w:b w:val="false"/>
          <w:bCs w:val="false"/>
        </w:rPr>
        <w:t xml:space="preserve"> Travel and food far exceeded the home's energy, as purchased goods and business travel typically do in corporate footprints.</w:t>
      </w:r>
    </w:p>
    <w:p>
      <w:pPr>
        <w:pStyle w:val="ListParagraph"/>
        <w:numPr>
          <w:ilvl w:val="0"/>
          <w:numId w:val="4"/>
        </w:numPr>
        <w:spacing w:after="60" w:line="264"/>
      </w:pPr>
      <w:r>
        <w:rPr>
          <w:b/>
          <w:bCs/>
        </w:rPr>
        <w:t xml:space="preserve">Behaviour and governance beat hardware.</w:t>
      </w:r>
      <w:r>
        <w:rPr>
          <w:b w:val="false"/>
          <w:bCs w:val="false"/>
        </w:rPr>
        <w:t xml:space="preserve"> Split incentives (who pays versus who decides) shaped the EMO list as much as engineering did.</w:t>
      </w:r>
    </w:p>
    <w:p>
      <w:pPr>
        <w:pStyle w:val="ListParagraph"/>
        <w:numPr>
          <w:ilvl w:val="0"/>
          <w:numId w:val="4"/>
        </w:numPr>
        <w:spacing w:after="60" w:line="264"/>
      </w:pPr>
      <w:r>
        <w:rPr>
          <w:b/>
          <w:bCs/>
        </w:rPr>
        <w:t xml:space="preserve">Plan M&amp;V from day one.</w:t>
      </w:r>
      <w:r>
        <w:rPr>
          <w:b w:val="false"/>
          <w:bCs w:val="false"/>
        </w:rPr>
        <w:t xml:space="preserve"> Without metering points, savings cannot be verified (EAC §7.5-7.6).</w:t>
      </w:r>
    </w:p>
    <w:p>
      <w:pPr>
        <w:pStyle w:val="Heading1"/>
        <w:pageBreakBefore/>
      </w:pPr>
      <w:r>
        <w:rPr>
          <w:b w:val="false"/>
          <w:bCs w:val="false"/>
        </w:rPr>
        <w:t xml:space="preserve">References</w:t>
      </w:r>
    </w:p>
    <w:p>
      <w:pPr>
        <w:spacing w:after="80" w:line="252"/>
        <w:ind w:left="440" w:hanging="440"/>
      </w:pPr>
      <w:r>
        <w:rPr>
          <w:b w:val="false"/>
          <w:bCs w:val="false"/>
          <w:sz w:val="17"/>
          <w:szCs w:val="17"/>
        </w:rPr>
        <w:t xml:space="preserve">[1] EMSD (2018) Code of Practice for Building Energy Audit (EAC 2018), Buildings Energy Efficiency Ordinance (Cap. 610). Course file EAC_2018.pdf. </w:t>
      </w:r>
    </w:p>
    <w:p>
      <w:pPr>
        <w:spacing w:after="80" w:line="252"/>
        <w:ind w:left="440" w:hanging="440"/>
      </w:pPr>
      <w:r>
        <w:rPr>
          <w:b w:val="false"/>
          <w:bCs w:val="false"/>
          <w:sz w:val="17"/>
          <w:szCs w:val="17"/>
        </w:rPr>
        <w:t xml:space="preserve">[2] EPD &amp; EMSD (2010) Guidelines to Account for and Report on Greenhouse Gas Emissions and Removals for Buildings (Commercial, Residential or Institutional Purposes) in Hong Kong. Course file. </w:t>
      </w:r>
    </w:p>
    <w:p>
      <w:pPr>
        <w:spacing w:after="80" w:line="252"/>
        <w:ind w:left="440" w:hanging="440"/>
      </w:pPr>
      <w:r>
        <w:rPr>
          <w:b w:val="false"/>
          <w:bCs w:val="false"/>
          <w:sz w:val="17"/>
          <w:szCs w:val="17"/>
        </w:rPr>
        <w:t xml:space="preserve">[3] EMSD Technical Form EE-EAes (V.2) - Executive Summary of Energy Audit Report. Course file 2_EE-EAes2018 (V.0)_SEE6115-8115.xls. </w:t>
      </w:r>
    </w:p>
    <w:p>
      <w:pPr>
        <w:spacing w:after="80" w:line="252"/>
        <w:ind w:left="440" w:hanging="440"/>
      </w:pPr>
      <w:r>
        <w:rPr>
          <w:b w:val="false"/>
          <w:bCs w:val="false"/>
          <w:sz w:val="17"/>
          <w:szCs w:val="17"/>
        </w:rPr>
        <w:t xml:space="preserve">[4] Penn State / SMARTdwell Home Energy Audit Tool (course version). Course file 1_SEE6115-8115_Home Energy Audit Tool.xlsx. </w:t>
      </w:r>
    </w:p>
    <w:p>
      <w:pPr>
        <w:spacing w:after="80" w:line="252"/>
        <w:ind w:left="440" w:hanging="440"/>
      </w:pPr>
      <w:r>
        <w:rPr>
          <w:b w:val="false"/>
          <w:bCs w:val="false"/>
          <w:sz w:val="17"/>
          <w:szCs w:val="17"/>
        </w:rPr>
        <w:t xml:space="preserve">[5] CLP Holdings (2026) Sustainability Report 2025 - ESG Data Hub: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 emissions intensity of electricity sold by CLP Power Hong Kong = 0.34 kg/kWh (2025); 0.38 (2024); 0.39 (2023). </w:t>
      </w:r>
      <w:hyperlink w:history="1" r:id="rIddltqisuktsuql4uqd5xzq">
        <w:r>
          <w:rPr>
            <w:rStyle w:val="Hyperlink"/>
            <w:sz w:val="17"/>
            <w:szCs w:val="17"/>
          </w:rPr>
          <w:t xml:space="preserve">https://sustainability.clpgroup.com/en/2025/esg-data-hub</w:t>
        </w:r>
      </w:hyperlink>
    </w:p>
    <w:p>
      <w:pPr>
        <w:spacing w:after="80" w:line="252"/>
        <w:ind w:left="440" w:hanging="440"/>
      </w:pPr>
      <w:r>
        <w:rPr>
          <w:b w:val="false"/>
          <w:bCs w:val="false"/>
          <w:sz w:val="17"/>
          <w:szCs w:val="17"/>
        </w:rPr>
        <w:t xml:space="preserve">[6] CLP Power (2025) 2026 Tariff Adjustment - Average Net Tariff 140.6 cents/kWh (Basic Tariff 101.2 + Fuel Cost Adjustment 39.4). </w:t>
      </w:r>
      <w:hyperlink w:history="1" r:id="rIdxrr3saubwn7pt0u5nqi4c">
        <w:r>
          <w:rPr>
            <w:rStyle w:val="Hyperlink"/>
            <w:sz w:val="17"/>
            <w:szCs w:val="17"/>
          </w:rPr>
          <w:t xml:space="preserve">https://www.clp.com.hk/en/clp-power-tariff-adjustment-2026</w:t>
        </w:r>
      </w:hyperlink>
    </w:p>
    <w:p>
      <w:pPr>
        <w:spacing w:after="80" w:line="252"/>
        <w:ind w:left="440" w:hanging="440"/>
      </w:pPr>
      <w:r>
        <w:rPr>
          <w:b w:val="false"/>
          <w:bCs w:val="false"/>
          <w:sz w:val="17"/>
          <w:szCs w:val="17"/>
        </w:rPr>
        <w:t xml:space="preserve">[7] news.gov.hk (18 Nov 2025) 2026 electricity tariffs reduced - typical 3-person household consuming 275 kWh/month. </w:t>
      </w:r>
      <w:hyperlink w:history="1" r:id="rId1ses38la4erjoanoskeln">
        <w:r>
          <w:rPr>
            <w:rStyle w:val="Hyperlink"/>
            <w:sz w:val="17"/>
            <w:szCs w:val="17"/>
          </w:rPr>
          <w:t xml:space="preserve">https://www.news.gov.hk/eng/2025/11/20251118/20251118_171441_586.html</w:t>
        </w:r>
      </w:hyperlink>
    </w:p>
    <w:p>
      <w:pPr>
        <w:spacing w:after="80" w:line="252"/>
        <w:ind w:left="440" w:hanging="440"/>
      </w:pPr>
      <w:r>
        <w:rPr>
          <w:b w:val="false"/>
          <w:bCs w:val="false"/>
          <w:sz w:val="17"/>
          <w:szCs w:val="17"/>
        </w:rPr>
        <w:t xml:space="preserve">[8] Hong Kong Observatory - Climatological normals 1991-2020 (10-day and half-monthly mean air temperature, HKO Headquarters). </w:t>
      </w:r>
      <w:hyperlink w:history="1" r:id="rIdvhw3dlnxng-4aguteb98w">
        <w:r>
          <w:rPr>
            <w:rStyle w:val="Hyperlink"/>
            <w:sz w:val="17"/>
            <w:szCs w:val="17"/>
          </w:rPr>
          <w:t xml:space="preserve">https://www.hko.gov.hk/en/cis/normal/1991_2020/15day_normal.htm</w:t>
        </w:r>
      </w:hyperlink>
    </w:p>
    <w:p>
      <w:pPr>
        <w:spacing w:after="80" w:line="252"/>
        <w:ind w:left="440" w:hanging="440"/>
      </w:pPr>
      <w:r>
        <w:rPr>
          <w:b w:val="false"/>
          <w:bCs w:val="false"/>
          <w:sz w:val="17"/>
          <w:szCs w:val="17"/>
        </w:rPr>
        <w:t xml:space="preserve">[9] EMSD Mandatory Energy Efficiency Labelling Scheme - Room air conditioners: annual energy consumption stated on the label is based on 1,200 hours/year of operation. </w:t>
      </w:r>
      <w:hyperlink w:history="1" r:id="rIdecj0yn-a57sxtj3fkdlg9">
        <w:r>
          <w:rPr>
            <w:rStyle w:val="Hyperlink"/>
            <w:sz w:val="17"/>
            <w:szCs w:val="17"/>
          </w:rPr>
          <w:t xml:space="preserve">https://www.emsd.gov.hk/energylabel/en/households/rac/eels_ac_eot_popup.htm</w:t>
        </w:r>
      </w:hyperlink>
    </w:p>
    <w:p>
      <w:pPr>
        <w:spacing w:after="80" w:line="252"/>
        <w:ind w:left="440" w:hanging="440"/>
      </w:pPr>
      <w:r>
        <w:rPr>
          <w:b w:val="false"/>
          <w:bCs w:val="false"/>
          <w:sz w:val="17"/>
          <w:szCs w:val="17"/>
        </w:rPr>
        <w:t xml:space="preserve">[10] Environment and Ecology Bureau (17 Apr 2025) Hong Kong GHG emission inventory 2023 (AR5): about 4.58 t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 per capita; electricity generation 61% of total. </w:t>
      </w:r>
      <w:hyperlink w:history="1" r:id="rIdntegxcrvjc7dxp454x7hb">
        <w:r>
          <w:rPr>
            <w:rStyle w:val="Hyperlink"/>
            <w:sz w:val="17"/>
            <w:szCs w:val="17"/>
          </w:rPr>
          <w:t xml:space="preserve">https://www.news.gov.hk/eng/2025/04/20250417/20250417_120238_003.html</w:t>
        </w:r>
      </w:hyperlink>
    </w:p>
    <w:p>
      <w:pPr>
        <w:spacing w:after="80" w:line="252"/>
        <w:ind w:left="440" w:hanging="440"/>
      </w:pPr>
      <w:r>
        <w:rPr>
          <w:b w:val="false"/>
          <w:bCs w:val="false"/>
          <w:sz w:val="17"/>
          <w:szCs w:val="17"/>
        </w:rPr>
        <w:t xml:space="preserve">[11] Water Supplies Department Annual Report 2023/24 (as cited by HKGBC): unit electricity consumption 0.624 kWh/m3 fresh water, 0.362 kWh/m3 salt water. </w:t>
      </w:r>
      <w:hyperlink w:history="1" r:id="rIdgydro7hpj5dk2_etpgpky">
        <w:r>
          <w:rPr>
            <w:rStyle w:val="Hyperlink"/>
            <w:sz w:val="17"/>
            <w:szCs w:val="17"/>
          </w:rPr>
          <w:t xml:space="preserve">https://hkgbc.org.hk/eng/resources/publications/HKGBC-Publication/Reports/green-building-in-action/references/2025.jsp</w:t>
        </w:r>
      </w:hyperlink>
    </w:p>
    <w:p>
      <w:pPr>
        <w:spacing w:after="80" w:line="252"/>
        <w:ind w:left="440" w:hanging="440"/>
      </w:pPr>
      <w:r>
        <w:rPr>
          <w:b w:val="false"/>
          <w:bCs w:val="false"/>
          <w:sz w:val="17"/>
          <w:szCs w:val="17"/>
        </w:rPr>
        <w:t xml:space="preserve">[12] Drainage Services Department Sustainability Report 2021/22 (as cited by HKU Water Centre): average unit electricity consumption of sewage treated 0.29 kWh/m3. </w:t>
      </w:r>
      <w:hyperlink w:history="1" r:id="rIdjmtluyuipef7uuzkzuyfb">
        <w:r>
          <w:rPr>
            <w:rStyle w:val="Hyperlink"/>
            <w:sz w:val="17"/>
            <w:szCs w:val="17"/>
          </w:rPr>
          <w:t xml:space="preserve">https://water.hku.hk/wp-content/uploads/2024/05/221200-ECF_Final-report_website-updates.pdf</w:t>
        </w:r>
      </w:hyperlink>
    </w:p>
    <w:p>
      <w:pPr>
        <w:spacing w:after="80" w:line="252"/>
        <w:ind w:left="440" w:hanging="440"/>
      </w:pPr>
      <w:r>
        <w:rPr>
          <w:b w:val="false"/>
          <w:bCs w:val="false"/>
          <w:sz w:val="17"/>
          <w:szCs w:val="17"/>
        </w:rPr>
        <w:t xml:space="preserve">[13] HKU Water Centre - Water conservation: per-capita domestic fresh water consumption 120.9 L/day (2023/24); ~85% of population uses seawater for flushing. </w:t>
      </w:r>
      <w:hyperlink w:history="1" r:id="rIdukspaglginsd2z0_n_nqe">
        <w:r>
          <w:rPr>
            <w:rStyle w:val="Hyperlink"/>
            <w:sz w:val="17"/>
            <w:szCs w:val="17"/>
          </w:rPr>
          <w:t xml:space="preserve">https://water.hku.hk/water-conservation/</w:t>
        </w:r>
      </w:hyperlink>
    </w:p>
    <w:p>
      <w:pPr>
        <w:spacing w:after="80" w:line="252"/>
        <w:ind w:left="440" w:hanging="440"/>
      </w:pPr>
      <w:r>
        <w:rPr>
          <w:b w:val="false"/>
          <w:bCs w:val="false"/>
          <w:sz w:val="17"/>
          <w:szCs w:val="17"/>
        </w:rPr>
        <w:t xml:space="preserve">[14] HKSAR Government (4 Jul 2012) LCQ5: raising indoor temperature by 1 degC can reduce AC electricity by around 3%; 25.5 degC guideline. </w:t>
      </w:r>
      <w:hyperlink w:history="1" r:id="rIdava2byl5xw_ubgm0wv-a4">
        <w:r>
          <w:rPr>
            <w:rStyle w:val="Hyperlink"/>
            <w:sz w:val="17"/>
            <w:szCs w:val="17"/>
          </w:rPr>
          <w:t xml:space="preserve">https://www.info.gov.hk/gia/general/201207/04/P201207040635.htm</w:t>
        </w:r>
      </w:hyperlink>
    </w:p>
    <w:p>
      <w:pPr>
        <w:spacing w:after="80" w:line="252"/>
        <w:ind w:left="440" w:hanging="440"/>
      </w:pPr>
      <w:r>
        <w:rPr>
          <w:b w:val="false"/>
          <w:bCs w:val="false"/>
          <w:sz w:val="17"/>
          <w:szCs w:val="17"/>
        </w:rPr>
        <w:t xml:space="preserve">[15] CityUHK (11 Dec 2024) Opening and Naming Ceremony for Lee Shau Kee Student Residence Village, Ma On Shan - 6 halls in 3 towers, ~2,100 residents, MiC with 1,300+ modules, opened Q3 2024, 110 rooftop PV panels. </w:t>
      </w:r>
      <w:hyperlink w:history="1" r:id="rIdhjizwixxink-i0nrjmzpp">
        <w:r>
          <w:rPr>
            <w:rStyle w:val="Hyperlink"/>
            <w:sz w:val="17"/>
            <w:szCs w:val="17"/>
          </w:rPr>
          <w:t xml:space="preserve">https://www.cityu.edu.hk/en/media/press-release/2024/12/11/cityuhk-holds-opening-and-naming-ceremony-lee-shau-kee-student-residence-village</w:t>
        </w:r>
      </w:hyperlink>
    </w:p>
    <w:p>
      <w:pPr>
        <w:spacing w:after="80" w:line="252"/>
        <w:ind w:left="440" w:hanging="440"/>
      </w:pPr>
      <w:r>
        <w:rPr>
          <w:b w:val="false"/>
          <w:bCs w:val="false"/>
          <w:sz w:val="17"/>
          <w:szCs w:val="17"/>
        </w:rPr>
        <w:t xml:space="preserve">[16] Stiebel Eltron DHB-E 27 SLi electronic instantaneous water heater: 27 kW at 400 V / 24.4 kW at 380 V, max 13.8 L/min (HK distributor listing). </w:t>
      </w:r>
      <w:hyperlink w:history="1" r:id="rIdnqk-prbqoqzjjv62danbf">
        <w:r>
          <w:rPr>
            <w:rStyle w:val="Hyperlink"/>
            <w:sz w:val="17"/>
            <w:szCs w:val="17"/>
          </w:rPr>
          <w:t xml:space="preserve">https://hkele.com.hk/en/DHBE27SLI</w:t>
        </w:r>
      </w:hyperlink>
    </w:p>
    <w:p>
      <w:pPr>
        <w:spacing w:after="80" w:line="252"/>
        <w:ind w:left="440" w:hanging="440"/>
      </w:pPr>
      <w:r>
        <w:rPr>
          <w:b w:val="false"/>
          <w:bCs w:val="false"/>
          <w:sz w:val="17"/>
          <w:szCs w:val="17"/>
        </w:rPr>
        <w:t xml:space="preserve">[17] MTR Corporation CDP Climate Change 2022 response: Hong Kong rail intensity 0.0000723 t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 per passenger-km (1,079,402 t / 14.93 bn p-km). </w:t>
      </w:r>
      <w:hyperlink w:history="1" r:id="rIdswtqo3c42kawj3vxzbwre">
        <w:r>
          <w:rPr>
            <w:rStyle w:val="Hyperlink"/>
            <w:sz w:val="17"/>
            <w:szCs w:val="17"/>
          </w:rPr>
          <w:t xml:space="preserve">https://www.mtr.com.hk/sustainability/assets/pdf/en/2022/MTR_CDP_Response.pdf</w:t>
        </w:r>
      </w:hyperlink>
    </w:p>
    <w:p>
      <w:pPr>
        <w:spacing w:after="80" w:line="252"/>
        <w:ind w:left="440" w:hanging="440"/>
      </w:pPr>
      <w:r>
        <w:rPr>
          <w:b w:val="false"/>
          <w:bCs w:val="false"/>
          <w:sz w:val="17"/>
          <w:szCs w:val="17"/>
        </w:rPr>
        <w:t xml:space="preserve">[18] UK DESNZ (2025) Greenhouse gas reporting: conversion factors 2025 - Business travel (air), economy class, with radiative forcing (long-haul 0.11704 kg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e/p-km). </w:t>
      </w:r>
      <w:hyperlink w:history="1" r:id="rIdbuf2r47d10qd4ocj3zp4b">
        <w:r>
          <w:rPr>
            <w:rStyle w:val="Hyperlink"/>
            <w:sz w:val="17"/>
            <w:szCs w:val="17"/>
          </w:rPr>
          <w:t xml:space="preserve">https://www.gov.uk/government/publications/greenhouse-gas-reporting-conversion-factors-2025</w:t>
        </w:r>
      </w:hyperlink>
    </w:p>
    <w:p>
      <w:pPr>
        <w:spacing w:after="80" w:line="252"/>
        <w:ind w:left="440" w:hanging="440"/>
      </w:pPr>
      <w:r>
        <w:rPr>
          <w:b w:val="false"/>
          <w:bCs w:val="false"/>
          <w:sz w:val="17"/>
          <w:szCs w:val="17"/>
        </w:rPr>
        <w:t xml:space="preserve">[19] Scarborough P. et al. (2014) Dietary greenhouse gas emissions of meat-eaters, fish-eaters, vegetarians and vegans in the UK. Climatic Change 125:179-192 (medium meat-eaters 5.63 kg </w:t>
      </w:r>
      <w:r>
        <w:rPr>
          <w:b w:val="false"/>
          <w:bCs w:val="false"/>
          <w:sz w:val="17"/>
          <w:szCs w:val="17"/>
        </w:rPr>
        <w:t xml:space="preserve">CO</w:t>
      </w:r>
      <w:r>
        <w:rPr>
          <w:b w:val="false"/>
          <w:bCs w:val="false"/>
          <w:sz w:val="17"/>
          <w:szCs w:val="17"/>
          <w:vertAlign w:val="subscript"/>
        </w:rPr>
        <w:t xml:space="preserve">2</w:t>
      </w:r>
      <w:r>
        <w:rPr>
          <w:b w:val="false"/>
          <w:bCs w:val="false"/>
          <w:sz w:val="17"/>
          <w:szCs w:val="17"/>
        </w:rPr>
        <w:t xml:space="preserve">e/day). </w:t>
      </w:r>
      <w:hyperlink w:history="1" r:id="rId0rhnhwe2h0as5vggtqgwk">
        <w:r>
          <w:rPr>
            <w:rStyle w:val="Hyperlink"/>
            <w:sz w:val="17"/>
            <w:szCs w:val="17"/>
          </w:rPr>
          <w:t xml:space="preserve">https://www.oxfordmartin.ox.ac.uk/publications/dietary-greenhouse-gas-emissions-of-meat-eaters-fish-eaters-vegetarians-and-vegans-in-the-uk</w:t>
        </w:r>
      </w:hyperlink>
    </w:p>
    <w:p>
      <w:pPr>
        <w:spacing w:after="80" w:line="252"/>
        <w:ind w:left="440" w:hanging="440"/>
      </w:pPr>
      <w:r>
        <w:rPr>
          <w:b w:val="false"/>
          <w:bCs w:val="false"/>
          <w:sz w:val="17"/>
          <w:szCs w:val="17"/>
        </w:rPr>
        <w:t xml:space="preserve">[20] US EPA ENERGY STAR Water Coolers Specification V2.0: storage-type hot &amp; cold units &lt;= 0.87 kWh/day standby. </w:t>
      </w:r>
      <w:hyperlink w:history="1" r:id="rId-76cpw2m7nm8au8-92wxx">
        <w:r>
          <w:rPr>
            <w:rStyle w:val="Hyperlink"/>
            <w:sz w:val="17"/>
            <w:szCs w:val="17"/>
          </w:rPr>
          <w:t xml:space="preserve">https://www.energystar.gov/sites/default/files/ES%20WC%20V2%200%20Spec.pdf</w:t>
        </w:r>
      </w:hyperlink>
    </w:p>
    <w:p>
      <w:pPr>
        <w:spacing w:after="80" w:line="252"/>
        <w:ind w:left="440" w:hanging="440"/>
      </w:pPr>
      <w:r>
        <w:rPr>
          <w:b w:val="false"/>
          <w:bCs w:val="false"/>
          <w:sz w:val="17"/>
          <w:szCs w:val="17"/>
        </w:rPr>
        <w:t xml:space="preserve">[21] IPCC (2006) Guidelines Vol.3 Ch.7 - operating emission factor for residential &amp; commercial AC 1-10% of charge per year (summary: ASHRAE Journal, Oct 2022). </w:t>
      </w:r>
      <w:hyperlink w:history="1" r:id="rIdqfcmeltnwhgjfsfo1kx88">
        <w:r>
          <w:rPr>
            <w:rStyle w:val="Hyperlink"/>
            <w:sz w:val="17"/>
            <w:szCs w:val="17"/>
          </w:rPr>
          <w:t xml:space="preserve">https://www.ashrae.org/technical-resources/ashrae-journal/featured-articles/october-2022-analysis-of-refrigerant-use-for-ac-equipment-maintenance</w:t>
        </w:r>
      </w:hyperlink>
    </w:p>
    <w:p>
      <w:pPr>
        <w:spacing w:after="80" w:line="252"/>
        <w:ind w:left="440" w:hanging="440"/>
      </w:pPr>
      <w:r>
        <w:rPr>
          <w:b w:val="false"/>
          <w:bCs w:val="false"/>
          <w:sz w:val="17"/>
          <w:szCs w:val="17"/>
        </w:rPr>
        <w:t xml:space="preserve">[22] CLP Power (26 Apr 2022) Feed-in Tariff rates: HK$4/kWh (&lt;=10 kW), HK$3/kWh (&gt;10-200 kW), HK$2.5/kWh (&gt;200 kW-1 MW). </w:t>
      </w:r>
      <w:hyperlink w:history="1" r:id="rIdmrvqg15qk9onmajzkccql">
        <w:r>
          <w:rPr>
            <w:rStyle w:val="Hyperlink"/>
            <w:sz w:val="17"/>
            <w:szCs w:val="17"/>
          </w:rPr>
          <w:t xml:space="preserve">https://www.clpgroup.com/content/dam/clp-group/channels/media/document/2022/20220426_en.pdf.coredownload.pdf</w:t>
        </w:r>
      </w:hyperlink>
    </w:p>
    <w:p>
      <w:pPr>
        <w:spacing w:after="80" w:line="252"/>
        <w:ind w:left="440" w:hanging="440"/>
      </w:pPr>
      <w:r>
        <w:rPr>
          <w:b w:val="false"/>
          <w:bCs w:val="false"/>
          <w:sz w:val="17"/>
          <w:szCs w:val="17"/>
        </w:rPr>
        <w:t xml:space="preserve">[23] Development Bureau LCQ22: median per-capita floor area of domestic households 172 sq ft (~16 m2), 2021 Population Census. </w:t>
      </w:r>
      <w:hyperlink w:history="1" r:id="rIdmsrogdis_b1ixufzcq74v">
        <w:r>
          <w:rPr>
            <w:rStyle w:val="Hyperlink"/>
            <w:sz w:val="17"/>
            <w:szCs w:val="17"/>
          </w:rPr>
          <w:t xml:space="preserve">https://www.devb.gov.hk/en/sdev/press/index_id_11447.html</w:t>
        </w:r>
      </w:hyperlink>
    </w:p>
    <w:p>
      <w:pPr>
        <w:spacing w:after="80" w:line="252"/>
        <w:ind w:left="440" w:hanging="440"/>
      </w:pPr>
      <w:r>
        <w:rPr>
          <w:b w:val="false"/>
          <w:bCs w:val="false"/>
          <w:sz w:val="17"/>
          <w:szCs w:val="17"/>
        </w:rPr>
        <w:t xml:space="preserve">[24] EMSD - BEC 2021 vs BEC 2024 comparison: maximum lighting power density, Dormitory 6.2 W/m2 (BEC 2021), 6.1 W/m2 (BEC 2024). </w:t>
      </w:r>
      <w:hyperlink w:history="1" r:id="rId4wpka-25_6-1krvlsultl">
        <w:r>
          <w:rPr>
            <w:rStyle w:val="Hyperlink"/>
            <w:sz w:val="17"/>
            <w:szCs w:val="17"/>
          </w:rPr>
          <w:t xml:space="preserve">https://emsd.gov.hk/beeo/en/pee/BEC2021vsBEC2024.pdf</w:t>
        </w:r>
      </w:hyperlink>
    </w:p>
    <w:p>
      <w:pPr>
        <w:spacing w:after="80" w:line="252"/>
        <w:ind w:left="440" w:hanging="440"/>
      </w:pPr>
      <w:r>
        <w:rPr>
          <w:b w:val="false"/>
          <w:bCs w:val="false"/>
          <w:sz w:val="17"/>
          <w:szCs w:val="17"/>
        </w:rPr>
        <w:t xml:space="preserve">[25] Comparator hostel AC charges: HKU Jockey Club Student Village IV HK$2.31/kWh (2025/26); CUHK hostels HK$1.2/kWh. </w:t>
      </w:r>
      <w:hyperlink w:history="1" r:id="rIdkxqowb4ag555m211iov0q">
        <w:r>
          <w:rPr>
            <w:rStyle w:val="Hyperlink"/>
            <w:sz w:val="17"/>
            <w:szCs w:val="17"/>
          </w:rPr>
          <w:t xml:space="preserve">https://wys.cuhk.edu.hk/college-life-support/information-for-residents/</w:t>
        </w:r>
      </w:hyperlink>
    </w:p>
    <w:p>
      <w:pPr>
        <w:spacing w:after="80" w:line="252"/>
        <w:ind w:left="440" w:hanging="440"/>
      </w:pPr>
      <w:r>
        <w:rPr>
          <w:b w:val="false"/>
          <w:bCs w:val="false"/>
          <w:sz w:val="17"/>
          <w:szCs w:val="17"/>
        </w:rPr>
        <w:t xml:space="preserve">[26] Siegel J. et al. (2002) Dirty air conditioners: energy implications of coil fouling, LBNL - typical efficiency/capacity degradation &lt; 5%. </w:t>
      </w:r>
      <w:hyperlink w:history="1" r:id="rIdrucmd6q_hvczt9zmrdqbb">
        <w:r>
          <w:rPr>
            <w:rStyle w:val="Hyperlink"/>
            <w:sz w:val="17"/>
            <w:szCs w:val="17"/>
          </w:rPr>
          <w:t xml:space="preserve">https://www.osti.gov/biblio/805122</w:t>
        </w:r>
      </w:hyperlink>
    </w:p>
    <w:p>
      <w:pPr>
        <w:spacing w:after="80" w:line="252"/>
        <w:ind w:left="440" w:hanging="440"/>
      </w:pPr>
      <w:r>
        <w:rPr>
          <w:b w:val="false"/>
          <w:bCs w:val="false"/>
          <w:sz w:val="17"/>
          <w:szCs w:val="17"/>
        </w:rPr>
        <w:t xml:space="preserve">[27] Consumer Council (May 2026) test of 13 x 1.5 HP Grade-1 inverter split ACs: CSPF 5.06-7.51 (RTHK report). </w:t>
      </w:r>
      <w:hyperlink w:history="1" r:id="rIdvifjoi0uxgkdemb-_cp5t">
        <w:r>
          <w:rPr>
            <w:rStyle w:val="Hyperlink"/>
            <w:sz w:val="17"/>
            <w:szCs w:val="17"/>
          </w:rPr>
          <w:t xml:space="preserve">https://news.rthk.hk/rthk/en/component/k2/1854660-20260514.htm</w:t>
        </w:r>
      </w:hyperlink>
    </w:p>
    <w:p>
      <w:pPr>
        <w:spacing w:after="80" w:line="252"/>
        <w:ind w:left="440" w:hanging="440"/>
      </w:pPr>
      <w:r>
        <w:rPr>
          <w:b w:val="false"/>
          <w:bCs w:val="false"/>
          <w:sz w:val="17"/>
          <w:szCs w:val="17"/>
        </w:rPr>
        <w:t xml:space="preserve">[28] Midea MW-12CRF8E 1.5 HP R32 inverter window AC - HK retailer specification (auditor screenshot + listing). </w:t>
      </w:r>
      <w:hyperlink w:history="1" r:id="rIdfu3lfomgafqgenuiq1zjs">
        <w:r>
          <w:rPr>
            <w:rStyle w:val="Hyperlink"/>
            <w:sz w:val="17"/>
            <w:szCs w:val="17"/>
          </w:rPr>
          <w:t xml:space="preserve">https://www.feverelectrics.com/en/products/midea-mw12crf8e-1-5hp-r32-inverter-window-type-air-conditioner</w:t>
        </w:r>
      </w:hyperlink>
    </w:p>
    <w:p>
      <w:pPr>
        <w:spacing w:after="80" w:line="252"/>
        <w:ind w:left="440" w:hanging="440"/>
      </w:pPr>
      <w:r>
        <w:rPr>
          <w:b w:val="false"/>
          <w:bCs w:val="false"/>
          <w:sz w:val="17"/>
          <w:szCs w:val="17"/>
        </w:rPr>
        <w:t xml:space="preserve">[29] Auditor's completed questionnaire (audit-inputs/QUESTIONNAIRE.md) and 26 site photographs (photos/), Oct 2026. </w:t>
      </w:r>
    </w:p>
    <w:p>
      <w:pPr>
        <w:spacing w:after="80" w:line="252"/>
        <w:ind w:left="440" w:hanging="440"/>
      </w:pPr>
      <w:r>
        <w:rPr>
          <w:b w:val="false"/>
          <w:bCs w:val="false"/>
          <w:sz w:val="17"/>
          <w:szCs w:val="17"/>
        </w:rPr>
        <w:t xml:space="preserve">[30] HKSAR Government press release (26 Jun 2024) Energy Saving and Decarbonisation for All campaign: buildings account for about 90% of Hong Kong's electricity consumption. </w:t>
      </w:r>
      <w:hyperlink w:history="1" r:id="rIdei6yotj1utve0e_br8bpo">
        <w:r>
          <w:rPr>
            <w:rStyle w:val="Hyperlink"/>
            <w:sz w:val="17"/>
            <w:szCs w:val="17"/>
          </w:rPr>
          <w:t xml:space="preserve">https://www.info.gov.hk/gia/general/202406/26/P2024062600623.htm</w:t>
        </w:r>
      </w:hyperlink>
    </w:p>
    <w:p>
      <w:pPr>
        <w:spacing w:after="80" w:line="252"/>
        <w:ind w:left="440" w:hanging="440"/>
      </w:pPr>
      <w:r>
        <w:rPr>
          <w:b w:val="false"/>
          <w:bCs w:val="false"/>
          <w:sz w:val="17"/>
          <w:szCs w:val="17"/>
        </w:rPr>
        <w:t xml:space="preserve">[31] HKSAR Government (8 Oct 2021) Hong Kong's Climate Action Plan 2050: carbon neutrality before 2050; halve emissions by 2035 vs 2005; cut residential-building electricity use 20-30% (commercial 30-40%) from 2015 levels by 2050, half of that by 2035. </w:t>
      </w:r>
      <w:hyperlink w:history="1" r:id="rIddg4hfgywco64wugv3e3n1">
        <w:r>
          <w:rPr>
            <w:rStyle w:val="Hyperlink"/>
            <w:sz w:val="17"/>
            <w:szCs w:val="17"/>
          </w:rPr>
          <w:t xml:space="preserve">https://www.info.gov.hk/gia/general/202110/08/P2021100800588.htm</w:t>
        </w:r>
      </w:hyperlink>
    </w:p>
    <w:p>
      <w:pPr>
        <w:spacing w:after="80" w:line="252"/>
        <w:ind w:left="440" w:hanging="440"/>
      </w:pPr>
      <w:r>
        <w:rPr>
          <w:b w:val="false"/>
          <w:bCs w:val="false"/>
          <w:sz w:val="17"/>
          <w:szCs w:val="17"/>
        </w:rPr>
        <w:t xml:space="preserve">[32] US Department of Energy, Energy Saver - Maintaining your air conditioner: replacing a dirty, clogged filter with a clean one can lower AC energy consumption by 5% to 15%. </w:t>
      </w:r>
      <w:hyperlink w:history="1" r:id="rIdc1-85vm01lah1_u7tvt7n">
        <w:r>
          <w:rPr>
            <w:rStyle w:val="Hyperlink"/>
            <w:sz w:val="17"/>
            <w:szCs w:val="17"/>
          </w:rPr>
          <w:t xml:space="preserve">https://www.energy.gov/energysaver/maintaining-your-air-conditioner</w:t>
        </w:r>
      </w:hyperlink>
    </w:p>
    <w:p>
      <w:pPr>
        <w:pStyle w:val="Heading1"/>
        <w:pageBreakBefore/>
      </w:pPr>
      <w:r>
        <w:rPr>
          <w:b w:val="false"/>
          <w:bCs w:val="false"/>
        </w:rPr>
        <w:t xml:space="preserve">Appendix A - Questionnaire responses (summary)</w:t>
      </w:r>
    </w:p>
    <w:p>
      <w:pPr>
        <w:spacing w:after="80" w:before="0" w:line="276"/>
        <w:jc w:val="both"/>
      </w:pPr>
      <w:r>
        <w:rPr>
          <w:b w:val="false"/>
          <w:bCs w:val="false"/>
        </w:rPr>
        <w:t xml:space="preserve">The full answers are in audit-inputs/QUESTIONNAIRE.md in the project repository.</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812"/>
      </w:tblGrid>
      <w:tr>
        <w:trPr>
          <w:tblHeader/>
        </w:trPr>
        <w:tc>
          <w:tcPr>
            <w:tcW w:type="dxa" w:w="26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Question</w:t>
            </w:r>
          </w:p>
        </w:tc>
        <w:tc>
          <w:tcPr>
            <w:tcW w:type="dxa" w:w="6812"/>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Response</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A1-A5 Admin</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Jayash Sahu; SEE8115; Hall 13, 10/F, Room 1003B; survey 01/01/2026 to present; roommate not named</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B6 Floor area</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About 15 m²</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B7 Window direction</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328° NW (phone compass)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B8 Window</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2 × 0.67 m² + 0.209 m²; single glazing; metal frame; curtains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B9 Direct sun</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Afternoon, about 40 minutes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B10 Building age</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Answered 6-12-2024; the residence opened in 2024 [15]</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B11-B12 Washroom / kitchen</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Washroom size unknown (4 users); kitchen shared by 32 residents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C13-C15 Occupancy</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Weekdays 22:00-11:00; weekends in hall (Sat 20 h, Sun 18 h); 1-month break in the last 10 months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D16 AC</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Window, Midea 1.5 HP R32 inverter MW-12CRF8E, 11,400 Btu/h, input 1,192 W</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D17-D18 AC charging</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Octopus card, rate unknown; about HK$120/month combined; hot months HK$140, cold months HK$50</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D19-D21 AC use</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25 °C, on all night; summer 12 h/day, winter 4 h/day; never with window open; filter cleaned 2 months ago</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D22 Fan</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One 20 W electric fan, 12 h/day</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E23-E26 Lighting</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2 LED ceiling lights (6 h/day); 2 LED desk lights (wattage unknown); washroom sensor lights (about 3 h)</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F27-F31 Electronics</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65 W laptop charger, 8 h/day; no monitor/PC/console; phone 1 h/day; no router/printer; nothing left on standby</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G32 Other appliances</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None</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H33-H35 Washroom</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Instantaneous tankless heater, 380 V (Stiebel Eltron DHB-E 27); 5-min showers; exhaust fan always on</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I36-I38 Kitchen</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2 Panasonic NR-BV361B fridges (263 kWh/yr); Toshiba MW2-MM24PC microwave (800 W output); 2 Philips HD4911/80 induction (2,100 W); Aquatek AQ-1323T dispenser (750 W/160 W); cooking 3×/week, 1 h; about 20 active users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J39 Laundry</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1 load/week, 4 kg, 45 min wash, 12 min drying</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K40-K41 Water and paper</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Filtered water 2 L/day; 50 pages printed + 50 sheets used per semester; paper recycled</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L42-L45 Daily activity</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MTR 18 km × 2 × 6/week; 3 trips/month of 22 km × 2; canteen 7 + self-cooked 7 meals/week, mixed diet; 4 flights: HK-Delhi, Delhi-HK, Delhi-Goa, Goa-HK</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15"/>
                <w:szCs w:val="15"/>
              </w:rPr>
              <w:t xml:space="preserve">M46-M48 Observations</w:t>
            </w:r>
          </w:p>
        </w:tc>
        <w:tc>
          <w:tcPr>
            <w:tcW w:type="dxa" w:w="6812"/>
            <w:tcMar>
              <w:top w:type="dxa" w:w="50"/>
              <w:left w:type="dxa" w:w="90"/>
              <w:bottom w:type="dxa" w:w="50"/>
              <w:right w:type="dxa" w:w="90"/>
            </w:tcMar>
            <w:vAlign w:val="center"/>
          </w:tcPr>
          <w:p>
            <w:pPr>
              <w:spacing w:after="0" w:line="240"/>
              <w:jc w:val="left"/>
            </w:pPr>
            <w:r>
              <w:rPr>
                <w:b w:val="false"/>
                <w:bCs w:val="false"/>
                <w:sz w:val="15"/>
                <w:szCs w:val="15"/>
              </w:rPr>
              <w:t xml:space="preserve">Kitchen AC on 8 h+ (Toshiba RAS-24J2KCV-HK, 688 kWh/1,200 h, 7.00 kW, R410A); no changes allowed in the room; budget HK$200</w:t>
            </w:r>
          </w:p>
        </w:tc>
      </w:tr>
    </w:tbl>
    <w:p>
      <w:pPr>
        <w:pStyle w:val="Heading1"/>
        <w:pageBreakBefore/>
      </w:pPr>
      <w:r>
        <w:rPr>
          <w:b w:val="false"/>
          <w:bCs w:val="false"/>
        </w:rPr>
        <w:t xml:space="preserve">Appendix B - Photo log</w:t>
      </w:r>
    </w:p>
    <w:p>
      <w:pPr>
        <w:spacing w:after="80" w:before="0" w:line="276"/>
        <w:jc w:val="both"/>
      </w:pPr>
      <w:r>
        <w:rPr>
          <w:b w:val="false"/>
          <w:bCs w:val="false"/>
        </w:rPr>
        <w:t xml:space="preserve">26 photographs were taken during the audit and are stored in the photos/ folder. Each was used to read a rating or label, or to evidence a finding.</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2900"/>
        <w:gridCol w:w="3600"/>
        <w:gridCol w:w="2312"/>
      </w:tblGrid>
      <w:tr>
        <w:trPr>
          <w:tblHeader/>
        </w:trPr>
        <w:tc>
          <w:tcPr>
            <w:tcW w:type="dxa" w:w="600"/>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Ref</w:t>
            </w:r>
          </w:p>
        </w:tc>
        <w:tc>
          <w:tcPr>
            <w:tcW w:type="dxa" w:w="2900"/>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File</w:t>
            </w:r>
          </w:p>
        </w:tc>
        <w:tc>
          <w:tcPr>
            <w:tcW w:type="dxa" w:w="3600"/>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What it shows</w:t>
            </w:r>
          </w:p>
        </w:tc>
        <w:tc>
          <w:tcPr>
            <w:tcW w:type="dxa" w:w="2312"/>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Data extracted</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01</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01_room_overview.jpg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Room 1003B: twin beds, desks, ceiling LED battens, window AC above NW window</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Room layout; equipment present</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02a</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02a_window_view.jpg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Window and outlook over Tolo Harbour / Ma On Shan</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Single glazing, dark aluminium frame, fly screen</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02b</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02b_window_fixed_pane_measured.jpg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Bottom fixed pane measured 1.10 m x 0.17-0.19 m</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Glazing area 0.209 m²</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02c</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02c_window_casement_measured.jpg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Casement measured 0.53 m x 1.26 m = 0.67 m²</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Two casements 1.34 m²</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02d</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02d_compass_328NW.jpg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Compass 328° NW, 22°26'0"N 114°14'32"E, Ma On Shan, 44 m</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Orientation and location</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02e</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02e_curtain_closed.jpg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Full-height grey curtain closed; AC at upper left</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Internal shading</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03a</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03a_ac_specification.jpg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Midea MW-12CRF8E specification / energy label data</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3.34 kW, 1,192 W, R32, Grade 1, 362 kWh, CSPF 4.66</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03b</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03b_ac_front_louvres.jpg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AC front: dark deposits on discharge louvres; Eco, Timer, Dry modes</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Maintenance finding; controls available</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05a</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05a_ceiling_led_battens.jpg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Two linear LED ceiling battens</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Lighting inventory</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05b</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05b_desk_led_and_fan.jpg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Under-shelf LED desk light and desk fan</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Task lighting</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06a</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06a_laptop_adapter_65W.jpg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HP 65 W adapter TPN-CA17, Efficiency Level VI</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Laptop power</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06b</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06b_desk_fan_label_20W.jpg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Fan label: ZW02-180, 180 mm, 20 W, 220 V</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Fan power</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08a</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08a_water_heater_DHB-E.jpg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Stiebel Eltron DHB-E electronic instantaneous heater, 30-60 °C dial</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Hot-water system type</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08b</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08b_washroom_downlights.jpg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Two LED downlights, exposed services, sensor</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Washroom lighting</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08c</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08c_washroom_light_and_fan.jpg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Downlight and window exhaust fan</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Washroom lighting / ventilation</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08d</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08d_washroom_exhaust_fan.jpg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J.E.E. window exhaust fan (runs 24 h)</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Ventilation finding</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08e</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08e_water_heater_spec.jpg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Heater specification: 380 V, max 60 °C</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Electrical supply</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09a</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09a_dispenser_spec.jpg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Aquatek AQ-1323T: 750 W heater, 160 W compressor, 10 L hot / 7.9 L cold / 3 L ice</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Dispenser ratings</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09b</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09b_water_dispenser.jpg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Dispenser in kitchen, hot water at 98 °C; SRO cleaning notice</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Standing losses</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09c</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09c_induction_cooker_spec.jpg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Philips HD4911: 2,100 W, EEL Grade 2</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Cooking power</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09d</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09d_induction_cooker_product.jpg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Philips 5000 Series HD4911/80 (retailer image)</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Model identification</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09e</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09e_induction_energy_label.jpg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Energy label Grade 2, thermal efficiency 88.1% (I220011/22)</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Cooking efficiency</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09f</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09f_kitchen_split_ac.jpg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Toshiba split AC in kitchen (also used as photo 12 - left on 8 h+)</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Kitchen AC</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09g</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09g_kitchen_ac_energy_label.jpg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Label: 688 kWh/yr @1,200 h, 7.00 kW, R410A, Grade 1</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Kitchen AC energy</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09h</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09h_microwave.jpg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Toshiba MW2-MM24PC 24 L, 800 W output</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Kitchen inventory</w:t>
            </w:r>
          </w:p>
        </w:tc>
      </w:tr>
      <w:tr>
        <w:trPr>
          <w:cantSplit/>
        </w:trPr>
        <w:tc>
          <w:tcPr>
            <w:tcW w:type="dxa" w:w="600"/>
            <w:tcMar>
              <w:top w:type="dxa" w:w="50"/>
              <w:left w:type="dxa" w:w="90"/>
              <w:bottom w:type="dxa" w:w="50"/>
              <w:right w:type="dxa" w:w="90"/>
            </w:tcMar>
            <w:vAlign w:val="center"/>
          </w:tcPr>
          <w:p>
            <w:pPr>
              <w:spacing w:after="0" w:line="240"/>
              <w:jc w:val="left"/>
            </w:pPr>
            <w:r>
              <w:rPr>
                <w:b w:val="false"/>
                <w:bCs w:val="false"/>
                <w:sz w:val="14"/>
                <w:szCs w:val="14"/>
              </w:rPr>
              <w:t xml:space="preserve">09i</w:t>
            </w:r>
          </w:p>
        </w:tc>
        <w:tc>
          <w:tcPr>
            <w:tcW w:type="dxa" w:w="2900"/>
            <w:tcMar>
              <w:top w:type="dxa" w:w="50"/>
              <w:left w:type="dxa" w:w="90"/>
              <w:bottom w:type="dxa" w:w="50"/>
              <w:right w:type="dxa" w:w="90"/>
            </w:tcMar>
            <w:vAlign w:val="center"/>
          </w:tcPr>
          <w:p>
            <w:pPr>
              <w:spacing w:after="0" w:line="240"/>
              <w:jc w:val="left"/>
            </w:pPr>
            <w:r>
              <w:rPr>
                <w:b w:val="false"/>
                <w:bCs w:val="false"/>
                <w:sz w:val="14"/>
                <w:szCs w:val="14"/>
              </w:rPr>
              <w:t xml:space="preserve">09i_fridge_energy_label.jpg</w:t>
            </w:r>
          </w:p>
        </w:tc>
        <w:tc>
          <w:tcPr>
            <w:tcW w:type="dxa" w:w="3600"/>
            <w:tcMar>
              <w:top w:type="dxa" w:w="50"/>
              <w:left w:type="dxa" w:w="90"/>
              <w:bottom w:type="dxa" w:w="50"/>
              <w:right w:type="dxa" w:w="90"/>
            </w:tcMar>
            <w:vAlign w:val="center"/>
          </w:tcPr>
          <w:p>
            <w:pPr>
              <w:spacing w:after="0" w:line="240"/>
              <w:jc w:val="left"/>
            </w:pPr>
            <w:r>
              <w:rPr>
                <w:b w:val="false"/>
                <w:bCs w:val="false"/>
                <w:sz w:val="14"/>
                <w:szCs w:val="14"/>
              </w:rPr>
              <w:t xml:space="preserve">Panasonic NR-BV361B: Grade 1, 263 kWh/yr, 233 + 99 L</w:t>
            </w:r>
          </w:p>
        </w:tc>
        <w:tc>
          <w:tcPr>
            <w:tcW w:type="dxa" w:w="2312"/>
            <w:tcMar>
              <w:top w:type="dxa" w:w="50"/>
              <w:left w:type="dxa" w:w="90"/>
              <w:bottom w:type="dxa" w:w="50"/>
              <w:right w:type="dxa" w:w="90"/>
            </w:tcMar>
            <w:vAlign w:val="center"/>
          </w:tcPr>
          <w:p>
            <w:pPr>
              <w:spacing w:after="0" w:line="240"/>
              <w:jc w:val="left"/>
            </w:pPr>
            <w:r>
              <w:rPr>
                <w:b w:val="false"/>
                <w:bCs w:val="false"/>
                <w:sz w:val="14"/>
                <w:szCs w:val="14"/>
              </w:rPr>
              <w:t xml:space="preserve">Refrigeration energy</w:t>
            </w:r>
          </w:p>
        </w:tc>
      </w:tr>
    </w:tbl>
    <w:p>
      <w:pPr>
        <w:spacing w:after="80"/>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2353"/>
              <w:gridCol w:w="2353"/>
              <w:gridCol w:w="2353"/>
              <w:gridCol w:w="2353"/>
            </w:tblGrid>
            <w:tr>
              <w:trPr>
                <w:cantSplit/>
              </w:trPr>
              <w:tc>
                <w:tcPr>
                  <w:tcW w:type="dxa" w:w="2353"/>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6572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57225" cy="142875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02b: fixed pane 1.10 × 0.19 m</w:t>
                  </w:r>
                </w:p>
              </w:tc>
              <w:tc>
                <w:tcPr>
                  <w:tcW w:type="dxa" w:w="2353"/>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07632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076325" cy="1438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02e: curtain closed</w:t>
                  </w:r>
                </w:p>
              </w:tc>
              <w:tc>
                <w:tcPr>
                  <w:tcW w:type="dxa" w:w="2353"/>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07632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076325" cy="1438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05b: desk LED and fan</w:t>
                  </w:r>
                </w:p>
              </w:tc>
              <w:tc>
                <w:tcPr>
                  <w:tcW w:type="dxa" w:w="2353"/>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94297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42975" cy="142875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08e: heater spec, 380 V</w:t>
                  </w:r>
                </w:p>
              </w:tc>
            </w:tr>
          </w:tbl>
          <w:p>
            <w:pPr>
              <w:spacing w:after="0" w:line="120"/>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2353"/>
              <w:gridCol w:w="2353"/>
              <w:gridCol w:w="2353"/>
              <w:gridCol w:w="2353"/>
            </w:tblGrid>
            <w:tr>
              <w:trPr>
                <w:cantSplit/>
              </w:trPr>
              <w:tc>
                <w:tcPr>
                  <w:tcW w:type="dxa" w:w="2353"/>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0477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047750" cy="1438275"/>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09a: dispenser ratings</w:t>
                  </w:r>
                </w:p>
              </w:tc>
              <w:tc>
                <w:tcPr>
                  <w:tcW w:type="dxa" w:w="2353"/>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17157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71575" cy="142875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09c: hob 2,100 W, Grade 2</w:t>
                  </w:r>
                </w:p>
              </w:tc>
              <w:tc>
                <w:tcPr>
                  <w:tcW w:type="dxa" w:w="2353"/>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0001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000125" cy="142875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09d: Philips HD4911/80</w:t>
                  </w:r>
                </w:p>
              </w:tc>
              <w:tc>
                <w:tcPr>
                  <w:tcW w:type="dxa" w:w="2353"/>
                  <w:tcBorders>
                    <w:top w:val="none" w:color="FFFFFF" w:sz="0"/>
                    <w:left w:val="none" w:color="FFFFFF" w:sz="0"/>
                    <w:bottom w:val="none" w:color="FFFFFF" w:sz="0"/>
                    <w:right w:val="none" w:color="FFFFFF" w:sz="0"/>
                  </w:tcBorders>
                </w:tcPr>
                <w:p>
                  <w:pPr>
                    <w:keepNext/>
                    <w:keepLines/>
                    <w:spacing w:after="40"/>
                    <w:jc w:val="center"/>
                  </w:pPr>
                  <w:r>
                    <w:drawing>
                      <wp:inline distT="0" distB="0" distL="0" distR="0">
                        <wp:extent cx="13716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371600" cy="1028700"/>
                                </a:xfrm>
                                <a:prstGeom prst="rect">
                                  <a:avLst/>
                                </a:prstGeom>
                              </pic:spPr>
                            </pic:pic>
                          </a:graphicData>
                        </a:graphic>
                      </wp:inline>
                    </w:drawing>
                  </w:r>
                </w:p>
                <w:p>
                  <w:pPr>
                    <w:keepNext/>
                    <w:keepLines/>
                    <w:spacing w:after="80"/>
                    <w:jc w:val="center"/>
                  </w:pPr>
                  <w:r>
                    <w:rPr>
                      <w:b w:val="false"/>
                      <w:bCs w:val="false"/>
                      <w:i/>
                      <w:iCs/>
                      <w:color w:val="52514E"/>
                      <w:sz w:val="16"/>
                      <w:szCs w:val="16"/>
                    </w:rPr>
                    <w:t xml:space="preserve">09h: microwave 800 W output</w:t>
                  </w:r>
                </w:p>
              </w:tc>
            </w:tr>
          </w:tbl>
          <w:p>
            <w:pPr>
              <w:spacing w:after="200" w:before="60"/>
              <w:jc w:val="center"/>
            </w:pPr>
            <w:r>
              <w:rPr>
                <w:b w:val="false"/>
                <w:bCs w:val="false"/>
                <w:i/>
                <w:iCs/>
                <w:color w:val="52514E"/>
                <w:sz w:val="17"/>
                <w:szCs w:val="17"/>
              </w:rPr>
              <w:t xml:space="preserve">Figure B.1: Additional evidence photographs</w:t>
            </w:r>
          </w:p>
        </w:tc>
      </w:tr>
    </w:tbl>
    <w:p>
      <w:pPr>
        <w:pStyle w:val="Heading1"/>
        <w:pageBreakBefore/>
      </w:pPr>
      <w:r>
        <w:rPr>
          <w:b w:val="false"/>
          <w:bCs w:val="false"/>
        </w:rPr>
        <w:t xml:space="preserve">Appendix C - Input data register</w:t>
      </w:r>
    </w:p>
    <w:p>
      <w:pPr>
        <w:spacing w:after="80" w:before="0" w:line="276"/>
        <w:jc w:val="both"/>
      </w:pPr>
      <w:r>
        <w:rPr>
          <w:b w:val="false"/>
          <w:bCs w:val="false"/>
        </w:rPr>
        <w:t xml:space="preserve">All 104 inputs used in the calculations, with unit, data-quality class and source ([n] = reference number). Values marked "Assumed" are typical values and are highlighted in yellow in the workbook.</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1000"/>
        <w:gridCol w:w="1612"/>
        <w:gridCol w:w="1600"/>
        <w:gridCol w:w="900"/>
      </w:tblGrid>
      <w:tr>
        <w:trPr>
          <w:tblHeader/>
        </w:trPr>
        <w:tc>
          <w:tcPr>
            <w:tcW w:type="dxa" w:w="4300"/>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Parameter</w:t>
            </w:r>
          </w:p>
        </w:tc>
        <w:tc>
          <w:tcPr>
            <w:tcW w:type="dxa" w:w="1000"/>
            <w:shd w:fill="DCE6F0" w:color="auto" w:val="clear"/>
            <w:tcMar>
              <w:top w:type="dxa" w:w="50"/>
              <w:left w:type="dxa" w:w="90"/>
              <w:bottom w:type="dxa" w:w="50"/>
              <w:right w:type="dxa" w:w="90"/>
            </w:tcMar>
            <w:vAlign w:val="center"/>
          </w:tcPr>
          <w:p>
            <w:pPr>
              <w:spacing w:after="0" w:line="240"/>
              <w:jc w:val="right"/>
            </w:pPr>
            <w:r>
              <w:rPr>
                <w:b/>
                <w:bCs/>
                <w:color w:val="1F3864"/>
                <w:sz w:val="14"/>
                <w:szCs w:val="14"/>
              </w:rPr>
              <w:t xml:space="preserve">Value</w:t>
            </w:r>
          </w:p>
        </w:tc>
        <w:tc>
          <w:tcPr>
            <w:tcW w:type="dxa" w:w="1612"/>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Unit</w:t>
            </w:r>
          </w:p>
        </w:tc>
        <w:tc>
          <w:tcPr>
            <w:tcW w:type="dxa" w:w="1600"/>
            <w:shd w:fill="DCE6F0" w:color="auto" w:val="clear"/>
            <w:tcMar>
              <w:top w:type="dxa" w:w="50"/>
              <w:left w:type="dxa" w:w="90"/>
              <w:bottom w:type="dxa" w:w="50"/>
              <w:right w:type="dxa" w:w="90"/>
            </w:tcMar>
            <w:vAlign w:val="center"/>
          </w:tcPr>
          <w:p>
            <w:pPr>
              <w:spacing w:after="0" w:line="240"/>
              <w:jc w:val="left"/>
            </w:pPr>
            <w:r>
              <w:rPr>
                <w:b/>
                <w:bCs/>
                <w:color w:val="1F3864"/>
                <w:sz w:val="14"/>
                <w:szCs w:val="14"/>
              </w:rPr>
              <w:t xml:space="preserve">Quality</w:t>
            </w:r>
          </w:p>
        </w:tc>
        <w:tc>
          <w:tcPr>
            <w:tcW w:type="dxa" w:w="900"/>
            <w:shd w:fill="DCE6F0" w:color="auto" w:val="clear"/>
            <w:tcMar>
              <w:top w:type="dxa" w:w="50"/>
              <w:left w:type="dxa" w:w="90"/>
              <w:bottom w:type="dxa" w:w="50"/>
              <w:right w:type="dxa" w:w="90"/>
            </w:tcMar>
            <w:vAlign w:val="center"/>
          </w:tcPr>
          <w:p>
            <w:pPr>
              <w:spacing w:after="0" w:line="240"/>
              <w:jc w:val="center"/>
            </w:pPr>
            <w:r>
              <w:rPr>
                <w:b/>
                <w:bCs/>
                <w:color w:val="1F3864"/>
                <w:sz w:val="14"/>
                <w:szCs w:val="14"/>
              </w:rPr>
              <w:t xml:space="preserve">Src</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Occupants of Room 1003B (household)</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persons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Users of the shared washroom</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persons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Residents sharing the floor kitchen (allocation basis)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persons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Hours in room per weekday (22:00-11:00)</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Hours in room on Saturday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Hours in room on Sunday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Internal floor area of Room 1003B</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m2</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Days in hot season (May-Oct)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184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days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Derived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Days in cool season (Nov-Apr)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181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days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Derived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Energy conversion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3.6</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MJ/kWh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[3]</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Specific heat of water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4.186</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kJ/kg.K</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Electricity price used to convert AC spend to kWh (proxy)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1.406</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HK$/kWh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[6]</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Comparator hostel AC rate - low</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HK$/kWh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[25]</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Comparator hostel AC rate - high</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2.31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HK$/kWh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[25]</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CLP Power HK emission factor (2025, latest)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0.34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e/kWh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[5]</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CLP Power HK emission factor (2024)</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0.38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e/kWh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[5]</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Territory-wide default electricity factor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0.7</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e/kWh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WSD unit electricity - fresh water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0.624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kWh/m3</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[11]</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WSD unit electricity - salt (flushing) water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0.362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kWh/m3</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[11]</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DSD unit electricity - sewage treated</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0.29</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kWh/m3</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[12]</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Fraction of fresh water entering sewer (residential)</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Paper to landfill emission factor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e/kg</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GWP of HFC-32 (R32)</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650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GWP of R-410A</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1725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Annual refrigerant leak rate (screening)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0.04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fraction/yr</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[21]</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Octopus AC spend - hot month (May-Oct), both occupants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140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HK$/month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Octopus AC spend - cool month (Nov-Apr), both occupants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50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HK$/month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Stated overall average AC spend</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120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HK$/month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Rated input power (cooling)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1.192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[28]</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Rated cooling capacity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3.34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[28]</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Cooling seasonal performance factor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4.6618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[28]</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Label annual energy consumption (cooling)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362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kWh/yr</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[28]</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Operating hours behind HK label figure</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1200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h/yr</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AC operating hours - typical hot-season day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AC operating hours - typical cool-season day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Usual set-point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degC</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Refrigerant charge (R32) - screening value</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AC energy saving per +1 degC set-point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0.03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fraction</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[14]</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Ceiling LED linear battens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Power per ceiling batten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Ceiling lights 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6</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Under-shelf LED desk lights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Power per desk light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Desk lights 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Laptop adapter rating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65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Average laptop draw as fraction of adapter rating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Laptop use</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Laptops in room (roommate assumed same as auditor)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Phone charger power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Phone charging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Phones charged (both occupants)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Desk fan rated power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Desk fan use</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Showers per person per day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Shower duration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min</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Shower flow rate</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9</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L/min</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Delivered shower temperature</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degC</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Instantaneous heater efficiency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0.99</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[16]</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Water heater rating at 380 V</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24.4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[16]</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Washroom exhaust fan power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Exhaust fan running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LED downlights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Power per downlight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Sensor lights 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Refrigerators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Label consumption per refrigerator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263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kWh/yr</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Water dispenser standby + dispensing energy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[20]</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Kitchen split AC label consumption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688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kWh/yr</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Nameplate / label</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Kitchen AC running - hot season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Kitchen AC running - cool season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Kitchen AC refrigerant charge (R410A) - screening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Kitchen light fittings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6</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Power per kitchen fitting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Kitchen lights 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16</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Cooking sessions per person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per week</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Induction hob on per session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Average hob power while cooking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Laundry loads per person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per week</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Washer energy per cycle (cold wash)</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kWh/cycle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Tumble-dryer heater + drum power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Drying time per load</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min</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Water per wash</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60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L/cycle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Drinking water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L/person/day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Basin, cooking &amp; dish-washing water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L/person/day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Toilet flushing (seawater)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L/person/day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[13]</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Paper used per semester (50 printed + 50 written)</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100</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sheets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Semesters per year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Mass of one A4 80 g/m2 sheet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g</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Derived</w:t>
            </w:r>
          </w:p>
        </w:tc>
        <w:tc>
          <w:tcPr>
            <w:tcW w:type="dxa" w:w="900"/>
            <w:tcMar>
              <w:top w:type="dxa" w:w="50"/>
              <w:left w:type="dxa" w:w="90"/>
              <w:bottom w:type="dxa" w:w="50"/>
              <w:right w:type="dxa" w:w="90"/>
            </w:tcMar>
            <w:vAlign w:val="center"/>
          </w:tcPr>
          <w:p>
            <w:pPr>
              <w:spacing w:after="0" w:line="240"/>
              <w:jc w:val="center"/>
            </w:pP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Share of used paper recycled</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fraction</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MTR commute distance (18 km x 2 x 6 days)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216</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km/week</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Weeks of commuting per year</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weeks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Assumed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Other MTR trips (22 km x 2 x 3 per month)</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132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km/month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Months per year in Hong Kong</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11</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months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Reported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MTR rail emission intensity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0.0723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e/p-km</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[17]</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Great-circle distance uplift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1.08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[18]</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Long-haul economy, with RF</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0.11704</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e/p-km</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[18]</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Short-haul economy, with RF</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0.1258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e/p-km</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[18]</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Mixed (medium meat-eater) diet</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5.63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kg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[19]</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Typical HK household electricity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275</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kWh/month</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[7]</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Persons in typical household</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3</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persons</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[7]</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Median per-capita floor area (2021 Census)</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16</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m2/person</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[23]</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HK domestic fresh water use</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120.9</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L/person/day</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[13]</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HK per-capita GHG emissions (2023)</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4.58</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t </w:t>
            </w:r>
            <w:r>
              <w:rPr>
                <w:b w:val="false"/>
                <w:bCs w:val="false"/>
                <w:sz w:val="14"/>
                <w:szCs w:val="14"/>
              </w:rPr>
              <w:t xml:space="preserve">CO</w:t>
            </w:r>
            <w:r>
              <w:rPr>
                <w:b w:val="false"/>
                <w:bCs w:val="false"/>
                <w:sz w:val="14"/>
                <w:szCs w:val="14"/>
                <w:vertAlign w:val="subscript"/>
              </w:rPr>
              <w:t xml:space="preserve">2</w:t>
            </w:r>
            <w:r>
              <w:rPr>
                <w:b w:val="false"/>
                <w:bCs w:val="false"/>
                <w:sz w:val="14"/>
                <w:szCs w:val="14"/>
              </w:rPr>
              <w:t xml:space="preserve">e/person</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[10]</w:t>
            </w:r>
          </w:p>
        </w:tc>
      </w:tr>
      <w:tr>
        <w:trPr>
          <w:cantSplit/>
        </w:trPr>
        <w:tc>
          <w:tcPr>
            <w:tcW w:type="dxa" w:w="4300"/>
            <w:tcMar>
              <w:top w:type="dxa" w:w="50"/>
              <w:left w:type="dxa" w:w="90"/>
              <w:bottom w:type="dxa" w:w="50"/>
              <w:right w:type="dxa" w:w="90"/>
            </w:tcMar>
            <w:vAlign w:val="center"/>
          </w:tcPr>
          <w:p>
            <w:pPr>
              <w:spacing w:after="0" w:line="240"/>
              <w:jc w:val="left"/>
            </w:pPr>
            <w:r>
              <w:rPr>
                <w:b w:val="false"/>
                <w:bCs w:val="false"/>
                <w:sz w:val="14"/>
                <w:szCs w:val="14"/>
              </w:rPr>
              <w:t xml:space="preserve">BEC 2021 max lighting power density - dormitory</w:t>
            </w:r>
          </w:p>
        </w:tc>
        <w:tc>
          <w:tcPr>
            <w:tcW w:type="dxa" w:w="1000"/>
            <w:tcMar>
              <w:top w:type="dxa" w:w="50"/>
              <w:left w:type="dxa" w:w="90"/>
              <w:bottom w:type="dxa" w:w="50"/>
              <w:right w:type="dxa" w:w="90"/>
            </w:tcMar>
            <w:vAlign w:val="center"/>
          </w:tcPr>
          <w:p>
            <w:pPr>
              <w:spacing w:after="0" w:line="240"/>
              <w:jc w:val="right"/>
            </w:pPr>
            <w:r>
              <w:rPr>
                <w:b w:val="false"/>
                <w:bCs w:val="false"/>
                <w:sz w:val="14"/>
                <w:szCs w:val="14"/>
              </w:rPr>
              <w:t xml:space="preserve">6.2</w:t>
            </w:r>
          </w:p>
        </w:tc>
        <w:tc>
          <w:tcPr>
            <w:tcW w:type="dxa" w:w="1612"/>
            <w:tcMar>
              <w:top w:type="dxa" w:w="50"/>
              <w:left w:type="dxa" w:w="90"/>
              <w:bottom w:type="dxa" w:w="50"/>
              <w:right w:type="dxa" w:w="90"/>
            </w:tcMar>
            <w:vAlign w:val="center"/>
          </w:tcPr>
          <w:p>
            <w:pPr>
              <w:spacing w:after="0" w:line="240"/>
              <w:jc w:val="left"/>
            </w:pPr>
            <w:r>
              <w:rPr>
                <w:b w:val="false"/>
                <w:bCs w:val="false"/>
                <w:sz w:val="14"/>
                <w:szCs w:val="14"/>
              </w:rPr>
              <w:t xml:space="preserve">W/m2</w:t>
            </w:r>
          </w:p>
        </w:tc>
        <w:tc>
          <w:tcPr>
            <w:tcW w:type="dxa" w:w="1600"/>
            <w:tcMar>
              <w:top w:type="dxa" w:w="50"/>
              <w:left w:type="dxa" w:w="90"/>
              <w:bottom w:type="dxa" w:w="50"/>
              <w:right w:type="dxa" w:w="90"/>
            </w:tcMar>
            <w:vAlign w:val="center"/>
          </w:tcPr>
          <w:p>
            <w:pPr>
              <w:spacing w:after="0" w:line="240"/>
              <w:jc w:val="left"/>
            </w:pPr>
            <w:r>
              <w:rPr>
                <w:b w:val="false"/>
                <w:bCs w:val="false"/>
                <w:sz w:val="14"/>
                <w:szCs w:val="14"/>
              </w:rPr>
              <w:t xml:space="preserve">Published</w:t>
            </w:r>
          </w:p>
        </w:tc>
        <w:tc>
          <w:tcPr>
            <w:tcW w:type="dxa" w:w="900"/>
            <w:tcMar>
              <w:top w:type="dxa" w:w="50"/>
              <w:left w:type="dxa" w:w="90"/>
              <w:bottom w:type="dxa" w:w="50"/>
              <w:right w:type="dxa" w:w="90"/>
            </w:tcMar>
            <w:vAlign w:val="center"/>
          </w:tcPr>
          <w:p>
            <w:pPr>
              <w:spacing w:after="0" w:line="240"/>
              <w:jc w:val="center"/>
            </w:pPr>
            <w:r>
              <w:rPr>
                <w:b w:val="false"/>
                <w:bCs w:val="false"/>
                <w:sz w:val="14"/>
                <w:szCs w:val="14"/>
              </w:rPr>
              <w:t xml:space="preserve">[24]</w:t>
            </w:r>
          </w:p>
        </w:tc>
      </w:tr>
    </w:tbl>
    <w:p>
      <w:pPr>
        <w:pStyle w:val="Heading1"/>
        <w:pageBreakBefore/>
      </w:pPr>
      <w:r>
        <w:rPr>
          <w:b w:val="false"/>
          <w:bCs w:val="false"/>
        </w:rPr>
        <w:t xml:space="preserve">Appendix D - Executive summary in EE-EAes structure</w:t>
      </w:r>
    </w:p>
    <w:p>
      <w:pPr>
        <w:spacing w:after="40" w:before="0" w:line="276"/>
        <w:jc w:val="both"/>
      </w:pPr>
      <w:r>
        <w:rPr>
          <w:b w:val="false"/>
          <w:bCs w:val="false"/>
        </w:rPr>
        <w:t xml:space="preserve">The EMSD Technical Form EE-EAes (V.2) is a macro-enabled workbook. Its sheets stay hidden and its tick-boxes stay inactive unless macros run in Excel. Re-saving it with other software was tested and found to strip its sheet-level macros, so the form has </w:t>
      </w:r>
      <w:r>
        <w:rPr>
          <w:b/>
          <w:bCs/>
        </w:rPr>
        <w:t xml:space="preserve">not</w:t>
      </w:r>
      <w:r>
        <w:rPr>
          <w:b w:val="false"/>
          <w:bCs w:val="false"/>
        </w:rPr>
        <w:t xml:space="preserve"> been altered. Instead:</w:t>
      </w:r>
    </w:p>
    <w:p>
      <w:pPr>
        <w:pStyle w:val="ListParagraph"/>
        <w:numPr>
          <w:ilvl w:val="0"/>
          <w:numId w:val="2"/>
        </w:numPr>
        <w:spacing w:after="60" w:line="264"/>
      </w:pPr>
      <w:r>
        <w:rPr>
          <w:b w:val="false"/>
          <w:bCs w:val="false"/>
        </w:rPr>
        <w:t xml:space="preserve">the workbook sheet </w:t>
      </w:r>
      <w:r>
        <w:rPr>
          <w:b/>
          <w:bCs/>
        </w:rPr>
        <w:t xml:space="preserve">EE-EAes_Summary</w:t>
      </w:r>
      <w:r>
        <w:rPr>
          <w:b w:val="false"/>
          <w:bCs w:val="false"/>
        </w:rPr>
        <w:t xml:space="preserve"> reproduces Parts 1(A), 1(B)(I), 1(B)(II), 2 and 3 with live values;</w:t>
      </w:r>
    </w:p>
    <w:p>
      <w:pPr>
        <w:pStyle w:val="ListParagraph"/>
        <w:numPr>
          <w:ilvl w:val="0"/>
          <w:numId w:val="2"/>
        </w:numPr>
        <w:spacing w:after="120" w:line="264"/>
      </w:pPr>
      <w:r>
        <w:rPr>
          <w:b w:val="false"/>
          <w:bCs w:val="false"/>
        </w:rPr>
        <w:t xml:space="preserve">the sheet </w:t>
      </w:r>
      <w:r>
        <w:rPr>
          <w:b/>
          <w:bCs/>
        </w:rPr>
        <w:t xml:space="preserve">EE-EAes_Entry_Guide</w:t>
      </w:r>
      <w:r>
        <w:rPr>
          <w:b w:val="false"/>
          <w:bCs w:val="false"/>
        </w:rPr>
        <w:t xml:space="preserve"> lists, cell by cell, what to type into the official form.</w:t>
      </w:r>
    </w:p>
    <w:p>
      <w:pPr>
        <w:spacing w:after="120" w:before="0" w:line="276"/>
        <w:jc w:val="both"/>
      </w:pPr>
      <w:r>
        <w:rPr>
          <w:b w:val="false"/>
          <w:bCs w:val="false"/>
        </w:rPr>
        <w:t xml:space="preserve">The key Part 2 values are:</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812"/>
      </w:tblGrid>
      <w:tr>
        <w:trPr>
          <w:tblHeader/>
        </w:trPr>
        <w:tc>
          <w:tcPr>
            <w:tcW w:type="dxa" w:w="36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EE-EAes Part 2 item</w:t>
            </w:r>
          </w:p>
        </w:tc>
        <w:tc>
          <w:tcPr>
            <w:tcW w:type="dxa" w:w="5812"/>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Value</w:t>
            </w:r>
          </w:p>
        </w:tc>
      </w:tr>
      <w:tr>
        <w:trPr>
          <w:cantSplit/>
        </w:trPr>
        <w:tc>
          <w:tcPr>
            <w:tcW w:type="dxa" w:w="3600"/>
            <w:tcMar>
              <w:top w:type="dxa" w:w="50"/>
              <w:left w:type="dxa" w:w="90"/>
              <w:bottom w:type="dxa" w:w="50"/>
              <w:right w:type="dxa" w:w="90"/>
            </w:tcMar>
            <w:vAlign w:val="center"/>
          </w:tcPr>
          <w:p>
            <w:pPr>
              <w:spacing w:after="0" w:line="240"/>
              <w:jc w:val="left"/>
            </w:pPr>
            <w:r>
              <w:rPr>
                <w:b w:val="false"/>
                <w:bCs w:val="false"/>
                <w:sz w:val="15"/>
                <w:szCs w:val="15"/>
              </w:rPr>
              <w:t xml:space="preserve">1) Annual electricity, past 1st 12-month (kWh/annum)</w:t>
            </w:r>
          </w:p>
        </w:tc>
        <w:tc>
          <w:tcPr>
            <w:tcW w:type="dxa" w:w="5812"/>
            <w:tcMar>
              <w:top w:type="dxa" w:w="50"/>
              <w:left w:type="dxa" w:w="90"/>
              <w:bottom w:type="dxa" w:w="50"/>
              <w:right w:type="dxa" w:w="90"/>
            </w:tcMar>
            <w:vAlign w:val="center"/>
          </w:tcPr>
          <w:p>
            <w:pPr>
              <w:spacing w:after="0" w:line="240"/>
              <w:jc w:val="left"/>
            </w:pPr>
            <w:r>
              <w:rPr>
                <w:b w:val="false"/>
                <w:bCs w:val="false"/>
                <w:sz w:val="15"/>
                <w:szCs w:val="15"/>
              </w:rPr>
              <w:t xml:space="preserve">1,219.6 (Room 1003B); 2nd and 3rd 12-month periods N/A (occupied from Jan 2026)</w:t>
            </w:r>
          </w:p>
        </w:tc>
      </w:tr>
      <w:tr>
        <w:trPr>
          <w:cantSplit/>
        </w:trPr>
        <w:tc>
          <w:tcPr>
            <w:tcW w:type="dxa" w:w="3600"/>
            <w:tcMar>
              <w:top w:type="dxa" w:w="50"/>
              <w:left w:type="dxa" w:w="90"/>
              <w:bottom w:type="dxa" w:w="50"/>
              <w:right w:type="dxa" w:w="90"/>
            </w:tcMar>
            <w:vAlign w:val="center"/>
          </w:tcPr>
          <w:p>
            <w:pPr>
              <w:spacing w:after="0" w:line="240"/>
              <w:jc w:val="left"/>
            </w:pPr>
            <w:r>
              <w:rPr>
                <w:b w:val="false"/>
                <w:bCs w:val="false"/>
                <w:sz w:val="15"/>
                <w:szCs w:val="15"/>
              </w:rPr>
              <w:t xml:space="preserve">2) Annual other energy (MJ/annum)</w:t>
            </w:r>
          </w:p>
        </w:tc>
        <w:tc>
          <w:tcPr>
            <w:tcW w:type="dxa" w:w="5812"/>
            <w:tcMar>
              <w:top w:type="dxa" w:w="50"/>
              <w:left w:type="dxa" w:w="90"/>
              <w:bottom w:type="dxa" w:w="50"/>
              <w:right w:type="dxa" w:w="90"/>
            </w:tcMar>
            <w:vAlign w:val="center"/>
          </w:tcPr>
          <w:p>
            <w:pPr>
              <w:spacing w:after="0" w:line="240"/>
              <w:jc w:val="left"/>
            </w:pPr>
            <w:r>
              <w:rPr>
                <w:b w:val="false"/>
                <w:bCs w:val="false"/>
                <w:sz w:val="15"/>
                <w:szCs w:val="15"/>
              </w:rPr>
              <w:t xml:space="preserve">0 (no Towngas or LPG)</w:t>
            </w:r>
          </w:p>
        </w:tc>
      </w:tr>
      <w:tr>
        <w:trPr>
          <w:cantSplit/>
        </w:trPr>
        <w:tc>
          <w:tcPr>
            <w:tcW w:type="dxa" w:w="3600"/>
            <w:tcMar>
              <w:top w:type="dxa" w:w="50"/>
              <w:left w:type="dxa" w:w="90"/>
              <w:bottom w:type="dxa" w:w="50"/>
              <w:right w:type="dxa" w:w="90"/>
            </w:tcMar>
            <w:vAlign w:val="center"/>
          </w:tcPr>
          <w:p>
            <w:pPr>
              <w:spacing w:after="0" w:line="240"/>
              <w:jc w:val="left"/>
            </w:pPr>
            <w:r>
              <w:rPr>
                <w:b w:val="false"/>
                <w:bCs w:val="false"/>
                <w:sz w:val="15"/>
                <w:szCs w:val="15"/>
              </w:rPr>
              <w:t xml:space="preserve">3) Annual total energy (MJ/annum)</w:t>
            </w:r>
          </w:p>
        </w:tc>
        <w:tc>
          <w:tcPr>
            <w:tcW w:type="dxa" w:w="5812"/>
            <w:tcMar>
              <w:top w:type="dxa" w:w="50"/>
              <w:left w:type="dxa" w:w="90"/>
              <w:bottom w:type="dxa" w:w="50"/>
              <w:right w:type="dxa" w:w="90"/>
            </w:tcMar>
            <w:vAlign w:val="center"/>
          </w:tcPr>
          <w:p>
            <w:pPr>
              <w:spacing w:after="0" w:line="240"/>
              <w:jc w:val="left"/>
            </w:pPr>
            <w:r>
              <w:rPr>
                <w:b w:val="false"/>
                <w:bCs w:val="false"/>
                <w:sz w:val="15"/>
                <w:szCs w:val="15"/>
              </w:rPr>
              <w:t xml:space="preserve">4,391</w:t>
            </w:r>
          </w:p>
        </w:tc>
      </w:tr>
      <w:tr>
        <w:trPr>
          <w:cantSplit/>
        </w:trPr>
        <w:tc>
          <w:tcPr>
            <w:tcW w:type="dxa" w:w="3600"/>
            <w:tcMar>
              <w:top w:type="dxa" w:w="50"/>
              <w:left w:type="dxa" w:w="90"/>
              <w:bottom w:type="dxa" w:w="50"/>
              <w:right w:type="dxa" w:w="90"/>
            </w:tcMar>
            <w:vAlign w:val="center"/>
          </w:tcPr>
          <w:p>
            <w:pPr>
              <w:spacing w:after="0" w:line="240"/>
              <w:jc w:val="left"/>
            </w:pPr>
            <w:r>
              <w:rPr>
                <w:b w:val="false"/>
                <w:bCs w:val="false"/>
                <w:sz w:val="15"/>
                <w:szCs w:val="15"/>
              </w:rPr>
              <w:t xml:space="preserve">4) Annual EUI (MJ/m²/annum)</w:t>
            </w:r>
          </w:p>
        </w:tc>
        <w:tc>
          <w:tcPr>
            <w:tcW w:type="dxa" w:w="5812"/>
            <w:tcMar>
              <w:top w:type="dxa" w:w="50"/>
              <w:left w:type="dxa" w:w="90"/>
              <w:bottom w:type="dxa" w:w="50"/>
              <w:right w:type="dxa" w:w="90"/>
            </w:tcMar>
            <w:vAlign w:val="center"/>
          </w:tcPr>
          <w:p>
            <w:pPr>
              <w:spacing w:after="0" w:line="240"/>
              <w:jc w:val="left"/>
            </w:pPr>
            <w:r>
              <w:rPr>
                <w:b w:val="false"/>
                <w:bCs w:val="false"/>
                <w:sz w:val="15"/>
                <w:szCs w:val="15"/>
              </w:rPr>
              <w:t xml:space="preserve">292.7</w:t>
            </w:r>
          </w:p>
        </w:tc>
      </w:tr>
      <w:tr>
        <w:trPr>
          <w:cantSplit/>
        </w:trPr>
        <w:tc>
          <w:tcPr>
            <w:tcW w:type="dxa" w:w="3600"/>
            <w:tcMar>
              <w:top w:type="dxa" w:w="50"/>
              <w:left w:type="dxa" w:w="90"/>
              <w:bottom w:type="dxa" w:w="50"/>
              <w:right w:type="dxa" w:w="90"/>
            </w:tcMar>
            <w:vAlign w:val="center"/>
          </w:tcPr>
          <w:p>
            <w:pPr>
              <w:spacing w:after="0" w:line="240"/>
              <w:jc w:val="left"/>
            </w:pPr>
            <w:r>
              <w:rPr>
                <w:b w:val="false"/>
                <w:bCs w:val="false"/>
                <w:sz w:val="15"/>
                <w:szCs w:val="15"/>
              </w:rPr>
              <w:t xml:space="preserve">5) Monthly EUI (MJ/m²/month)</w:t>
            </w:r>
          </w:p>
        </w:tc>
        <w:tc>
          <w:tcPr>
            <w:tcW w:type="dxa" w:w="5812"/>
            <w:tcMar>
              <w:top w:type="dxa" w:w="50"/>
              <w:left w:type="dxa" w:w="90"/>
              <w:bottom w:type="dxa" w:w="50"/>
              <w:right w:type="dxa" w:w="90"/>
            </w:tcMar>
            <w:vAlign w:val="center"/>
          </w:tcPr>
          <w:p>
            <w:pPr>
              <w:spacing w:after="0" w:line="240"/>
              <w:jc w:val="left"/>
            </w:pPr>
            <w:r>
              <w:rPr>
                <w:b w:val="false"/>
                <w:bCs w:val="false"/>
                <w:sz w:val="15"/>
                <w:szCs w:val="15"/>
              </w:rPr>
              <w:t xml:space="preserve">Jan 16.9; Feb 16.1; Mar 16.9; Apr 16.6; May 32.2; Jun 32.0; Jul 32.2; Aug 32.2; Sep 32.0; Oct 32.2; Nov 16.6; Dec 16.9</w:t>
            </w:r>
          </w:p>
        </w:tc>
      </w:tr>
      <w:tr>
        <w:trPr>
          <w:cantSplit/>
        </w:trPr>
        <w:tc>
          <w:tcPr>
            <w:tcW w:type="dxa" w:w="3600"/>
            <w:tcMar>
              <w:top w:type="dxa" w:w="50"/>
              <w:left w:type="dxa" w:w="90"/>
              <w:bottom w:type="dxa" w:w="50"/>
              <w:right w:type="dxa" w:w="90"/>
            </w:tcMar>
            <w:vAlign w:val="center"/>
          </w:tcPr>
          <w:p>
            <w:pPr>
              <w:spacing w:after="0" w:line="240"/>
              <w:jc w:val="left"/>
            </w:pPr>
            <w:r>
              <w:rPr>
                <w:b w:val="false"/>
                <w:bCs w:val="false"/>
                <w:sz w:val="15"/>
                <w:szCs w:val="15"/>
              </w:rPr>
              <w:t xml:space="preserve">6) Breakdown (MJ/annum)</w:t>
            </w:r>
          </w:p>
        </w:tc>
        <w:tc>
          <w:tcPr>
            <w:tcW w:type="dxa" w:w="5812"/>
            <w:tcMar>
              <w:top w:type="dxa" w:w="50"/>
              <w:left w:type="dxa" w:w="90"/>
              <w:bottom w:type="dxa" w:w="50"/>
              <w:right w:type="dxa" w:w="90"/>
            </w:tcMar>
            <w:vAlign w:val="center"/>
          </w:tcPr>
          <w:p>
            <w:pPr>
              <w:spacing w:after="0" w:line="240"/>
              <w:jc w:val="left"/>
            </w:pPr>
            <w:r>
              <w:rPr>
                <w:b w:val="false"/>
                <w:bCs w:val="false"/>
                <w:sz w:val="15"/>
                <w:szCs w:val="15"/>
              </w:rPr>
              <w:t xml:space="preserve">AC 3,234; lighting 420; lift &amp; escalator 0; others 736</w:t>
            </w:r>
          </w:p>
        </w:tc>
      </w:tr>
      <w:tr>
        <w:trPr>
          <w:cantSplit/>
        </w:trPr>
        <w:tc>
          <w:tcPr>
            <w:tcW w:type="dxa" w:w="3600"/>
            <w:tcMar>
              <w:top w:type="dxa" w:w="50"/>
              <w:left w:type="dxa" w:w="90"/>
              <w:bottom w:type="dxa" w:w="50"/>
              <w:right w:type="dxa" w:w="90"/>
            </w:tcMar>
            <w:vAlign w:val="center"/>
          </w:tcPr>
          <w:p>
            <w:pPr>
              <w:spacing w:after="0" w:line="240"/>
              <w:jc w:val="left"/>
            </w:pPr>
            <w:r>
              <w:rPr>
                <w:b w:val="false"/>
                <w:bCs w:val="false"/>
                <w:sz w:val="15"/>
                <w:szCs w:val="15"/>
              </w:rPr>
              <w:t xml:space="preserve">7) Supply from shared services (%)</w:t>
            </w:r>
          </w:p>
        </w:tc>
        <w:tc>
          <w:tcPr>
            <w:tcW w:type="dxa" w:w="5812"/>
            <w:tcMar>
              <w:top w:type="dxa" w:w="50"/>
              <w:left w:type="dxa" w:w="90"/>
              <w:bottom w:type="dxa" w:w="50"/>
              <w:right w:type="dxa" w:w="90"/>
            </w:tcMar>
            <w:vAlign w:val="center"/>
          </w:tcPr>
          <w:p>
            <w:pPr>
              <w:spacing w:after="0" w:line="240"/>
              <w:jc w:val="left"/>
            </w:pPr>
            <w:r>
              <w:rPr>
                <w:b w:val="false"/>
                <w:bCs w:val="false"/>
                <w:sz w:val="15"/>
                <w:szCs w:val="15"/>
              </w:rPr>
              <w:t xml:space="preserve">52.8% of household electricity (adapted item)</w:t>
            </w:r>
          </w:p>
        </w:tc>
      </w:tr>
      <w:tr>
        <w:trPr>
          <w:cantSplit/>
        </w:trPr>
        <w:tc>
          <w:tcPr>
            <w:tcW w:type="dxa" w:w="3600"/>
            <w:tcMar>
              <w:top w:type="dxa" w:w="50"/>
              <w:left w:type="dxa" w:w="90"/>
              <w:bottom w:type="dxa" w:w="50"/>
              <w:right w:type="dxa" w:w="90"/>
            </w:tcMar>
            <w:vAlign w:val="center"/>
          </w:tcPr>
          <w:p>
            <w:pPr>
              <w:spacing w:after="0" w:line="240"/>
              <w:jc w:val="left"/>
            </w:pPr>
            <w:r>
              <w:rPr>
                <w:b w:val="false"/>
                <w:bCs w:val="false"/>
                <w:sz w:val="15"/>
                <w:szCs w:val="15"/>
              </w:rPr>
              <w:t xml:space="preserve">8) Reference month</w:t>
            </w:r>
          </w:p>
        </w:tc>
        <w:tc>
          <w:tcPr>
            <w:tcW w:type="dxa" w:w="5812"/>
            <w:tcMar>
              <w:top w:type="dxa" w:w="50"/>
              <w:left w:type="dxa" w:w="90"/>
              <w:bottom w:type="dxa" w:w="50"/>
              <w:right w:type="dxa" w:w="90"/>
            </w:tcMar>
            <w:vAlign w:val="center"/>
          </w:tcPr>
          <w:p>
            <w:pPr>
              <w:spacing w:after="0" w:line="240"/>
              <w:jc w:val="left"/>
            </w:pPr>
            <w:r>
              <w:rPr>
                <w:b w:val="false"/>
                <w:bCs w:val="false"/>
                <w:sz w:val="15"/>
                <w:szCs w:val="15"/>
              </w:rPr>
              <w:t xml:space="preserve">September 2026</w:t>
            </w:r>
          </w:p>
        </w:tc>
      </w:tr>
    </w:tbl>
    <w:p>
      <w:pPr>
        <w:pStyle w:val="Heading1"/>
        <w:pageBreakBefore/>
      </w:pPr>
      <w:r>
        <w:rPr>
          <w:b w:val="false"/>
          <w:bCs w:val="false"/>
        </w:rPr>
        <w:t xml:space="preserve">Appendix E - Completed Penn State Home Energy Audit Tool</w:t>
      </w:r>
    </w:p>
    <w:p>
      <w:pPr>
        <w:spacing w:after="40" w:before="0" w:line="276"/>
        <w:jc w:val="both"/>
      </w:pPr>
      <w:r>
        <w:rPr>
          <w:b w:val="false"/>
          <w:bCs w:val="false"/>
        </w:rPr>
        <w:t xml:space="preserve">A copy of the course tool (1_SEE6115-8115_Home Energy Audit Tool_COMPLETED.xlsx) was filled with 178 values across nine sheets. Values were written directly into the tool's input cells, so its navigation buttons, logo, drop-down lists and formulas are unchanged; the original file is untouched. The tool uses US units, so the following conversions were applied:</w:t>
      </w:r>
    </w:p>
    <w:p>
      <w:pPr>
        <w:pStyle w:val="ListParagraph"/>
        <w:numPr>
          <w:ilvl w:val="0"/>
          <w:numId w:val="2"/>
        </w:numPr>
        <w:spacing w:after="60" w:line="264"/>
      </w:pPr>
      <w:r>
        <w:rPr>
          <w:b w:val="false"/>
          <w:bCs w:val="false"/>
        </w:rPr>
        <w:t xml:space="preserve">15 m² = 161 ft²;</w:t>
      </w:r>
    </w:p>
    <w:p>
      <w:pPr>
        <w:pStyle w:val="ListParagraph"/>
        <w:numPr>
          <w:ilvl w:val="0"/>
          <w:numId w:val="2"/>
        </w:numPr>
        <w:spacing w:after="60" w:line="264"/>
      </w:pPr>
      <w:r>
        <w:rPr>
          <w:b w:val="false"/>
          <w:bCs w:val="false"/>
        </w:rPr>
        <w:t xml:space="preserve">25 °C = 77 °F;</w:t>
      </w:r>
    </w:p>
    <w:p>
      <w:pPr>
        <w:pStyle w:val="ListParagraph"/>
        <w:numPr>
          <w:ilvl w:val="0"/>
          <w:numId w:val="2"/>
        </w:numPr>
        <w:spacing w:after="60" w:line="264"/>
      </w:pPr>
      <w:r>
        <w:rPr>
          <w:b w:val="false"/>
          <w:bCs w:val="false"/>
        </w:rPr>
        <w:t xml:space="preserve">24.4 kW = 83,256 Btu/h;</w:t>
      </w:r>
    </w:p>
    <w:p>
      <w:pPr>
        <w:pStyle w:val="ListParagraph"/>
        <w:numPr>
          <w:ilvl w:val="0"/>
          <w:numId w:val="2"/>
        </w:numPr>
        <w:spacing w:after="60" w:line="264"/>
      </w:pPr>
      <w:r>
        <w:rPr>
          <w:b w:val="false"/>
          <w:bCs w:val="false"/>
        </w:rPr>
        <w:t xml:space="preserve">window dimensions in inches.</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012"/>
      </w:tblGrid>
      <w:tr>
        <w:trPr>
          <w:tblHeader/>
        </w:trPr>
        <w:tc>
          <w:tcPr>
            <w:tcW w:type="dxa" w:w="24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Sheet</w:t>
            </w:r>
          </w:p>
        </w:tc>
        <w:tc>
          <w:tcPr>
            <w:tcW w:type="dxa" w:w="7012"/>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What was filled</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Main Page</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Project details, occupant contact (no phone/e-mail), electricity price HK$1.406/kWh, home details (2024, 161 ft², 1 bedroom, shared bathroom, unit on 10/F)</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Questionnaire</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Occupants by age, thermostat (standard), cooling set-point 77 °F, appliance use, laundry (1 cold/cold load, 1 dryer load), water heating, AC 8 h/day average × 12 months, notes</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Bedrooms</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Renamed 'Room 1003B'; 2 fixtures (LED), single-pane aluminium windows with drapes and dimensions, 2 laptop chargers × 8 h/day, 1 portable fan, notes</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Bathrooms</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Renamed 'Shared washroom (4 users)'; LED downlights; notes on heater and 24 h fan</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Kitchen</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Electric stove, no oven, water chiller/heater present, 2 refrigerators (2023), microwave, notes on all appliances</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Misc Areas</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Tankless electric water heater (indoors, 0.99, 83,256 Btu/h), room AC 11,400 Btu/h EER 9.6 (2024), no heating, laundry (electric), notes</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Home Exterior</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Orientation NW, 1 storey, rectangle, concrete construction, notes on MiC building</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Appliance Dataplate Info</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10 appliances with manufacturer, model, year and key ratings</w:t>
            </w:r>
          </w:p>
        </w:tc>
      </w:tr>
      <w:tr>
        <w:trPr>
          <w:cantSplit/>
        </w:trPr>
        <w:tc>
          <w:tcPr>
            <w:tcW w:type="dxa" w:w="2400"/>
            <w:tcMar>
              <w:top w:type="dxa" w:w="50"/>
              <w:left w:type="dxa" w:w="90"/>
              <w:bottom w:type="dxa" w:w="50"/>
              <w:right w:type="dxa" w:w="90"/>
            </w:tcMar>
            <w:vAlign w:val="center"/>
          </w:tcPr>
          <w:p>
            <w:pPr>
              <w:spacing w:after="0" w:line="240"/>
              <w:jc w:val="left"/>
            </w:pPr>
            <w:r>
              <w:rPr>
                <w:b w:val="false"/>
                <w:bCs w:val="false"/>
                <w:sz w:val="15"/>
                <w:szCs w:val="15"/>
              </w:rPr>
              <w:t xml:space="preserve">Other Appliances</w:t>
            </w:r>
          </w:p>
        </w:tc>
        <w:tc>
          <w:tcPr>
            <w:tcW w:type="dxa" w:w="7012"/>
            <w:tcMar>
              <w:top w:type="dxa" w:w="50"/>
              <w:left w:type="dxa" w:w="90"/>
              <w:bottom w:type="dxa" w:w="50"/>
              <w:right w:type="dxa" w:w="90"/>
            </w:tcMar>
            <w:vAlign w:val="center"/>
          </w:tcPr>
          <w:p>
            <w:pPr>
              <w:spacing w:after="0" w:line="240"/>
              <w:jc w:val="left"/>
            </w:pPr>
            <w:r>
              <w:rPr>
                <w:b w:val="false"/>
                <w:bCs w:val="false"/>
                <w:sz w:val="15"/>
                <w:szCs w:val="15"/>
              </w:rPr>
              <w:t xml:space="preserve">Laptops and phone chargers with use and wattage</w:t>
            </w:r>
          </w:p>
        </w:tc>
      </w:tr>
    </w:tbl>
    <w:p>
      <w:pPr>
        <w:pStyle w:val="Heading1"/>
        <w:pageBreakBefore/>
      </w:pPr>
      <w:r>
        <w:rPr>
          <w:b w:val="false"/>
          <w:bCs w:val="false"/>
        </w:rPr>
        <w:t xml:space="preserve">Appendix F - Deliverables and reproducibility</w:t>
      </w:r>
    </w:p>
    <w:tbl>
      <w:tblPr>
        <w:tblW w:type="dxa" w:w="9412"/>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812"/>
      </w:tblGrid>
      <w:tr>
        <w:trPr>
          <w:tblHeader/>
        </w:trPr>
        <w:tc>
          <w:tcPr>
            <w:tcW w:type="dxa" w:w="4600"/>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File</w:t>
            </w:r>
          </w:p>
        </w:tc>
        <w:tc>
          <w:tcPr>
            <w:tcW w:type="dxa" w:w="4812"/>
            <w:shd w:fill="DCE6F0" w:color="auto" w:val="clear"/>
            <w:tcMar>
              <w:top w:type="dxa" w:w="50"/>
              <w:left w:type="dxa" w:w="90"/>
              <w:bottom w:type="dxa" w:w="50"/>
              <w:right w:type="dxa" w:w="90"/>
            </w:tcMar>
            <w:vAlign w:val="center"/>
          </w:tcPr>
          <w:p>
            <w:pPr>
              <w:spacing w:after="0" w:line="240"/>
              <w:jc w:val="left"/>
            </w:pPr>
            <w:r>
              <w:rPr>
                <w:b/>
                <w:bCs/>
                <w:color w:val="1F3864"/>
                <w:sz w:val="15"/>
                <w:szCs w:val="15"/>
              </w:rPr>
              <w:t xml:space="preserve">Purpose</w:t>
            </w:r>
          </w:p>
        </w:tc>
      </w:tr>
      <w:tr>
        <w:trPr>
          <w:cantSplit/>
        </w:trPr>
        <w:tc>
          <w:tcPr>
            <w:tcW w:type="dxa" w:w="4600"/>
            <w:tcMar>
              <w:top w:type="dxa" w:w="50"/>
              <w:left w:type="dxa" w:w="90"/>
              <w:bottom w:type="dxa" w:w="50"/>
              <w:right w:type="dxa" w:w="90"/>
            </w:tcMar>
            <w:vAlign w:val="center"/>
          </w:tcPr>
          <w:p>
            <w:pPr>
              <w:spacing w:after="0" w:line="240"/>
              <w:jc w:val="left"/>
            </w:pPr>
            <w:r>
              <w:rPr>
                <w:b w:val="false"/>
                <w:bCs w:val="false"/>
                <w:sz w:val="15"/>
                <w:szCs w:val="15"/>
              </w:rPr>
              <w:t xml:space="preserve">deliverables/Home_Energy_Carbon_Audit_Report.docx</w:t>
            </w:r>
          </w:p>
        </w:tc>
        <w:tc>
          <w:tcPr>
            <w:tcW w:type="dxa" w:w="4812"/>
            <w:tcMar>
              <w:top w:type="dxa" w:w="50"/>
              <w:left w:type="dxa" w:w="90"/>
              <w:bottom w:type="dxa" w:w="50"/>
              <w:right w:type="dxa" w:w="90"/>
            </w:tcMar>
            <w:vAlign w:val="center"/>
          </w:tcPr>
          <w:p>
            <w:pPr>
              <w:spacing w:after="0" w:line="240"/>
              <w:jc w:val="left"/>
            </w:pPr>
            <w:r>
              <w:rPr>
                <w:b w:val="false"/>
                <w:bCs w:val="false"/>
                <w:sz w:val="15"/>
                <w:szCs w:val="15"/>
              </w:rPr>
              <w:t xml:space="preserve">This report</w:t>
            </w:r>
          </w:p>
        </w:tc>
      </w:tr>
      <w:tr>
        <w:trPr>
          <w:cantSplit/>
        </w:trPr>
        <w:tc>
          <w:tcPr>
            <w:tcW w:type="dxa" w:w="4600"/>
            <w:tcMar>
              <w:top w:type="dxa" w:w="50"/>
              <w:left w:type="dxa" w:w="90"/>
              <w:bottom w:type="dxa" w:w="50"/>
              <w:right w:type="dxa" w:w="90"/>
            </w:tcMar>
            <w:vAlign w:val="center"/>
          </w:tcPr>
          <w:p>
            <w:pPr>
              <w:spacing w:after="0" w:line="240"/>
              <w:jc w:val="left"/>
            </w:pPr>
            <w:r>
              <w:rPr>
                <w:b w:val="false"/>
                <w:bCs w:val="false"/>
                <w:sz w:val="15"/>
                <w:szCs w:val="15"/>
              </w:rPr>
              <w:t xml:space="preserve">deliverables/Home_Energy_Carbon_Audit_Report.pdf</w:t>
            </w:r>
          </w:p>
        </w:tc>
        <w:tc>
          <w:tcPr>
            <w:tcW w:type="dxa" w:w="4812"/>
            <w:tcMar>
              <w:top w:type="dxa" w:w="50"/>
              <w:left w:type="dxa" w:w="90"/>
              <w:bottom w:type="dxa" w:w="50"/>
              <w:right w:type="dxa" w:w="90"/>
            </w:tcMar>
            <w:vAlign w:val="center"/>
          </w:tcPr>
          <w:p>
            <w:pPr>
              <w:spacing w:after="0" w:line="240"/>
              <w:jc w:val="left"/>
            </w:pPr>
            <w:r>
              <w:rPr>
                <w:b w:val="false"/>
                <w:bCs w:val="false"/>
                <w:sz w:val="15"/>
                <w:szCs w:val="15"/>
              </w:rPr>
              <w:t xml:space="preserve">PDF copy of this report</w:t>
            </w:r>
          </w:p>
        </w:tc>
      </w:tr>
      <w:tr>
        <w:trPr>
          <w:cantSplit/>
        </w:trPr>
        <w:tc>
          <w:tcPr>
            <w:tcW w:type="dxa" w:w="4600"/>
            <w:tcMar>
              <w:top w:type="dxa" w:w="50"/>
              <w:left w:type="dxa" w:w="90"/>
              <w:bottom w:type="dxa" w:w="50"/>
              <w:right w:type="dxa" w:w="90"/>
            </w:tcMar>
            <w:vAlign w:val="center"/>
          </w:tcPr>
          <w:p>
            <w:pPr>
              <w:spacing w:after="0" w:line="240"/>
              <w:jc w:val="left"/>
            </w:pPr>
            <w:r>
              <w:rPr>
                <w:b w:val="false"/>
                <w:bCs w:val="false"/>
                <w:sz w:val="15"/>
                <w:szCs w:val="15"/>
              </w:rPr>
              <w:t xml:space="preserve">deliverables/Home_Energy_Carbon_Audit_Workbook.xlsx</w:t>
            </w:r>
          </w:p>
        </w:tc>
        <w:tc>
          <w:tcPr>
            <w:tcW w:type="dxa" w:w="4812"/>
            <w:tcMar>
              <w:top w:type="dxa" w:w="50"/>
              <w:left w:type="dxa" w:w="90"/>
              <w:bottom w:type="dxa" w:w="50"/>
              <w:right w:type="dxa" w:w="90"/>
            </w:tcMar>
            <w:vAlign w:val="center"/>
          </w:tcPr>
          <w:p>
            <w:pPr>
              <w:spacing w:after="0" w:line="240"/>
              <w:jc w:val="left"/>
            </w:pPr>
            <w:r>
              <w:rPr>
                <w:b w:val="false"/>
                <w:bCs w:val="false"/>
                <w:sz w:val="15"/>
                <w:szCs w:val="15"/>
              </w:rPr>
              <w:t xml:space="preserve">Calculation workbook - 15 sheets, 1,150 live formulas, no formula errors</w:t>
            </w:r>
          </w:p>
        </w:tc>
      </w:tr>
      <w:tr>
        <w:trPr>
          <w:cantSplit/>
        </w:trPr>
        <w:tc>
          <w:tcPr>
            <w:tcW w:type="dxa" w:w="4600"/>
            <w:tcMar>
              <w:top w:type="dxa" w:w="50"/>
              <w:left w:type="dxa" w:w="90"/>
              <w:bottom w:type="dxa" w:w="50"/>
              <w:right w:type="dxa" w:w="90"/>
            </w:tcMar>
            <w:vAlign w:val="center"/>
          </w:tcPr>
          <w:p>
            <w:pPr>
              <w:spacing w:after="0" w:line="240"/>
              <w:jc w:val="left"/>
            </w:pPr>
            <w:r>
              <w:rPr>
                <w:b w:val="false"/>
                <w:bCs w:val="false"/>
                <w:sz w:val="15"/>
                <w:szCs w:val="15"/>
              </w:rPr>
              <w:t xml:space="preserve">deliverables/1_SEE6115-8115_Home Energy Audit Tool_COMPLETED.xlsx</w:t>
            </w:r>
          </w:p>
        </w:tc>
        <w:tc>
          <w:tcPr>
            <w:tcW w:type="dxa" w:w="4812"/>
            <w:tcMar>
              <w:top w:type="dxa" w:w="50"/>
              <w:left w:type="dxa" w:w="90"/>
              <w:bottom w:type="dxa" w:w="50"/>
              <w:right w:type="dxa" w:w="90"/>
            </w:tcMar>
            <w:vAlign w:val="center"/>
          </w:tcPr>
          <w:p>
            <w:pPr>
              <w:spacing w:after="0" w:line="240"/>
              <w:jc w:val="left"/>
            </w:pPr>
            <w:r>
              <w:rPr>
                <w:b w:val="false"/>
                <w:bCs w:val="false"/>
                <w:sz w:val="15"/>
                <w:szCs w:val="15"/>
              </w:rPr>
              <w:t xml:space="preserve">Completed course data-collection tool</w:t>
            </w:r>
          </w:p>
        </w:tc>
      </w:tr>
      <w:tr>
        <w:trPr>
          <w:cantSplit/>
        </w:trPr>
        <w:tc>
          <w:tcPr>
            <w:tcW w:type="dxa" w:w="4600"/>
            <w:tcMar>
              <w:top w:type="dxa" w:w="50"/>
              <w:left w:type="dxa" w:w="90"/>
              <w:bottom w:type="dxa" w:w="50"/>
              <w:right w:type="dxa" w:w="90"/>
            </w:tcMar>
            <w:vAlign w:val="center"/>
          </w:tcPr>
          <w:p>
            <w:pPr>
              <w:spacing w:after="0" w:line="240"/>
              <w:jc w:val="left"/>
            </w:pPr>
            <w:r>
              <w:rPr>
                <w:b w:val="false"/>
                <w:bCs w:val="false"/>
                <w:sz w:val="15"/>
                <w:szCs w:val="15"/>
              </w:rPr>
              <w:t xml:space="preserve">deliverables/figures/</w:t>
            </w:r>
          </w:p>
        </w:tc>
        <w:tc>
          <w:tcPr>
            <w:tcW w:type="dxa" w:w="4812"/>
            <w:tcMar>
              <w:top w:type="dxa" w:w="50"/>
              <w:left w:type="dxa" w:w="90"/>
              <w:bottom w:type="dxa" w:w="50"/>
              <w:right w:type="dxa" w:w="90"/>
            </w:tcMar>
            <w:vAlign w:val="center"/>
          </w:tcPr>
          <w:p>
            <w:pPr>
              <w:spacing w:after="0" w:line="240"/>
              <w:jc w:val="left"/>
            </w:pPr>
            <w:r>
              <w:rPr>
                <w:b w:val="false"/>
                <w:bCs w:val="false"/>
                <w:sz w:val="15"/>
                <w:szCs w:val="15"/>
              </w:rPr>
              <w:t xml:space="preserve">The 12 charts used in this report</w:t>
            </w:r>
          </w:p>
        </w:tc>
      </w:tr>
      <w:tr>
        <w:trPr>
          <w:cantSplit/>
        </w:trPr>
        <w:tc>
          <w:tcPr>
            <w:tcW w:type="dxa" w:w="4600"/>
            <w:tcMar>
              <w:top w:type="dxa" w:w="50"/>
              <w:left w:type="dxa" w:w="90"/>
              <w:bottom w:type="dxa" w:w="50"/>
              <w:right w:type="dxa" w:w="90"/>
            </w:tcMar>
            <w:vAlign w:val="center"/>
          </w:tcPr>
          <w:p>
            <w:pPr>
              <w:spacing w:after="0" w:line="240"/>
              <w:jc w:val="left"/>
            </w:pPr>
            <w:r>
              <w:rPr>
                <w:b w:val="false"/>
                <w:bCs w:val="false"/>
                <w:sz w:val="15"/>
                <w:szCs w:val="15"/>
              </w:rPr>
              <w:t xml:space="preserve">photos/</w:t>
            </w:r>
          </w:p>
        </w:tc>
        <w:tc>
          <w:tcPr>
            <w:tcW w:type="dxa" w:w="4812"/>
            <w:tcMar>
              <w:top w:type="dxa" w:w="50"/>
              <w:left w:type="dxa" w:w="90"/>
              <w:bottom w:type="dxa" w:w="50"/>
              <w:right w:type="dxa" w:w="90"/>
            </w:tcMar>
            <w:vAlign w:val="center"/>
          </w:tcPr>
          <w:p>
            <w:pPr>
              <w:spacing w:after="0" w:line="240"/>
              <w:jc w:val="left"/>
            </w:pPr>
            <w:r>
              <w:rPr>
                <w:b w:val="false"/>
                <w:bCs w:val="false"/>
                <w:sz w:val="15"/>
                <w:szCs w:val="15"/>
              </w:rPr>
              <w:t xml:space="preserve">26 evidence photographs</w:t>
            </w:r>
          </w:p>
        </w:tc>
      </w:tr>
      <w:tr>
        <w:trPr>
          <w:cantSplit/>
        </w:trPr>
        <w:tc>
          <w:tcPr>
            <w:tcW w:type="dxa" w:w="4600"/>
            <w:tcMar>
              <w:top w:type="dxa" w:w="50"/>
              <w:left w:type="dxa" w:w="90"/>
              <w:bottom w:type="dxa" w:w="50"/>
              <w:right w:type="dxa" w:w="90"/>
            </w:tcMar>
            <w:vAlign w:val="center"/>
          </w:tcPr>
          <w:p>
            <w:pPr>
              <w:spacing w:after="0" w:line="240"/>
              <w:jc w:val="left"/>
            </w:pPr>
            <w:r>
              <w:rPr>
                <w:b w:val="false"/>
                <w:bCs w:val="false"/>
                <w:sz w:val="15"/>
                <w:szCs w:val="15"/>
              </w:rPr>
              <w:t xml:space="preserve">audit-inputs/QUESTIONNAIRE.md</w:t>
            </w:r>
          </w:p>
        </w:tc>
        <w:tc>
          <w:tcPr>
            <w:tcW w:type="dxa" w:w="4812"/>
            <w:tcMar>
              <w:top w:type="dxa" w:w="50"/>
              <w:left w:type="dxa" w:w="90"/>
              <w:bottom w:type="dxa" w:w="50"/>
              <w:right w:type="dxa" w:w="90"/>
            </w:tcMar>
            <w:vAlign w:val="center"/>
          </w:tcPr>
          <w:p>
            <w:pPr>
              <w:spacing w:after="0" w:line="240"/>
              <w:jc w:val="left"/>
            </w:pPr>
            <w:r>
              <w:rPr>
                <w:b w:val="false"/>
                <w:bCs w:val="false"/>
                <w:sz w:val="15"/>
                <w:szCs w:val="15"/>
              </w:rPr>
              <w:t xml:space="preserve">Completed questionnaire</w:t>
            </w:r>
          </w:p>
        </w:tc>
      </w:tr>
      <w:tr>
        <w:trPr>
          <w:cantSplit/>
        </w:trPr>
        <w:tc>
          <w:tcPr>
            <w:tcW w:type="dxa" w:w="4600"/>
            <w:tcMar>
              <w:top w:type="dxa" w:w="50"/>
              <w:left w:type="dxa" w:w="90"/>
              <w:bottom w:type="dxa" w:w="50"/>
              <w:right w:type="dxa" w:w="90"/>
            </w:tcMar>
            <w:vAlign w:val="center"/>
          </w:tcPr>
          <w:p>
            <w:pPr>
              <w:spacing w:after="0" w:line="240"/>
              <w:jc w:val="left"/>
            </w:pPr>
            <w:r>
              <w:rPr>
                <w:b w:val="false"/>
                <w:bCs w:val="false"/>
                <w:sz w:val="15"/>
                <w:szCs w:val="15"/>
              </w:rPr>
              <w:t xml:space="preserve">scripts/</w:t>
            </w:r>
          </w:p>
        </w:tc>
        <w:tc>
          <w:tcPr>
            <w:tcW w:type="dxa" w:w="4812"/>
            <w:tcMar>
              <w:top w:type="dxa" w:w="50"/>
              <w:left w:type="dxa" w:w="90"/>
              <w:bottom w:type="dxa" w:w="50"/>
              <w:right w:type="dxa" w:w="90"/>
            </w:tcMar>
            <w:vAlign w:val="center"/>
          </w:tcPr>
          <w:p>
            <w:pPr>
              <w:spacing w:after="0" w:line="240"/>
              <w:jc w:val="left"/>
            </w:pPr>
            <w:r>
              <w:rPr>
                <w:b w:val="false"/>
                <w:bCs w:val="false"/>
                <w:sz w:val="15"/>
                <w:szCs w:val="15"/>
              </w:rPr>
              <w:t xml:space="preserve">Python/Node scripts that rebuild the workbook, verify it against an independent model (84 cross-checks), fill the tool and generate this report</w:t>
            </w:r>
          </w:p>
        </w:tc>
      </w:tr>
    </w:tbl>
    <w:p>
      <w:pPr>
        <w:spacing w:after="120" w:before="120" w:line="276"/>
        <w:jc w:val="both"/>
      </w:pPr>
      <w:r>
        <w:rPr>
          <w:b w:val="false"/>
          <w:bCs w:val="false"/>
          <w:sz w:val="17"/>
          <w:szCs w:val="17"/>
        </w:rPr>
        <w:t xml:space="preserve">Rebuild sequence: build_workbook.py, then LibreOffice recalculation, then verify_workbook.py, then make_report_assets.py, then build_report.js, then finalize_report.py (contents page numbers and PDF copy). Every number in this report is read from the recalculated workbook.</w:t>
      </w:r>
    </w:p>
    <w:sectPr>
      <w:headerReference w:type="default" r:id="rId7"/>
      <w:footerReference w:type="default" r:id="rId8"/>
      <w:pgSz w:w="11906" w:h="16838" w:orient="portrait"/>
      <w:pgMar w:top="1134" w:right="1247" w:bottom="1134" w:left="124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color w:val="52514E"/>
        <w:sz w:val="16"/>
        <w:szCs w:val="16"/>
      </w:rPr>
      <w:t xml:space="preserve">Home Energy Audit [2] - Room 1003B, Hall 13, CityU (Ma On Shan)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F4E5F"/>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0B0B0B"/>
      <w:sz w:val="21"/>
      <w:szCs w:val="21"/>
    </w:rPr>
  </w:style>
  <w:style w:type="paragraph" w:styleId="TOC1">
    <w:name w:val="toc 1"/>
    <w:basedOn w:val="Normal"/>
    <w:next w:val="Normal"/>
    <w:pPr>
      <w:spacing w:after="20" w:before="100"/>
    </w:pPr>
    <w:rPr>
      <w:rFonts w:ascii="Arial" w:cs="Arial" w:eastAsia="Arial" w:hAnsi="Arial"/>
      <w:b/>
      <w:bCs/>
      <w:color w:val="1F3864"/>
      <w:sz w:val="20"/>
      <w:szCs w:val="20"/>
    </w:rPr>
  </w:style>
  <w:style w:type="paragraph" w:styleId="TOC2">
    <w:name w:val="toc 2"/>
    <w:basedOn w:val="Normal"/>
    <w:next w:val="Normal"/>
    <w:pPr>
      <w:spacing w:after="10"/>
      <w:ind w:left="360"/>
    </w:pPr>
    <w:rPr>
      <w:rFonts w:ascii="Arial" w:cs="Arial" w:eastAsia="Arial" w:hAnsi="Arial"/>
      <w:color w:val="0B0B0B"/>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ltqisuktsuql4uqd5xzq" Type="http://schemas.openxmlformats.org/officeDocument/2006/relationships/hyperlink" Target="https://sustainability.clpgroup.com/en/2025/esg-data-hub" TargetMode="External"/><Relationship Id="rIdxrr3saubwn7pt0u5nqi4c" Type="http://schemas.openxmlformats.org/officeDocument/2006/relationships/hyperlink" Target="https://www.clp.com.hk/en/clp-power-tariff-adjustment-2026" TargetMode="External"/><Relationship Id="rId1ses38la4erjoanoskeln" Type="http://schemas.openxmlformats.org/officeDocument/2006/relationships/hyperlink" Target="https://www.news.gov.hk/eng/2025/11/20251118/20251118_171441_586.html" TargetMode="External"/><Relationship Id="rIdvhw3dlnxng-4aguteb98w" Type="http://schemas.openxmlformats.org/officeDocument/2006/relationships/hyperlink" Target="https://www.hko.gov.hk/en/cis/normal/1991_2020/15day_normal.htm" TargetMode="External"/><Relationship Id="rIdecj0yn-a57sxtj3fkdlg9" Type="http://schemas.openxmlformats.org/officeDocument/2006/relationships/hyperlink" Target="https://www.emsd.gov.hk/energylabel/en/households/rac/eels_ac_eot_popup.htm" TargetMode="External"/><Relationship Id="rIdntegxcrvjc7dxp454x7hb" Type="http://schemas.openxmlformats.org/officeDocument/2006/relationships/hyperlink" Target="https://www.news.gov.hk/eng/2025/04/20250417/20250417_120238_003.html" TargetMode="External"/><Relationship Id="rIdgydro7hpj5dk2_etpgpky" Type="http://schemas.openxmlformats.org/officeDocument/2006/relationships/hyperlink" Target="https://hkgbc.org.hk/eng/resources/publications/HKGBC-Publication/Reports/green-building-in-action/references/2025.jsp" TargetMode="External"/><Relationship Id="rIdjmtluyuipef7uuzkzuyfb" Type="http://schemas.openxmlformats.org/officeDocument/2006/relationships/hyperlink" Target="https://water.hku.hk/wp-content/uploads/2024/05/221200-ECF_Final-report_website-updates.pdf" TargetMode="External"/><Relationship Id="rIdukspaglginsd2z0_n_nqe" Type="http://schemas.openxmlformats.org/officeDocument/2006/relationships/hyperlink" Target="https://water.hku.hk/water-conservation/" TargetMode="External"/><Relationship Id="rIdava2byl5xw_ubgm0wv-a4" Type="http://schemas.openxmlformats.org/officeDocument/2006/relationships/hyperlink" Target="https://www.info.gov.hk/gia/general/201207/04/P201207040635.htm" TargetMode="External"/><Relationship Id="rIdhjizwixxink-i0nrjmzpp" Type="http://schemas.openxmlformats.org/officeDocument/2006/relationships/hyperlink" Target="https://www.cityu.edu.hk/en/media/press-release/2024/12/11/cityuhk-holds-opening-and-naming-ceremony-lee-shau-kee-student-residence-village" TargetMode="External"/><Relationship Id="rIdnqk-prbqoqzjjv62danbf" Type="http://schemas.openxmlformats.org/officeDocument/2006/relationships/hyperlink" Target="https://hkele.com.hk/en/DHBE27SLI" TargetMode="External"/><Relationship Id="rIdswtqo3c42kawj3vxzbwre" Type="http://schemas.openxmlformats.org/officeDocument/2006/relationships/hyperlink" Target="https://www.mtr.com.hk/sustainability/assets/pdf/en/2022/MTR_CDP_Response.pdf" TargetMode="External"/><Relationship Id="rIdbuf2r47d10qd4ocj3zp4b" Type="http://schemas.openxmlformats.org/officeDocument/2006/relationships/hyperlink" Target="https://www.gov.uk/government/publications/greenhouse-gas-reporting-conversion-factors-2025" TargetMode="External"/><Relationship Id="rId0rhnhwe2h0as5vggtqgwk" Type="http://schemas.openxmlformats.org/officeDocument/2006/relationships/hyperlink" Target="https://www.oxfordmartin.ox.ac.uk/publications/dietary-greenhouse-gas-emissions-of-meat-eaters-fish-eaters-vegetarians-and-vegans-in-the-uk" TargetMode="External"/><Relationship Id="rId-76cpw2m7nm8au8-92wxx" Type="http://schemas.openxmlformats.org/officeDocument/2006/relationships/hyperlink" Target="https://www.energystar.gov/sites/default/files/ES%20WC%20V2%200%20Spec.pdf" TargetMode="External"/><Relationship Id="rIdqfcmeltnwhgjfsfo1kx88" Type="http://schemas.openxmlformats.org/officeDocument/2006/relationships/hyperlink" Target="https://www.ashrae.org/technical-resources/ashrae-journal/featured-articles/october-2022-analysis-of-refrigerant-use-for-ac-equipment-maintenance" TargetMode="External"/><Relationship Id="rIdmrvqg15qk9onmajzkccql" Type="http://schemas.openxmlformats.org/officeDocument/2006/relationships/hyperlink" Target="https://www.clpgroup.com/content/dam/clp-group/channels/media/document/2022/20220426_en.pdf.coredownload.pdf" TargetMode="External"/><Relationship Id="rIdmsrogdis_b1ixufzcq74v" Type="http://schemas.openxmlformats.org/officeDocument/2006/relationships/hyperlink" Target="https://www.devb.gov.hk/en/sdev/press/index_id_11447.html" TargetMode="External"/><Relationship Id="rId4wpka-25_6-1krvlsultl" Type="http://schemas.openxmlformats.org/officeDocument/2006/relationships/hyperlink" Target="https://emsd.gov.hk/beeo/en/pee/BEC2021vsBEC2024.pdf" TargetMode="External"/><Relationship Id="rIdkxqowb4ag555m211iov0q" Type="http://schemas.openxmlformats.org/officeDocument/2006/relationships/hyperlink" Target="https://wys.cuhk.edu.hk/college-life-support/information-for-residents/" TargetMode="External"/><Relationship Id="rIdrucmd6q_hvczt9zmrdqbb" Type="http://schemas.openxmlformats.org/officeDocument/2006/relationships/hyperlink" Target="https://www.osti.gov/biblio/805122" TargetMode="External"/><Relationship Id="rIdvifjoi0uxgkdemb-_cp5t" Type="http://schemas.openxmlformats.org/officeDocument/2006/relationships/hyperlink" Target="https://news.rthk.hk/rthk/en/component/k2/1854660-20260514.htm" TargetMode="External"/><Relationship Id="rIdfu3lfomgafqgenuiq1zjs" Type="http://schemas.openxmlformats.org/officeDocument/2006/relationships/hyperlink" Target="https://www.feverelectrics.com/en/products/midea-mw12crf8e-1-5hp-r32-inverter-window-type-air-conditioner" TargetMode="External"/><Relationship Id="rIdei6yotj1utve0e_br8bpo" Type="http://schemas.openxmlformats.org/officeDocument/2006/relationships/hyperlink" Target="https://www.info.gov.hk/gia/general/202406/26/P2024062600623.htm" TargetMode="External"/><Relationship Id="rIddg4hfgywco64wugv3e3n1" Type="http://schemas.openxmlformats.org/officeDocument/2006/relationships/hyperlink" Target="https://www.info.gov.hk/gia/general/202110/08/P2021100800588.htm" TargetMode="External"/><Relationship Id="rIdc1-85vm01lah1_u7tvt7n" Type="http://schemas.openxmlformats.org/officeDocument/2006/relationships/hyperlink" Target="https://www.energy.gov/energysaver/maintaining-your-air-conditioner" TargetMode="External"/><Relationship Id="rId9" Type="http://schemas.openxmlformats.org/officeDocument/2006/relationships/image" Target="media/befdf30b2910cd2787a5d6bef71c64f7e76144f6.jpg"/><Relationship Id="rId10" Type="http://schemas.openxmlformats.org/officeDocument/2006/relationships/image" Target="media/e850087548947fa540f257fc5ac42db7ebcbb241.png"/><Relationship Id="rId11" Type="http://schemas.openxmlformats.org/officeDocument/2006/relationships/image" Target="media/6fa899765e97f90c388d60a2a6ddb5666f565b45.jpg"/><Relationship Id="rId12" Type="http://schemas.openxmlformats.org/officeDocument/2006/relationships/image" Target="media/b0d178fd8da4135ddac0df14b4aeacebd2a29237.jpg"/><Relationship Id="rId13" Type="http://schemas.openxmlformats.org/officeDocument/2006/relationships/image" Target="media/fbaf754ba5ec79afcb4ecdfc2ece2a7952733576.jpg"/><Relationship Id="rId14" Type="http://schemas.openxmlformats.org/officeDocument/2006/relationships/image" Target="media/fff93674c5767220369c87f2ee226e763b989219.jpg"/><Relationship Id="rId15" Type="http://schemas.openxmlformats.org/officeDocument/2006/relationships/image" Target="media/e63b6049168448d19231a2a17d4563c64a6f4f73.jpg"/><Relationship Id="rId16" Type="http://schemas.openxmlformats.org/officeDocument/2006/relationships/image" Target="media/41f1fec3a54f8209e96d04048ad61fa1b56e60e3.jpg"/><Relationship Id="rId17" Type="http://schemas.openxmlformats.org/officeDocument/2006/relationships/image" Target="media/d7bd76a82e2aa94c18fb582ad183a8cea774b809.jpg"/><Relationship Id="rId18" Type="http://schemas.openxmlformats.org/officeDocument/2006/relationships/image" Target="media/b5a27f4ce8d2746dd90fff2c586cfbfd320e3b4b.jpg"/><Relationship Id="rId19" Type="http://schemas.openxmlformats.org/officeDocument/2006/relationships/image" Target="media/4ac482ff33b7bffeb6fad1a713905cf367d6fe17.jpg"/><Relationship Id="rId20" Type="http://schemas.openxmlformats.org/officeDocument/2006/relationships/image" Target="media/a5a4ce1235d6d664838c7a64c46810fdc0234d52.jpg"/><Relationship Id="rId21" Type="http://schemas.openxmlformats.org/officeDocument/2006/relationships/image" Target="media/ac87ece07d8ce8f2606b40aaf93041fdd1e26a96.jpg"/><Relationship Id="rId22" Type="http://schemas.openxmlformats.org/officeDocument/2006/relationships/image" Target="media/b3a62cf6d40e566df5e0553f446d37441e9ab25f.jpg"/><Relationship Id="rId23" Type="http://schemas.openxmlformats.org/officeDocument/2006/relationships/image" Target="media/4dd9ff2c5d7de06944489944732f56535ad65e6e.jpg"/><Relationship Id="rId24" Type="http://schemas.openxmlformats.org/officeDocument/2006/relationships/image" Target="media/18b0d5d2d330d9e60e88697968d783059775bfbe.jpg"/><Relationship Id="rId25" Type="http://schemas.openxmlformats.org/officeDocument/2006/relationships/image" Target="media/262cb2ee8104dd883a35681d8ca0b5e3fcef74af.png"/><Relationship Id="rId26" Type="http://schemas.openxmlformats.org/officeDocument/2006/relationships/image" Target="media/805ccf4053663a13d55c7a0853ce743e3b0a579d.png"/><Relationship Id="rId27" Type="http://schemas.openxmlformats.org/officeDocument/2006/relationships/image" Target="media/c1380292178d48290d6da06fa8c1646770b30dec.png"/><Relationship Id="rId28" Type="http://schemas.openxmlformats.org/officeDocument/2006/relationships/image" Target="media/bfad8b611d1fa3fa20cf5a787a5798a15277f3f8.png"/><Relationship Id="rId29" Type="http://schemas.openxmlformats.org/officeDocument/2006/relationships/image" Target="media/f42eac14a79df3fbb71cb103bb3a1efa1b6bfa5a.png"/><Relationship Id="rId30" Type="http://schemas.openxmlformats.org/officeDocument/2006/relationships/image" Target="media/3fac73b85dfba99b537af66f3cb5fd3b58ed220f.png"/><Relationship Id="rId31" Type="http://schemas.openxmlformats.org/officeDocument/2006/relationships/image" Target="media/03f2d63361f7e69e3ebef9a355425993b019e26e.png"/><Relationship Id="rId32" Type="http://schemas.openxmlformats.org/officeDocument/2006/relationships/image" Target="media/28acdf7fdc589692350842dc012091bd937c41d3.png"/><Relationship Id="rId33" Type="http://schemas.openxmlformats.org/officeDocument/2006/relationships/image" Target="media/308c5ba33017a34e40c751513540343cb0081f22.png"/><Relationship Id="rId34" Type="http://schemas.openxmlformats.org/officeDocument/2006/relationships/image" Target="media/9ac41fd00f6e60ae68ae56a648237b03d89ab0ef.jpg"/><Relationship Id="rId35" Type="http://schemas.openxmlformats.org/officeDocument/2006/relationships/image" Target="media/9ff1380a8da603cd12875efb5ab18bf3944cda97.jpg"/><Relationship Id="rId36" Type="http://schemas.openxmlformats.org/officeDocument/2006/relationships/image" Target="media/8c36fefbf2f0cbc5f03c6c533ce4334a8eaf4f26.jpg"/><Relationship Id="rId37" Type="http://schemas.openxmlformats.org/officeDocument/2006/relationships/image" Target="media/8ad9a1db78ac00fae7a93b957d6b44caa18cd590.png"/><Relationship Id="rId38" Type="http://schemas.openxmlformats.org/officeDocument/2006/relationships/image" Target="media/d7ee50e35f7084592392756b51c2b3f9cddbb6ce.png"/><Relationship Id="rId39" Type="http://schemas.openxmlformats.org/officeDocument/2006/relationships/image" Target="media/c37787369cf2d8f3700862c1ed994303223f7593.jpg"/><Relationship Id="rId40" Type="http://schemas.openxmlformats.org/officeDocument/2006/relationships/image" Target="media/730663dad2618f24b45ae6a2df471ac77d4cc995.jpg"/><Relationship Id="rId41" Type="http://schemas.openxmlformats.org/officeDocument/2006/relationships/image" Target="media/b35c5e10faf235dca9395d6bb21cf6b62578b7e9.jpg"/><Relationship Id="rId42" Type="http://schemas.openxmlformats.org/officeDocument/2006/relationships/image" Target="media/54901c716945732d64666986b9d20836ca9c00e4.jpg"/><Relationship Id="rId43" Type="http://schemas.openxmlformats.org/officeDocument/2006/relationships/image" Target="media/493554d804908c37e9fa305ba3608a881b6681df.jpg"/><Relationship Id="rId44" Type="http://schemas.openxmlformats.org/officeDocument/2006/relationships/image" Target="media/3c7de5b61ab15f1caf393e26fdd00b6f8c25b7d3.jpg"/><Relationship Id="rId45" Type="http://schemas.openxmlformats.org/officeDocument/2006/relationships/image" Target="media/f794fc6ccd40901d848dd4fdd532381feed3dd4e.jpg"/><Relationship Id="rId46" Type="http://schemas.openxmlformats.org/officeDocument/2006/relationships/image" Target="media/aacccb5304975d4b7f4b8379dc90fb5c1f6ce844.jp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Energy Audit [2] - Energy and Carbon Audit of Room 1003B, Hall 13, CityU</dc:title>
  <dc:creator>Jayash Sahu</dc:creator>
  <dc:description>Home energy and carbon audit following EMSD EAC 2018 and HK GHG Guidelines for Buildings</dc:description>
  <cp:lastModifiedBy>Un-named</cp:lastModifiedBy>
  <cp:revision>1</cp:revision>
  <dcterms:created xsi:type="dcterms:W3CDTF">2026-10-11T09:19:14.132Z</dcterms:created>
  <dcterms:modified xsi:type="dcterms:W3CDTF">2026-10-11T09:19:14.132Z</dcterms:modified>
</cp:coreProperties>
</file>

<file path=docProps/custom.xml><?xml version="1.0" encoding="utf-8"?>
<Properties xmlns="http://schemas.openxmlformats.org/officeDocument/2006/custom-properties" xmlns:vt="http://schemas.openxmlformats.org/officeDocument/2006/docPropsVTypes"/>
</file>