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Design Phase</w:t>
      </w:r>
    </w:p>
    <w:p>
      <w:pPr>
        <w:pStyle w:val="Heading2"/>
      </w:pPr>
      <w:r>
        <w:t>Proposed Solution Template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15 February 2025</w:t>
            </w:r>
          </w:p>
        </w:tc>
      </w:tr>
      <w:tr>
        <w:tc>
          <w:tcPr>
            <w:tcW w:type="dxa" w:w="4320"/>
          </w:tcPr>
          <w:p>
            <w:r>
              <w:t>Team ID</w:t>
            </w:r>
          </w:p>
        </w:tc>
        <w:tc>
          <w:tcPr>
            <w:tcW w:type="dxa" w:w="4320"/>
          </w:tcPr>
          <w:p>
            <w:r>
              <w:t>LTVIP2025TMID42255</w:t>
            </w:r>
          </w:p>
        </w:tc>
      </w:tr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HEMATOVISION: Advanced Blood Cell Classification Using Transfer Learning</w:t>
            </w:r>
          </w:p>
        </w:tc>
      </w:tr>
      <w:tr>
        <w:tc>
          <w:tcPr>
            <w:tcW w:type="dxa" w:w="4320"/>
          </w:tcPr>
          <w:p>
            <w:r>
              <w:t>Maximum Marks</w:t>
            </w:r>
          </w:p>
        </w:tc>
        <w:tc>
          <w:tcPr>
            <w:tcW w:type="dxa" w:w="4320"/>
          </w:tcPr>
          <w:p>
            <w:r>
              <w:t>2 Marks</w:t>
            </w:r>
          </w:p>
        </w:tc>
      </w:tr>
    </w:tbl>
    <w:p>
      <w:r>
        <w:br/>
        <w:t>Proposed Solution Template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S.No.</w:t>
            </w:r>
          </w:p>
        </w:tc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1.</w:t>
            </w:r>
          </w:p>
        </w:tc>
        <w:tc>
          <w:tcPr>
            <w:tcW w:type="dxa" w:w="2880"/>
          </w:tcPr>
          <w:p>
            <w:r>
              <w:t>Problem Statement (Problem to be solved)</w:t>
            </w:r>
          </w:p>
        </w:tc>
        <w:tc>
          <w:tcPr>
            <w:tcW w:type="dxa" w:w="2880"/>
          </w:tcPr>
          <w:p>
            <w:r>
              <w:t>Accurate and timely classification of blood cells is crucial for diagnosing diseases like leukemia, anemia, and infections. Manual microscopy is time-consuming, error-prone, and depends heavily on expertise.</w:t>
            </w:r>
          </w:p>
        </w:tc>
      </w:tr>
      <w:tr>
        <w:tc>
          <w:tcPr>
            <w:tcW w:type="dxa" w:w="2880"/>
          </w:tcPr>
          <w:p>
            <w:r>
              <w:t>2.</w:t>
            </w:r>
          </w:p>
        </w:tc>
        <w:tc>
          <w:tcPr>
            <w:tcW w:type="dxa" w:w="2880"/>
          </w:tcPr>
          <w:p>
            <w:r>
              <w:t>Idea / Solution description</w:t>
            </w:r>
          </w:p>
        </w:tc>
        <w:tc>
          <w:tcPr>
            <w:tcW w:type="dxa" w:w="2880"/>
          </w:tcPr>
          <w:p>
            <w:r>
              <w:t>HEMATOVISION uses transfer learning (with pre-trained CNN models like ResNet50) to automate blood cell classification from microscopic images. The system improves diagnostic efficiency and accuracy.</w:t>
            </w:r>
          </w:p>
        </w:tc>
      </w:tr>
      <w:tr>
        <w:tc>
          <w:tcPr>
            <w:tcW w:type="dxa" w:w="2880"/>
          </w:tcPr>
          <w:p>
            <w:r>
              <w:t>3.</w:t>
            </w:r>
          </w:p>
        </w:tc>
        <w:tc>
          <w:tcPr>
            <w:tcW w:type="dxa" w:w="2880"/>
          </w:tcPr>
          <w:p>
            <w:r>
              <w:t>Novelty / Uniqueness</w:t>
            </w:r>
          </w:p>
        </w:tc>
        <w:tc>
          <w:tcPr>
            <w:tcW w:type="dxa" w:w="2880"/>
          </w:tcPr>
          <w:p>
            <w:r>
              <w:t>Unlike traditional models, HEMATOVISION leverages transfer learning to minimize training time while maintaining high precision. It is tailored for real-time clinical deployment and mobile integration.</w:t>
            </w:r>
          </w:p>
        </w:tc>
      </w:tr>
      <w:tr>
        <w:tc>
          <w:tcPr>
            <w:tcW w:type="dxa" w:w="2880"/>
          </w:tcPr>
          <w:p>
            <w:r>
              <w:t>4.</w:t>
            </w:r>
          </w:p>
        </w:tc>
        <w:tc>
          <w:tcPr>
            <w:tcW w:type="dxa" w:w="2880"/>
          </w:tcPr>
          <w:p>
            <w:r>
              <w:t>Social Impact / Customer Satisfaction</w:t>
            </w:r>
          </w:p>
        </w:tc>
        <w:tc>
          <w:tcPr>
            <w:tcW w:type="dxa" w:w="2880"/>
          </w:tcPr>
          <w:p>
            <w:r>
              <w:t>Enables faster and more reliable diagnostics, especially in remote or resource-limited areas. It supports early disease detection, reducing healthcare burdens and improving patient outcomes.</w:t>
            </w:r>
          </w:p>
        </w:tc>
      </w:tr>
      <w:tr>
        <w:tc>
          <w:tcPr>
            <w:tcW w:type="dxa" w:w="2880"/>
          </w:tcPr>
          <w:p>
            <w:r>
              <w:t>5.</w:t>
            </w:r>
          </w:p>
        </w:tc>
        <w:tc>
          <w:tcPr>
            <w:tcW w:type="dxa" w:w="2880"/>
          </w:tcPr>
          <w:p>
            <w:r>
              <w:t>Business Model (Revenue Model)</w:t>
            </w:r>
          </w:p>
        </w:tc>
        <w:tc>
          <w:tcPr>
            <w:tcW w:type="dxa" w:w="2880"/>
          </w:tcPr>
          <w:p>
            <w:r>
              <w:t>Freemium model: basic features free for small labs; premium subscription for advanced analytics, API access, and hospital integration. Revenue through licensing and B2B collaborations.</w:t>
            </w:r>
          </w:p>
        </w:tc>
      </w:tr>
      <w:tr>
        <w:tc>
          <w:tcPr>
            <w:tcW w:type="dxa" w:w="2880"/>
          </w:tcPr>
          <w:p>
            <w:r>
              <w:t>6.</w:t>
            </w:r>
          </w:p>
        </w:tc>
        <w:tc>
          <w:tcPr>
            <w:tcW w:type="dxa" w:w="2880"/>
          </w:tcPr>
          <w:p>
            <w:r>
              <w:t>Scalability of the Solution</w:t>
            </w:r>
          </w:p>
        </w:tc>
        <w:tc>
          <w:tcPr>
            <w:tcW w:type="dxa" w:w="2880"/>
          </w:tcPr>
          <w:p>
            <w:r>
              <w:t>The solution can scale across hospitals, clinics, and pathology labs globally. It can be extended to classify other types of cells and integrated into telemedicine platforms.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