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22"/>
          <w:szCs w:val="22"/>
        </w:rPr>
        <w:t xml:space="preserve">Continental Merchant Bank Ltd. — Corporate Banking Branch, Hyderabad</w:t>
      </w:r>
    </w:p>
    <w:p>
      <w:pPr>
        <w:spacing w:after="200"/>
      </w:pPr>
      <w:r>
        <w:rPr>
          <w:i/>
          <w:iCs/>
          <w:color w:val="888888"/>
          <w:sz w:val="18"/>
          <w:szCs w:val="18"/>
        </w:rPr>
        <w:t xml:space="preserve">Internal Credit File — Confidential</w:t>
      </w:r>
    </w:p>
    <w:p>
      <w:pPr>
        <w:spacing w:after="80"/>
      </w:pPr>
      <w:r>
        <w:rPr>
          <w:b/>
          <w:bCs/>
          <w:color w:val="1F3A5F"/>
          <w:sz w:val="36"/>
          <w:szCs w:val="36"/>
        </w:rPr>
        <w:t xml:space="preserve">Deccan Auto Components Pvt. Ltd.</w:t>
      </w:r>
    </w:p>
    <w:p>
      <w:pPr>
        <w:spacing w:after="200"/>
      </w:pPr>
      <w:r>
        <w:rPr>
          <w:i/>
          <w:iCs/>
          <w:color w:val="444444"/>
          <w:sz w:val="24"/>
          <w:szCs w:val="24"/>
        </w:rPr>
        <w:t xml:space="preserve">Working Capital Facility — Cash Credit Account No. CC/2024/0187</w:t>
      </w:r>
    </w:p>
    <w:p>
      <w:pPr>
        <w:spacing w:after="200"/>
      </w:pPr>
      <w:r>
        <w:rPr>
          <w:i/>
          <w:iCs/>
          <w:color w:val="666666"/>
          <w:sz w:val="20"/>
          <w:szCs w:val="20"/>
        </w:rPr>
        <w:t xml:space="preserve">Illustrative / synthetic credit file created for training and demonstration purposes (e.g., testing retrieval-augmented generation systems). All names, figures, and details are fictional and do not correspond to any real borrower, bank, or transaction.</w:t>
      </w:r>
    </w:p>
    <w:p>
      <w:pPr>
        <w:pStyle w:val="Heading1"/>
        <w:spacing w:after="120" w:before="240"/>
      </w:pPr>
      <w:r>
        <w:t xml:space="preserve">1. Facility Overview</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2800"/>
            <w:shd w:fill="1F3A5F" w:color="auto" w:val="clear"/>
            <w:tcMar>
              <w:top w:type="dxa" w:w="70"/>
              <w:left w:type="dxa" w:w="90"/>
              <w:bottom w:type="dxa" w:w="70"/>
              <w:right w:type="dxa" w:w="90"/>
            </w:tcMar>
          </w:tcPr>
          <w:p>
            <w:r>
              <w:rPr>
                <w:b/>
                <w:bCs/>
                <w:color w:val="FFFFFF"/>
                <w:sz w:val="19"/>
                <w:szCs w:val="19"/>
              </w:rPr>
              <w:t xml:space="preserve">Borrower</w:t>
            </w:r>
          </w:p>
        </w:tc>
        <w:tc>
          <w:tcPr>
            <w:tcW w:type="dxa" w:w="7000"/>
            <w:tcMar>
              <w:top w:type="dxa" w:w="70"/>
              <w:left w:type="dxa" w:w="90"/>
              <w:bottom w:type="dxa" w:w="70"/>
              <w:right w:type="dxa" w:w="90"/>
            </w:tcMar>
          </w:tcPr>
          <w:p>
            <w:r>
              <w:rPr>
                <w:b w:val="false"/>
                <w:bCs w:val="false"/>
                <w:color w:val="000000"/>
                <w:sz w:val="19"/>
                <w:szCs w:val="19"/>
              </w:rPr>
              <w:t xml:space="preserve">Deccan Auto Components Pvt. Ltd., Patancheru Industrial Area, Hyderabad</w:t>
            </w:r>
          </w:p>
        </w:tc>
      </w:tr>
      <w:tr>
        <w:tc>
          <w:tcPr>
            <w:tcW w:type="dxa" w:w="2800"/>
            <w:shd w:fill="1F3A5F" w:color="auto" w:val="clear"/>
            <w:tcMar>
              <w:top w:type="dxa" w:w="70"/>
              <w:left w:type="dxa" w:w="90"/>
              <w:bottom w:type="dxa" w:w="70"/>
              <w:right w:type="dxa" w:w="90"/>
            </w:tcMar>
          </w:tcPr>
          <w:p>
            <w:r>
              <w:rPr>
                <w:b/>
                <w:bCs/>
                <w:color w:val="FFFFFF"/>
                <w:sz w:val="19"/>
                <w:szCs w:val="19"/>
              </w:rPr>
              <w:t xml:space="preserve">Facility Type</w:t>
            </w:r>
          </w:p>
        </w:tc>
        <w:tc>
          <w:tcPr>
            <w:tcW w:type="dxa" w:w="7000"/>
            <w:tcMar>
              <w:top w:type="dxa" w:w="70"/>
              <w:left w:type="dxa" w:w="90"/>
              <w:bottom w:type="dxa" w:w="70"/>
              <w:right w:type="dxa" w:w="90"/>
            </w:tcMar>
          </w:tcPr>
          <w:p>
            <w:r>
              <w:rPr>
                <w:b w:val="false"/>
                <w:bCs w:val="false"/>
                <w:color w:val="000000"/>
                <w:sz w:val="19"/>
                <w:szCs w:val="19"/>
              </w:rPr>
              <w:t xml:space="preserve">Cash Credit (CC) against hypothecation of stock and book debts</w:t>
            </w:r>
          </w:p>
        </w:tc>
      </w:tr>
      <w:tr>
        <w:tc>
          <w:tcPr>
            <w:tcW w:type="dxa" w:w="2800"/>
            <w:shd w:fill="1F3A5F" w:color="auto" w:val="clear"/>
            <w:tcMar>
              <w:top w:type="dxa" w:w="70"/>
              <w:left w:type="dxa" w:w="90"/>
              <w:bottom w:type="dxa" w:w="70"/>
              <w:right w:type="dxa" w:w="90"/>
            </w:tcMar>
          </w:tcPr>
          <w:p>
            <w:r>
              <w:rPr>
                <w:b/>
                <w:bCs/>
                <w:color w:val="FFFFFF"/>
                <w:sz w:val="19"/>
                <w:szCs w:val="19"/>
              </w:rPr>
              <w:t xml:space="preserve">Account No.</w:t>
            </w:r>
          </w:p>
        </w:tc>
        <w:tc>
          <w:tcPr>
            <w:tcW w:type="dxa" w:w="7000"/>
            <w:tcMar>
              <w:top w:type="dxa" w:w="70"/>
              <w:left w:type="dxa" w:w="90"/>
              <w:bottom w:type="dxa" w:w="70"/>
              <w:right w:type="dxa" w:w="90"/>
            </w:tcMar>
          </w:tcPr>
          <w:p>
            <w:r>
              <w:rPr>
                <w:b w:val="false"/>
                <w:bCs w:val="false"/>
                <w:color w:val="000000"/>
                <w:sz w:val="19"/>
                <w:szCs w:val="19"/>
              </w:rPr>
              <w:t xml:space="preserve">CC/2024/0187</w:t>
            </w:r>
          </w:p>
        </w:tc>
      </w:tr>
      <w:tr>
        <w:tc>
          <w:tcPr>
            <w:tcW w:type="dxa" w:w="2800"/>
            <w:shd w:fill="1F3A5F" w:color="auto" w:val="clear"/>
            <w:tcMar>
              <w:top w:type="dxa" w:w="70"/>
              <w:left w:type="dxa" w:w="90"/>
              <w:bottom w:type="dxa" w:w="70"/>
              <w:right w:type="dxa" w:w="90"/>
            </w:tcMar>
          </w:tcPr>
          <w:p>
            <w:r>
              <w:rPr>
                <w:b/>
                <w:bCs/>
                <w:color w:val="FFFFFF"/>
                <w:sz w:val="19"/>
                <w:szCs w:val="19"/>
              </w:rPr>
              <w:t xml:space="preserve">Sanctioned Limit</w:t>
            </w:r>
          </w:p>
        </w:tc>
        <w:tc>
          <w:tcPr>
            <w:tcW w:type="dxa" w:w="7000"/>
            <w:tcMar>
              <w:top w:type="dxa" w:w="70"/>
              <w:left w:type="dxa" w:w="90"/>
              <w:bottom w:type="dxa" w:w="70"/>
              <w:right w:type="dxa" w:w="90"/>
            </w:tcMar>
          </w:tcPr>
          <w:p>
            <w:r>
              <w:rPr>
                <w:b w:val="false"/>
                <w:bCs w:val="false"/>
                <w:color w:val="000000"/>
                <w:sz w:val="19"/>
                <w:szCs w:val="19"/>
              </w:rPr>
              <w:t xml:space="preserve">₹6,50,00,000</w:t>
            </w:r>
          </w:p>
        </w:tc>
      </w:tr>
      <w:tr>
        <w:tc>
          <w:tcPr>
            <w:tcW w:type="dxa" w:w="2800"/>
            <w:shd w:fill="1F3A5F" w:color="auto" w:val="clear"/>
            <w:tcMar>
              <w:top w:type="dxa" w:w="70"/>
              <w:left w:type="dxa" w:w="90"/>
              <w:bottom w:type="dxa" w:w="70"/>
              <w:right w:type="dxa" w:w="90"/>
            </w:tcMar>
          </w:tcPr>
          <w:p>
            <w:r>
              <w:rPr>
                <w:b/>
                <w:bCs/>
                <w:color w:val="FFFFFF"/>
                <w:sz w:val="19"/>
                <w:szCs w:val="19"/>
              </w:rPr>
              <w:t xml:space="preserve">Rate of Interest</w:t>
            </w:r>
          </w:p>
        </w:tc>
        <w:tc>
          <w:tcPr>
            <w:tcW w:type="dxa" w:w="7000"/>
            <w:tcMar>
              <w:top w:type="dxa" w:w="70"/>
              <w:left w:type="dxa" w:w="90"/>
              <w:bottom w:type="dxa" w:w="70"/>
              <w:right w:type="dxa" w:w="90"/>
            </w:tcMar>
          </w:tcPr>
          <w:p>
            <w:r>
              <w:rPr>
                <w:b w:val="false"/>
                <w:bCs w:val="false"/>
                <w:color w:val="000000"/>
                <w:sz w:val="19"/>
                <w:szCs w:val="19"/>
              </w:rPr>
              <w:t xml:space="preserve">Repo-Linked Lending Rate (RLLR) + 2.75%, reset quarterly</w:t>
            </w:r>
          </w:p>
        </w:tc>
      </w:tr>
      <w:tr>
        <w:tc>
          <w:tcPr>
            <w:tcW w:type="dxa" w:w="2800"/>
            <w:shd w:fill="1F3A5F" w:color="auto" w:val="clear"/>
            <w:tcMar>
              <w:top w:type="dxa" w:w="70"/>
              <w:left w:type="dxa" w:w="90"/>
              <w:bottom w:type="dxa" w:w="70"/>
              <w:right w:type="dxa" w:w="90"/>
            </w:tcMar>
          </w:tcPr>
          <w:p>
            <w:r>
              <w:rPr>
                <w:b/>
                <w:bCs/>
                <w:color w:val="FFFFFF"/>
                <w:sz w:val="19"/>
                <w:szCs w:val="19"/>
              </w:rPr>
              <w:t xml:space="preserve">Sanction Date</w:t>
            </w:r>
          </w:p>
        </w:tc>
        <w:tc>
          <w:tcPr>
            <w:tcW w:type="dxa" w:w="7000"/>
            <w:tcMar>
              <w:top w:type="dxa" w:w="70"/>
              <w:left w:type="dxa" w:w="90"/>
              <w:bottom w:type="dxa" w:w="70"/>
              <w:right w:type="dxa" w:w="90"/>
            </w:tcMar>
          </w:tcPr>
          <w:p>
            <w:r>
              <w:rPr>
                <w:b w:val="false"/>
                <w:bCs w:val="false"/>
                <w:color w:val="000000"/>
                <w:sz w:val="19"/>
                <w:szCs w:val="19"/>
              </w:rPr>
              <w:t xml:space="preserve">18 April 2024 (renewal of existing limit)</w:t>
            </w:r>
          </w:p>
        </w:tc>
      </w:tr>
      <w:tr>
        <w:tc>
          <w:tcPr>
            <w:tcW w:type="dxa" w:w="2800"/>
            <w:shd w:fill="1F3A5F" w:color="auto" w:val="clear"/>
            <w:tcMar>
              <w:top w:type="dxa" w:w="70"/>
              <w:left w:type="dxa" w:w="90"/>
              <w:bottom w:type="dxa" w:w="70"/>
              <w:right w:type="dxa" w:w="90"/>
            </w:tcMar>
          </w:tcPr>
          <w:p>
            <w:r>
              <w:rPr>
                <w:b/>
                <w:bCs/>
                <w:color w:val="FFFFFF"/>
                <w:sz w:val="19"/>
                <w:szCs w:val="19"/>
              </w:rPr>
              <w:t xml:space="preserve">Review Due Date</w:t>
            </w:r>
          </w:p>
        </w:tc>
        <w:tc>
          <w:tcPr>
            <w:tcW w:type="dxa" w:w="7000"/>
            <w:tcMar>
              <w:top w:type="dxa" w:w="70"/>
              <w:left w:type="dxa" w:w="90"/>
              <w:bottom w:type="dxa" w:w="70"/>
              <w:right w:type="dxa" w:w="90"/>
            </w:tcMar>
          </w:tcPr>
          <w:p>
            <w:r>
              <w:rPr>
                <w:b w:val="false"/>
                <w:bCs w:val="false"/>
                <w:color w:val="000000"/>
                <w:sz w:val="19"/>
                <w:szCs w:val="19"/>
              </w:rPr>
              <w:t xml:space="preserve">17 April 2025 (annual review cycle)</w:t>
            </w:r>
          </w:p>
        </w:tc>
      </w:tr>
      <w:tr>
        <w:tc>
          <w:tcPr>
            <w:tcW w:type="dxa" w:w="2800"/>
            <w:shd w:fill="1F3A5F" w:color="auto" w:val="clear"/>
            <w:tcMar>
              <w:top w:type="dxa" w:w="70"/>
              <w:left w:type="dxa" w:w="90"/>
              <w:bottom w:type="dxa" w:w="70"/>
              <w:right w:type="dxa" w:w="90"/>
            </w:tcMar>
          </w:tcPr>
          <w:p>
            <w:r>
              <w:rPr>
                <w:b/>
                <w:bCs/>
                <w:color w:val="FFFFFF"/>
                <w:sz w:val="19"/>
                <w:szCs w:val="19"/>
              </w:rPr>
              <w:t xml:space="preserve">Primary Security</w:t>
            </w:r>
          </w:p>
        </w:tc>
        <w:tc>
          <w:tcPr>
            <w:tcW w:type="dxa" w:w="7000"/>
            <w:tcMar>
              <w:top w:type="dxa" w:w="70"/>
              <w:left w:type="dxa" w:w="90"/>
              <w:bottom w:type="dxa" w:w="70"/>
              <w:right w:type="dxa" w:w="90"/>
            </w:tcMar>
          </w:tcPr>
          <w:p>
            <w:r>
              <w:rPr>
                <w:b w:val="false"/>
                <w:bCs w:val="false"/>
                <w:color w:val="000000"/>
                <w:sz w:val="19"/>
                <w:szCs w:val="19"/>
              </w:rPr>
              <w:t xml:space="preserve">Hypothecation of raw material, stock-in-process, finished goods, and book debts up to 90 days</w:t>
            </w:r>
          </w:p>
        </w:tc>
      </w:tr>
      <w:tr>
        <w:tc>
          <w:tcPr>
            <w:tcW w:type="dxa" w:w="2800"/>
            <w:shd w:fill="1F3A5F" w:color="auto" w:val="clear"/>
            <w:tcMar>
              <w:top w:type="dxa" w:w="70"/>
              <w:left w:type="dxa" w:w="90"/>
              <w:bottom w:type="dxa" w:w="70"/>
              <w:right w:type="dxa" w:w="90"/>
            </w:tcMar>
          </w:tcPr>
          <w:p>
            <w:r>
              <w:rPr>
                <w:b/>
                <w:bCs/>
                <w:color w:val="FFFFFF"/>
                <w:sz w:val="19"/>
                <w:szCs w:val="19"/>
              </w:rPr>
              <w:t xml:space="preserve">Collateral Security</w:t>
            </w:r>
          </w:p>
        </w:tc>
        <w:tc>
          <w:tcPr>
            <w:tcW w:type="dxa" w:w="7000"/>
            <w:tcMar>
              <w:top w:type="dxa" w:w="70"/>
              <w:left w:type="dxa" w:w="90"/>
              <w:bottom w:type="dxa" w:w="70"/>
              <w:right w:type="dxa" w:w="90"/>
            </w:tcMar>
          </w:tcPr>
          <w:p>
            <w:r>
              <w:rPr>
                <w:b w:val="false"/>
                <w:bCs w:val="false"/>
                <w:color w:val="000000"/>
                <w:sz w:val="19"/>
                <w:szCs w:val="19"/>
              </w:rPr>
              <w:t xml:space="preserve">Equitable mortgage of factory land and building at Patancheru (extent 2.1 acres); personal guarantee of two promoter-directors</w:t>
            </w:r>
          </w:p>
        </w:tc>
      </w:tr>
      <w:tr>
        <w:tc>
          <w:tcPr>
            <w:tcW w:type="dxa" w:w="2800"/>
            <w:shd w:fill="1F3A5F" w:color="auto" w:val="clear"/>
            <w:tcMar>
              <w:top w:type="dxa" w:w="70"/>
              <w:left w:type="dxa" w:w="90"/>
              <w:bottom w:type="dxa" w:w="70"/>
              <w:right w:type="dxa" w:w="90"/>
            </w:tcMar>
          </w:tcPr>
          <w:p>
            <w:r>
              <w:rPr>
                <w:b/>
                <w:bCs/>
                <w:color w:val="FFFFFF"/>
                <w:sz w:val="19"/>
                <w:szCs w:val="19"/>
              </w:rPr>
              <w:t xml:space="preserve">Relationship Manager</w:t>
            </w:r>
          </w:p>
        </w:tc>
        <w:tc>
          <w:tcPr>
            <w:tcW w:type="dxa" w:w="7000"/>
            <w:tcMar>
              <w:top w:type="dxa" w:w="70"/>
              <w:left w:type="dxa" w:w="90"/>
              <w:bottom w:type="dxa" w:w="70"/>
              <w:right w:type="dxa" w:w="90"/>
            </w:tcMar>
          </w:tcPr>
          <w:p>
            <w:r>
              <w:rPr>
                <w:b w:val="false"/>
                <w:bCs w:val="false"/>
                <w:color w:val="000000"/>
                <w:sz w:val="19"/>
                <w:szCs w:val="19"/>
              </w:rPr>
              <w:t xml:space="preserve">Mr. Kiran Vardhan, Senior Manager — Corporate Banking</w:t>
            </w:r>
          </w:p>
        </w:tc>
      </w:tr>
    </w:tbl>
    <w:p>
      <w:pPr>
        <w:pStyle w:val="Heading1"/>
        <w:spacing w:after="120" w:before="240"/>
      </w:pPr>
      <w:r>
        <w:t xml:space="preserve">2. Borrower Profile</w:t>
      </w:r>
    </w:p>
    <w:p>
      <w:pPr>
        <w:spacing w:after="160"/>
      </w:pPr>
      <w:r>
        <w:t xml:space="preserve">Deccan Auto Components Pvt. Ltd. is a manufacturer of precision-machined auto components supplying to two-wheeler and passenger vehicle OEMs in the Hyderabad-Chennai auto corridor. The company was incorporated in 2011 and has banked with Continental Merchant Bank since 2015. The account has been classified as a Standard Asset throughout the relationship, with no history of restructuring or default.</w:t>
      </w:r>
    </w:p>
    <w:p>
      <w:pPr>
        <w:spacing w:after="160"/>
      </w:pPr>
      <w:r>
        <w:t xml:space="preserve">The borrower's revenue is seasonal, with peak working capital requirement typically between October and February coinciding with pre-festive and year-end OEM order cycles.</w:t>
      </w:r>
    </w:p>
    <w:p>
      <w:pPr>
        <w:pStyle w:val="Heading1"/>
        <w:spacing w:after="120" w:before="240"/>
      </w:pPr>
      <w:r>
        <w:t xml:space="preserve">3. Drawing Power Computation (as of latest stock statement)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000"/>
      </w:tblGrid>
      <w:tr>
        <w:tc>
          <w:tcPr>
            <w:tcW w:type="dxa" w:w="2600"/>
            <w:shd w:fill="1F3A5F" w:color="auto" w:val="clear"/>
            <w:tcMar>
              <w:top w:type="dxa" w:w="70"/>
              <w:left w:type="dxa" w:w="90"/>
              <w:bottom w:type="dxa" w:w="70"/>
              <w:right w:type="dxa" w:w="90"/>
            </w:tcMar>
          </w:tcPr>
          <w:p>
            <w:r>
              <w:rPr>
                <w:b/>
                <w:bCs/>
                <w:color w:val="FFFFFF"/>
                <w:sz w:val="19"/>
                <w:szCs w:val="19"/>
              </w:rPr>
              <w:t xml:space="preserve">Component</w:t>
            </w:r>
          </w:p>
        </w:tc>
        <w:tc>
          <w:tcPr>
            <w:tcW w:type="dxa" w:w="3200"/>
            <w:shd w:fill="1F3A5F" w:color="auto" w:val="clear"/>
            <w:tcMar>
              <w:top w:type="dxa" w:w="70"/>
              <w:left w:type="dxa" w:w="90"/>
              <w:bottom w:type="dxa" w:w="70"/>
              <w:right w:type="dxa" w:w="90"/>
            </w:tcMar>
          </w:tcPr>
          <w:p>
            <w:r>
              <w:rPr>
                <w:b/>
                <w:bCs/>
                <w:color w:val="FFFFFF"/>
                <w:sz w:val="19"/>
                <w:szCs w:val="19"/>
              </w:rPr>
              <w:t xml:space="preserve">Value</w:t>
            </w:r>
          </w:p>
        </w:tc>
        <w:tc>
          <w:tcPr>
            <w:tcW w:type="dxa" w:w="4000"/>
            <w:shd w:fill="1F3A5F" w:color="auto" w:val="clear"/>
            <w:tcMar>
              <w:top w:type="dxa" w:w="70"/>
              <w:left w:type="dxa" w:w="90"/>
              <w:bottom w:type="dxa" w:w="70"/>
              <w:right w:type="dxa" w:w="90"/>
            </w:tcMar>
          </w:tcPr>
          <w:p>
            <w:r>
              <w:rPr>
                <w:b/>
                <w:bCs/>
                <w:color w:val="FFFFFF"/>
                <w:sz w:val="19"/>
                <w:szCs w:val="19"/>
              </w:rPr>
              <w:t xml:space="preserve">Margin / Notes</w:t>
            </w:r>
          </w:p>
        </w:tc>
      </w:tr>
      <w:tr>
        <w:tc>
          <w:tcPr>
            <w:tcW w:type="dxa" w:w="2600"/>
            <w:tcMar>
              <w:top w:type="dxa" w:w="70"/>
              <w:left w:type="dxa" w:w="90"/>
              <w:bottom w:type="dxa" w:w="70"/>
              <w:right w:type="dxa" w:w="90"/>
            </w:tcMar>
          </w:tcPr>
          <w:p>
            <w:r>
              <w:rPr>
                <w:b w:val="false"/>
                <w:bCs w:val="false"/>
                <w:color w:val="000000"/>
                <w:sz w:val="19"/>
                <w:szCs w:val="19"/>
              </w:rPr>
              <w:t xml:space="preserve">Raw material stock</w:t>
            </w:r>
          </w:p>
        </w:tc>
        <w:tc>
          <w:tcPr>
            <w:tcW w:type="dxa" w:w="3200"/>
            <w:tcMar>
              <w:top w:type="dxa" w:w="70"/>
              <w:left w:type="dxa" w:w="90"/>
              <w:bottom w:type="dxa" w:w="70"/>
              <w:right w:type="dxa" w:w="90"/>
            </w:tcMar>
          </w:tcPr>
          <w:p>
            <w:r>
              <w:rPr>
                <w:b w:val="false"/>
                <w:bCs w:val="false"/>
                <w:color w:val="000000"/>
                <w:sz w:val="19"/>
                <w:szCs w:val="19"/>
              </w:rPr>
              <w:t xml:space="preserve">₹2,10,00,000</w:t>
            </w:r>
          </w:p>
        </w:tc>
        <w:tc>
          <w:tcPr>
            <w:tcW w:type="dxa" w:w="4000"/>
            <w:tcMar>
              <w:top w:type="dxa" w:w="70"/>
              <w:left w:type="dxa" w:w="90"/>
              <w:bottom w:type="dxa" w:w="70"/>
              <w:right w:type="dxa" w:w="90"/>
            </w:tcMar>
          </w:tcPr>
          <w:p>
            <w:r>
              <w:rPr>
                <w:b w:val="false"/>
                <w:bCs w:val="false"/>
                <w:color w:val="000000"/>
                <w:sz w:val="19"/>
                <w:szCs w:val="19"/>
              </w:rPr>
              <w:t xml:space="preserve">25% margin applied</w:t>
            </w:r>
          </w:p>
        </w:tc>
      </w:tr>
      <w:tr>
        <w:tc>
          <w:tcPr>
            <w:tcW w:type="dxa" w:w="2600"/>
            <w:tcMar>
              <w:top w:type="dxa" w:w="70"/>
              <w:left w:type="dxa" w:w="90"/>
              <w:bottom w:type="dxa" w:w="70"/>
              <w:right w:type="dxa" w:w="90"/>
            </w:tcMar>
          </w:tcPr>
          <w:p>
            <w:r>
              <w:rPr>
                <w:b w:val="false"/>
                <w:bCs w:val="false"/>
                <w:color w:val="000000"/>
                <w:sz w:val="19"/>
                <w:szCs w:val="19"/>
              </w:rPr>
              <w:t xml:space="preserve">Stock-in-process</w:t>
            </w:r>
          </w:p>
        </w:tc>
        <w:tc>
          <w:tcPr>
            <w:tcW w:type="dxa" w:w="3200"/>
            <w:tcMar>
              <w:top w:type="dxa" w:w="70"/>
              <w:left w:type="dxa" w:w="90"/>
              <w:bottom w:type="dxa" w:w="70"/>
              <w:right w:type="dxa" w:w="90"/>
            </w:tcMar>
          </w:tcPr>
          <w:p>
            <w:r>
              <w:rPr>
                <w:b w:val="false"/>
                <w:bCs w:val="false"/>
                <w:color w:val="000000"/>
                <w:sz w:val="19"/>
                <w:szCs w:val="19"/>
              </w:rPr>
              <w:t xml:space="preserve">₹85,00,000</w:t>
            </w:r>
          </w:p>
        </w:tc>
        <w:tc>
          <w:tcPr>
            <w:tcW w:type="dxa" w:w="4000"/>
            <w:tcMar>
              <w:top w:type="dxa" w:w="70"/>
              <w:left w:type="dxa" w:w="90"/>
              <w:bottom w:type="dxa" w:w="70"/>
              <w:right w:type="dxa" w:w="90"/>
            </w:tcMar>
          </w:tcPr>
          <w:p>
            <w:r>
              <w:rPr>
                <w:b w:val="false"/>
                <w:bCs w:val="false"/>
                <w:color w:val="000000"/>
                <w:sz w:val="19"/>
                <w:szCs w:val="19"/>
              </w:rPr>
              <w:t xml:space="preserve">25% margin applied</w:t>
            </w:r>
          </w:p>
        </w:tc>
      </w:tr>
      <w:tr>
        <w:tc>
          <w:tcPr>
            <w:tcW w:type="dxa" w:w="2600"/>
            <w:tcMar>
              <w:top w:type="dxa" w:w="70"/>
              <w:left w:type="dxa" w:w="90"/>
              <w:bottom w:type="dxa" w:w="70"/>
              <w:right w:type="dxa" w:w="90"/>
            </w:tcMar>
          </w:tcPr>
          <w:p>
            <w:r>
              <w:rPr>
                <w:b w:val="false"/>
                <w:bCs w:val="false"/>
                <w:color w:val="000000"/>
                <w:sz w:val="19"/>
                <w:szCs w:val="19"/>
              </w:rPr>
              <w:t xml:space="preserve">Finished goods</w:t>
            </w:r>
          </w:p>
        </w:tc>
        <w:tc>
          <w:tcPr>
            <w:tcW w:type="dxa" w:w="3200"/>
            <w:tcMar>
              <w:top w:type="dxa" w:w="70"/>
              <w:left w:type="dxa" w:w="90"/>
              <w:bottom w:type="dxa" w:w="70"/>
              <w:right w:type="dxa" w:w="90"/>
            </w:tcMar>
          </w:tcPr>
          <w:p>
            <w:r>
              <w:rPr>
                <w:b w:val="false"/>
                <w:bCs w:val="false"/>
                <w:color w:val="000000"/>
                <w:sz w:val="19"/>
                <w:szCs w:val="19"/>
              </w:rPr>
              <w:t xml:space="preserve">₹1,40,00,000</w:t>
            </w:r>
          </w:p>
        </w:tc>
        <w:tc>
          <w:tcPr>
            <w:tcW w:type="dxa" w:w="4000"/>
            <w:tcMar>
              <w:top w:type="dxa" w:w="70"/>
              <w:left w:type="dxa" w:w="90"/>
              <w:bottom w:type="dxa" w:w="70"/>
              <w:right w:type="dxa" w:w="90"/>
            </w:tcMar>
          </w:tcPr>
          <w:p>
            <w:r>
              <w:rPr>
                <w:b w:val="false"/>
                <w:bCs w:val="false"/>
                <w:color w:val="000000"/>
                <w:sz w:val="19"/>
                <w:szCs w:val="19"/>
              </w:rPr>
              <w:t xml:space="preserve">25% margin applied</w:t>
            </w:r>
          </w:p>
        </w:tc>
      </w:tr>
      <w:tr>
        <w:tc>
          <w:tcPr>
            <w:tcW w:type="dxa" w:w="2600"/>
            <w:tcMar>
              <w:top w:type="dxa" w:w="70"/>
              <w:left w:type="dxa" w:w="90"/>
              <w:bottom w:type="dxa" w:w="70"/>
              <w:right w:type="dxa" w:w="90"/>
            </w:tcMar>
          </w:tcPr>
          <w:p>
            <w:r>
              <w:rPr>
                <w:b w:val="false"/>
                <w:bCs w:val="false"/>
                <w:color w:val="000000"/>
                <w:sz w:val="19"/>
                <w:szCs w:val="19"/>
              </w:rPr>
              <w:t xml:space="preserve">Book debts (up to 90 days)</w:t>
            </w:r>
          </w:p>
        </w:tc>
        <w:tc>
          <w:tcPr>
            <w:tcW w:type="dxa" w:w="3200"/>
            <w:tcMar>
              <w:top w:type="dxa" w:w="70"/>
              <w:left w:type="dxa" w:w="90"/>
              <w:bottom w:type="dxa" w:w="70"/>
              <w:right w:type="dxa" w:w="90"/>
            </w:tcMar>
          </w:tcPr>
          <w:p>
            <w:r>
              <w:rPr>
                <w:b w:val="false"/>
                <w:bCs w:val="false"/>
                <w:color w:val="000000"/>
                <w:sz w:val="19"/>
                <w:szCs w:val="19"/>
              </w:rPr>
              <w:t xml:space="preserve">₹3,20,00,000</w:t>
            </w:r>
          </w:p>
        </w:tc>
        <w:tc>
          <w:tcPr>
            <w:tcW w:type="dxa" w:w="4000"/>
            <w:tcMar>
              <w:top w:type="dxa" w:w="70"/>
              <w:left w:type="dxa" w:w="90"/>
              <w:bottom w:type="dxa" w:w="70"/>
              <w:right w:type="dxa" w:w="90"/>
            </w:tcMar>
          </w:tcPr>
          <w:p>
            <w:r>
              <w:rPr>
                <w:b w:val="false"/>
                <w:bCs w:val="false"/>
                <w:color w:val="000000"/>
                <w:sz w:val="19"/>
                <w:szCs w:val="19"/>
              </w:rPr>
              <w:t xml:space="preserve">40% margin applied</w:t>
            </w:r>
          </w:p>
        </w:tc>
      </w:tr>
      <w:tr>
        <w:tc>
          <w:tcPr>
            <w:tcW w:type="dxa" w:w="2600"/>
            <w:tcMar>
              <w:top w:type="dxa" w:w="70"/>
              <w:left w:type="dxa" w:w="90"/>
              <w:bottom w:type="dxa" w:w="70"/>
              <w:right w:type="dxa" w:w="90"/>
            </w:tcMar>
          </w:tcPr>
          <w:p>
            <w:r>
              <w:rPr>
                <w:b w:val="false"/>
                <w:bCs w:val="false"/>
                <w:color w:val="000000"/>
                <w:sz w:val="19"/>
                <w:szCs w:val="19"/>
              </w:rPr>
              <w:t xml:space="preserve">Gross Drawing Power</w:t>
            </w:r>
          </w:p>
        </w:tc>
        <w:tc>
          <w:tcPr>
            <w:tcW w:type="dxa" w:w="3200"/>
            <w:tcMar>
              <w:top w:type="dxa" w:w="70"/>
              <w:left w:type="dxa" w:w="90"/>
              <w:bottom w:type="dxa" w:w="70"/>
              <w:right w:type="dxa" w:w="90"/>
            </w:tcMar>
          </w:tcPr>
          <w:p>
            <w:r>
              <w:rPr>
                <w:b w:val="false"/>
                <w:bCs w:val="false"/>
                <w:color w:val="000000"/>
                <w:sz w:val="19"/>
                <w:szCs w:val="19"/>
              </w:rPr>
              <w:t xml:space="preserve">₹5,04,75,000</w:t>
            </w:r>
          </w:p>
        </w:tc>
        <w:tc>
          <w:tcPr>
            <w:tcW w:type="dxa" w:w="4000"/>
            <w:tcMar>
              <w:top w:type="dxa" w:w="70"/>
              <w:left w:type="dxa" w:w="90"/>
              <w:bottom w:type="dxa" w:w="70"/>
              <w:right w:type="dxa" w:w="90"/>
            </w:tcMar>
          </w:tcPr>
          <w:p>
            <w:r>
              <w:rPr>
                <w:b w:val="false"/>
                <w:bCs w:val="false"/>
                <w:color w:val="000000"/>
                <w:sz w:val="19"/>
                <w:szCs w:val="19"/>
              </w:rPr>
              <w:t xml:space="preserve">As per stock statement dated 31 Jul 2025</w:t>
            </w:r>
          </w:p>
        </w:tc>
      </w:tr>
      <w:tr>
        <w:tc>
          <w:tcPr>
            <w:tcW w:type="dxa" w:w="2600"/>
            <w:tcMar>
              <w:top w:type="dxa" w:w="70"/>
              <w:left w:type="dxa" w:w="90"/>
              <w:bottom w:type="dxa" w:w="70"/>
              <w:right w:type="dxa" w:w="90"/>
            </w:tcMar>
          </w:tcPr>
          <w:p>
            <w:r>
              <w:rPr>
                <w:b w:val="false"/>
                <w:bCs w:val="false"/>
                <w:color w:val="000000"/>
                <w:sz w:val="19"/>
                <w:szCs w:val="19"/>
              </w:rPr>
              <w:t xml:space="preserve">Outstanding as of 31 Jul 2025</w:t>
            </w:r>
          </w:p>
        </w:tc>
        <w:tc>
          <w:tcPr>
            <w:tcW w:type="dxa" w:w="3200"/>
            <w:tcMar>
              <w:top w:type="dxa" w:w="70"/>
              <w:left w:type="dxa" w:w="90"/>
              <w:bottom w:type="dxa" w:w="70"/>
              <w:right w:type="dxa" w:w="90"/>
            </w:tcMar>
          </w:tcPr>
          <w:p>
            <w:r>
              <w:rPr>
                <w:b w:val="false"/>
                <w:bCs w:val="false"/>
                <w:color w:val="000000"/>
                <w:sz w:val="19"/>
                <w:szCs w:val="19"/>
              </w:rPr>
              <w:t xml:space="preserve">₹4,72,30,000</w:t>
            </w:r>
          </w:p>
        </w:tc>
        <w:tc>
          <w:tcPr>
            <w:tcW w:type="dxa" w:w="4000"/>
            <w:tcMar>
              <w:top w:type="dxa" w:w="70"/>
              <w:left w:type="dxa" w:w="90"/>
              <w:bottom w:type="dxa" w:w="70"/>
              <w:right w:type="dxa" w:w="90"/>
            </w:tcMar>
          </w:tcPr>
          <w:p>
            <w:r>
              <w:rPr>
                <w:b w:val="false"/>
                <w:bCs w:val="false"/>
                <w:color w:val="000000"/>
                <w:sz w:val="19"/>
                <w:szCs w:val="19"/>
              </w:rPr>
              <w:t xml:space="preserve">Within drawing power; no irregularity</w:t>
            </w:r>
          </w:p>
        </w:tc>
      </w:tr>
    </w:tbl>
    <w:p>
      <w:pPr>
        <w:pStyle w:val="Heading1"/>
        <w:spacing w:after="120" w:before="240"/>
      </w:pPr>
      <w:r>
        <w:t xml:space="preserve">4. Chronology of Account Activity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5800"/>
      </w:tblGrid>
      <w:tr>
        <w:tc>
          <w:tcPr>
            <w:tcW w:type="dxa" w:w="1500"/>
            <w:shd w:fill="1F3A5F" w:color="auto" w:val="clear"/>
            <w:tcMar>
              <w:top w:type="dxa" w:w="70"/>
              <w:left w:type="dxa" w:w="90"/>
              <w:bottom w:type="dxa" w:w="70"/>
              <w:right w:type="dxa" w:w="90"/>
            </w:tcMar>
          </w:tcPr>
          <w:p>
            <w:r>
              <w:rPr>
                <w:b/>
                <w:bCs/>
                <w:color w:val="FFFFFF"/>
                <w:sz w:val="19"/>
                <w:szCs w:val="19"/>
              </w:rPr>
              <w:t xml:space="preserve">Date</w:t>
            </w:r>
          </w:p>
        </w:tc>
        <w:tc>
          <w:tcPr>
            <w:tcW w:type="dxa" w:w="2600"/>
            <w:shd w:fill="1F3A5F" w:color="auto" w:val="clear"/>
            <w:tcMar>
              <w:top w:type="dxa" w:w="70"/>
              <w:left w:type="dxa" w:w="90"/>
              <w:bottom w:type="dxa" w:w="70"/>
              <w:right w:type="dxa" w:w="90"/>
            </w:tcMar>
          </w:tcPr>
          <w:p>
            <w:r>
              <w:rPr>
                <w:b/>
                <w:bCs/>
                <w:color w:val="FFFFFF"/>
                <w:sz w:val="19"/>
                <w:szCs w:val="19"/>
              </w:rPr>
              <w:t xml:space="preserve">Event</w:t>
            </w:r>
          </w:p>
        </w:tc>
        <w:tc>
          <w:tcPr>
            <w:tcW w:type="dxa" w:w="5800"/>
            <w:shd w:fill="1F3A5F" w:color="auto" w:val="clear"/>
            <w:tcMar>
              <w:top w:type="dxa" w:w="70"/>
              <w:left w:type="dxa" w:w="90"/>
              <w:bottom w:type="dxa" w:w="70"/>
              <w:right w:type="dxa" w:w="90"/>
            </w:tcMar>
          </w:tcPr>
          <w:p>
            <w:r>
              <w:rPr>
                <w:b/>
                <w:bCs/>
                <w:color w:val="FFFFFF"/>
                <w:sz w:val="19"/>
                <w:szCs w:val="19"/>
              </w:rPr>
              <w:t xml:space="preserve">Notes</w:t>
            </w:r>
          </w:p>
        </w:tc>
      </w:tr>
      <w:tr>
        <w:tc>
          <w:tcPr>
            <w:tcW w:type="dxa" w:w="1500"/>
            <w:tcMar>
              <w:top w:type="dxa" w:w="70"/>
              <w:left w:type="dxa" w:w="90"/>
              <w:bottom w:type="dxa" w:w="70"/>
              <w:right w:type="dxa" w:w="90"/>
            </w:tcMar>
          </w:tcPr>
          <w:p>
            <w:r>
              <w:rPr>
                <w:b w:val="false"/>
                <w:bCs w:val="false"/>
                <w:color w:val="000000"/>
                <w:sz w:val="19"/>
                <w:szCs w:val="19"/>
              </w:rPr>
              <w:t xml:space="preserve">18 Apr 2024</w:t>
            </w:r>
          </w:p>
        </w:tc>
        <w:tc>
          <w:tcPr>
            <w:tcW w:type="dxa" w:w="2600"/>
            <w:tcMar>
              <w:top w:type="dxa" w:w="70"/>
              <w:left w:type="dxa" w:w="90"/>
              <w:bottom w:type="dxa" w:w="70"/>
              <w:right w:type="dxa" w:w="90"/>
            </w:tcMar>
          </w:tcPr>
          <w:p>
            <w:r>
              <w:rPr>
                <w:b w:val="false"/>
                <w:bCs w:val="false"/>
                <w:color w:val="000000"/>
                <w:sz w:val="19"/>
                <w:szCs w:val="19"/>
              </w:rPr>
              <w:t xml:space="preserve">Annual renewal sanctioned</w:t>
            </w:r>
          </w:p>
        </w:tc>
        <w:tc>
          <w:tcPr>
            <w:tcW w:type="dxa" w:w="5800"/>
            <w:tcMar>
              <w:top w:type="dxa" w:w="70"/>
              <w:left w:type="dxa" w:w="90"/>
              <w:bottom w:type="dxa" w:w="70"/>
              <w:right w:type="dxa" w:w="90"/>
            </w:tcMar>
          </w:tcPr>
          <w:p>
            <w:r>
              <w:rPr>
                <w:b w:val="false"/>
                <w:bCs w:val="false"/>
                <w:color w:val="000000"/>
                <w:sz w:val="19"/>
                <w:szCs w:val="19"/>
              </w:rPr>
              <w:t xml:space="preserve">Limit enhanced from ₹5,50,00,000 to ₹6,50,00,000 based on turnover growth</w:t>
            </w:r>
          </w:p>
        </w:tc>
      </w:tr>
      <w:tr>
        <w:tc>
          <w:tcPr>
            <w:tcW w:type="dxa" w:w="1500"/>
            <w:tcMar>
              <w:top w:type="dxa" w:w="70"/>
              <w:left w:type="dxa" w:w="90"/>
              <w:bottom w:type="dxa" w:w="70"/>
              <w:right w:type="dxa" w:w="90"/>
            </w:tcMar>
          </w:tcPr>
          <w:p>
            <w:r>
              <w:rPr>
                <w:b w:val="false"/>
                <w:bCs w:val="false"/>
                <w:color w:val="000000"/>
                <w:sz w:val="19"/>
                <w:szCs w:val="19"/>
              </w:rPr>
              <w:t xml:space="preserve">15 Jul 2024</w:t>
            </w:r>
          </w:p>
        </w:tc>
        <w:tc>
          <w:tcPr>
            <w:tcW w:type="dxa" w:w="2600"/>
            <w:tcMar>
              <w:top w:type="dxa" w:w="70"/>
              <w:left w:type="dxa" w:w="90"/>
              <w:bottom w:type="dxa" w:w="70"/>
              <w:right w:type="dxa" w:w="90"/>
            </w:tcMar>
          </w:tcPr>
          <w:p>
            <w:r>
              <w:rPr>
                <w:b w:val="false"/>
                <w:bCs w:val="false"/>
                <w:color w:val="000000"/>
                <w:sz w:val="19"/>
                <w:szCs w:val="19"/>
              </w:rPr>
              <w:t xml:space="preserve">First quarterly stock audit (FY25)</w:t>
            </w:r>
          </w:p>
        </w:tc>
        <w:tc>
          <w:tcPr>
            <w:tcW w:type="dxa" w:w="5800"/>
            <w:tcMar>
              <w:top w:type="dxa" w:w="70"/>
              <w:left w:type="dxa" w:w="90"/>
              <w:bottom w:type="dxa" w:w="70"/>
              <w:right w:type="dxa" w:w="90"/>
            </w:tcMar>
          </w:tcPr>
          <w:p>
            <w:r>
              <w:rPr>
                <w:b w:val="false"/>
                <w:bCs w:val="false"/>
                <w:color w:val="000000"/>
                <w:sz w:val="19"/>
                <w:szCs w:val="19"/>
              </w:rPr>
              <w:t xml:space="preserve">No adverse observations; drawing power computation found accurate</w:t>
            </w:r>
          </w:p>
        </w:tc>
      </w:tr>
      <w:tr>
        <w:tc>
          <w:tcPr>
            <w:tcW w:type="dxa" w:w="1500"/>
            <w:tcMar>
              <w:top w:type="dxa" w:w="70"/>
              <w:left w:type="dxa" w:w="90"/>
              <w:bottom w:type="dxa" w:w="70"/>
              <w:right w:type="dxa" w:w="90"/>
            </w:tcMar>
          </w:tcPr>
          <w:p>
            <w:r>
              <w:rPr>
                <w:b w:val="false"/>
                <w:bCs w:val="false"/>
                <w:color w:val="000000"/>
                <w:sz w:val="19"/>
                <w:szCs w:val="19"/>
              </w:rPr>
              <w:t xml:space="preserve">10 Oct 2024</w:t>
            </w:r>
          </w:p>
        </w:tc>
        <w:tc>
          <w:tcPr>
            <w:tcW w:type="dxa" w:w="2600"/>
            <w:tcMar>
              <w:top w:type="dxa" w:w="70"/>
              <w:left w:type="dxa" w:w="90"/>
              <w:bottom w:type="dxa" w:w="70"/>
              <w:right w:type="dxa" w:w="90"/>
            </w:tcMar>
          </w:tcPr>
          <w:p>
            <w:r>
              <w:rPr>
                <w:b w:val="false"/>
                <w:bCs w:val="false"/>
                <w:color w:val="000000"/>
                <w:sz w:val="19"/>
                <w:szCs w:val="19"/>
              </w:rPr>
              <w:t xml:space="preserve">Peak-season temporary limit request</w:t>
            </w:r>
          </w:p>
        </w:tc>
        <w:tc>
          <w:tcPr>
            <w:tcW w:type="dxa" w:w="5800"/>
            <w:tcMar>
              <w:top w:type="dxa" w:w="70"/>
              <w:left w:type="dxa" w:w="90"/>
              <w:bottom w:type="dxa" w:w="70"/>
              <w:right w:type="dxa" w:w="90"/>
            </w:tcMar>
          </w:tcPr>
          <w:p>
            <w:r>
              <w:rPr>
                <w:b w:val="false"/>
                <w:bCs w:val="false"/>
                <w:color w:val="000000"/>
                <w:sz w:val="19"/>
                <w:szCs w:val="19"/>
              </w:rPr>
              <w:t xml:space="preserve">Ad-hoc limit of ₹75,00,000 sanctioned for 90 days to cover festive-season order buildup</w:t>
            </w:r>
          </w:p>
        </w:tc>
      </w:tr>
      <w:tr>
        <w:tc>
          <w:tcPr>
            <w:tcW w:type="dxa" w:w="1500"/>
            <w:tcMar>
              <w:top w:type="dxa" w:w="70"/>
              <w:left w:type="dxa" w:w="90"/>
              <w:bottom w:type="dxa" w:w="70"/>
              <w:right w:type="dxa" w:w="90"/>
            </w:tcMar>
          </w:tcPr>
          <w:p>
            <w:r>
              <w:rPr>
                <w:b w:val="false"/>
                <w:bCs w:val="false"/>
                <w:color w:val="000000"/>
                <w:sz w:val="19"/>
                <w:szCs w:val="19"/>
              </w:rPr>
              <w:t xml:space="preserve">8 Jan 2025</w:t>
            </w:r>
          </w:p>
        </w:tc>
        <w:tc>
          <w:tcPr>
            <w:tcW w:type="dxa" w:w="2600"/>
            <w:tcMar>
              <w:top w:type="dxa" w:w="70"/>
              <w:left w:type="dxa" w:w="90"/>
              <w:bottom w:type="dxa" w:w="70"/>
              <w:right w:type="dxa" w:w="90"/>
            </w:tcMar>
          </w:tcPr>
          <w:p>
            <w:r>
              <w:rPr>
                <w:b w:val="false"/>
                <w:bCs w:val="false"/>
                <w:color w:val="000000"/>
                <w:sz w:val="19"/>
                <w:szCs w:val="19"/>
              </w:rPr>
              <w:t xml:space="preserve">Ad-hoc limit expired and adjusted</w:t>
            </w:r>
          </w:p>
        </w:tc>
        <w:tc>
          <w:tcPr>
            <w:tcW w:type="dxa" w:w="5800"/>
            <w:tcMar>
              <w:top w:type="dxa" w:w="70"/>
              <w:left w:type="dxa" w:w="90"/>
              <w:bottom w:type="dxa" w:w="70"/>
              <w:right w:type="dxa" w:w="90"/>
            </w:tcMar>
          </w:tcPr>
          <w:p>
            <w:r>
              <w:rPr>
                <w:b w:val="false"/>
                <w:bCs w:val="false"/>
                <w:color w:val="000000"/>
                <w:sz w:val="19"/>
                <w:szCs w:val="19"/>
              </w:rPr>
              <w:t xml:space="preserve">Temporary limit closed on schedule; no carry-forward irregularity</w:t>
            </w:r>
          </w:p>
        </w:tc>
      </w:tr>
      <w:tr>
        <w:tc>
          <w:tcPr>
            <w:tcW w:type="dxa" w:w="1500"/>
            <w:tcMar>
              <w:top w:type="dxa" w:w="70"/>
              <w:left w:type="dxa" w:w="90"/>
              <w:bottom w:type="dxa" w:w="70"/>
              <w:right w:type="dxa" w:w="90"/>
            </w:tcMar>
          </w:tcPr>
          <w:p>
            <w:r>
              <w:rPr>
                <w:b w:val="false"/>
                <w:bCs w:val="false"/>
                <w:color w:val="000000"/>
                <w:sz w:val="19"/>
                <w:szCs w:val="19"/>
              </w:rPr>
              <w:t xml:space="preserve">20 Jan 2025</w:t>
            </w:r>
          </w:p>
        </w:tc>
        <w:tc>
          <w:tcPr>
            <w:tcW w:type="dxa" w:w="2600"/>
            <w:tcMar>
              <w:top w:type="dxa" w:w="70"/>
              <w:left w:type="dxa" w:w="90"/>
              <w:bottom w:type="dxa" w:w="70"/>
              <w:right w:type="dxa" w:w="90"/>
            </w:tcMar>
          </w:tcPr>
          <w:p>
            <w:r>
              <w:rPr>
                <w:b w:val="false"/>
                <w:bCs w:val="false"/>
                <w:color w:val="000000"/>
                <w:sz w:val="19"/>
                <w:szCs w:val="19"/>
              </w:rPr>
              <w:t xml:space="preserve">Second quarterly stock audit (FY25)</w:t>
            </w:r>
          </w:p>
        </w:tc>
        <w:tc>
          <w:tcPr>
            <w:tcW w:type="dxa" w:w="5800"/>
            <w:tcMar>
              <w:top w:type="dxa" w:w="70"/>
              <w:left w:type="dxa" w:w="90"/>
              <w:bottom w:type="dxa" w:w="70"/>
              <w:right w:type="dxa" w:w="90"/>
            </w:tcMar>
          </w:tcPr>
          <w:p>
            <w:r>
              <w:rPr>
                <w:b w:val="false"/>
                <w:bCs w:val="false"/>
                <w:color w:val="000000"/>
                <w:sz w:val="19"/>
                <w:szCs w:val="19"/>
              </w:rPr>
              <w:t xml:space="preserve">Minor observation on ageing of book debts beyond 90 days for one OEM customer; flagged for monitoring</w:t>
            </w:r>
          </w:p>
        </w:tc>
      </w:tr>
      <w:tr>
        <w:tc>
          <w:tcPr>
            <w:tcW w:type="dxa" w:w="1500"/>
            <w:tcMar>
              <w:top w:type="dxa" w:w="70"/>
              <w:left w:type="dxa" w:w="90"/>
              <w:bottom w:type="dxa" w:w="70"/>
              <w:right w:type="dxa" w:w="90"/>
            </w:tcMar>
          </w:tcPr>
          <w:p>
            <w:r>
              <w:rPr>
                <w:b w:val="false"/>
                <w:bCs w:val="false"/>
                <w:color w:val="000000"/>
                <w:sz w:val="19"/>
                <w:szCs w:val="19"/>
              </w:rPr>
              <w:t xml:space="preserve">22 Apr 2025</w:t>
            </w:r>
          </w:p>
        </w:tc>
        <w:tc>
          <w:tcPr>
            <w:tcW w:type="dxa" w:w="2600"/>
            <w:tcMar>
              <w:top w:type="dxa" w:w="70"/>
              <w:left w:type="dxa" w:w="90"/>
              <w:bottom w:type="dxa" w:w="70"/>
              <w:right w:type="dxa" w:w="90"/>
            </w:tcMar>
          </w:tcPr>
          <w:p>
            <w:r>
              <w:rPr>
                <w:b w:val="false"/>
                <w:bCs w:val="false"/>
                <w:color w:val="000000"/>
                <w:sz w:val="19"/>
                <w:szCs w:val="19"/>
              </w:rPr>
              <w:t xml:space="preserve">Third quarterly stock audit (FY25)</w:t>
            </w:r>
          </w:p>
        </w:tc>
        <w:tc>
          <w:tcPr>
            <w:tcW w:type="dxa" w:w="5800"/>
            <w:tcMar>
              <w:top w:type="dxa" w:w="70"/>
              <w:left w:type="dxa" w:w="90"/>
              <w:bottom w:type="dxa" w:w="70"/>
              <w:right w:type="dxa" w:w="90"/>
            </w:tcMar>
          </w:tcPr>
          <w:p>
            <w:r>
              <w:rPr>
                <w:b w:val="false"/>
                <w:bCs w:val="false"/>
                <w:color w:val="000000"/>
                <w:sz w:val="19"/>
                <w:szCs w:val="19"/>
              </w:rPr>
              <w:t xml:space="preserve">Ageing concern from January resolved; customer payment regularized</w:t>
            </w:r>
          </w:p>
        </w:tc>
      </w:tr>
      <w:tr>
        <w:tc>
          <w:tcPr>
            <w:tcW w:type="dxa" w:w="1500"/>
            <w:tcMar>
              <w:top w:type="dxa" w:w="70"/>
              <w:left w:type="dxa" w:w="90"/>
              <w:bottom w:type="dxa" w:w="70"/>
              <w:right w:type="dxa" w:w="90"/>
            </w:tcMar>
          </w:tcPr>
          <w:p>
            <w:r>
              <w:rPr>
                <w:b w:val="false"/>
                <w:bCs w:val="false"/>
                <w:color w:val="000000"/>
                <w:sz w:val="19"/>
                <w:szCs w:val="19"/>
              </w:rPr>
              <w:t xml:space="preserve">31 Jul 2025</w:t>
            </w:r>
          </w:p>
        </w:tc>
        <w:tc>
          <w:tcPr>
            <w:tcW w:type="dxa" w:w="2600"/>
            <w:tcMar>
              <w:top w:type="dxa" w:w="70"/>
              <w:left w:type="dxa" w:w="90"/>
              <w:bottom w:type="dxa" w:w="70"/>
              <w:right w:type="dxa" w:w="90"/>
            </w:tcMar>
          </w:tcPr>
          <w:p>
            <w:r>
              <w:rPr>
                <w:b w:val="false"/>
                <w:bCs w:val="false"/>
                <w:color w:val="000000"/>
                <w:sz w:val="19"/>
                <w:szCs w:val="19"/>
              </w:rPr>
              <w:t xml:space="preserve">Fourth quarterly stock audit (FY25)</w:t>
            </w:r>
          </w:p>
        </w:tc>
        <w:tc>
          <w:tcPr>
            <w:tcW w:type="dxa" w:w="5800"/>
            <w:tcMar>
              <w:top w:type="dxa" w:w="70"/>
              <w:left w:type="dxa" w:w="90"/>
              <w:bottom w:type="dxa" w:w="70"/>
              <w:right w:type="dxa" w:w="90"/>
            </w:tcMar>
          </w:tcPr>
          <w:p>
            <w:r>
              <w:rPr>
                <w:b w:val="false"/>
                <w:bCs w:val="false"/>
                <w:color w:val="000000"/>
                <w:sz w:val="19"/>
                <w:szCs w:val="19"/>
              </w:rPr>
              <w:t xml:space="preserve">Account operating within drawing power; no irregularities observed</w:t>
            </w:r>
          </w:p>
        </w:tc>
      </w:tr>
    </w:tbl>
    <w:p>
      <w:pPr>
        <w:pStyle w:val="Heading1"/>
        <w:spacing w:after="120" w:before="240"/>
      </w:pPr>
      <w:r>
        <w:t xml:space="preserve">5. Documents on Record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800"/>
      </w:tblGrid>
      <w:tr>
        <w:tc>
          <w:tcPr>
            <w:tcW w:type="dxa" w:w="1400"/>
            <w:shd w:fill="1F3A5F" w:color="auto" w:val="clear"/>
            <w:tcMar>
              <w:top w:type="dxa" w:w="70"/>
              <w:left w:type="dxa" w:w="90"/>
              <w:bottom w:type="dxa" w:w="70"/>
              <w:right w:type="dxa" w:w="90"/>
            </w:tcMar>
          </w:tcPr>
          <w:p>
            <w:r>
              <w:rPr>
                <w:b/>
                <w:bCs/>
                <w:color w:val="FFFFFF"/>
                <w:sz w:val="19"/>
                <w:szCs w:val="19"/>
              </w:rPr>
              <w:t xml:space="preserve">Document</w:t>
            </w:r>
          </w:p>
        </w:tc>
        <w:tc>
          <w:tcPr>
            <w:tcW w:type="dxa" w:w="3600"/>
            <w:shd w:fill="1F3A5F" w:color="auto" w:val="clear"/>
            <w:tcMar>
              <w:top w:type="dxa" w:w="70"/>
              <w:left w:type="dxa" w:w="90"/>
              <w:bottom w:type="dxa" w:w="70"/>
              <w:right w:type="dxa" w:w="90"/>
            </w:tcMar>
          </w:tcPr>
          <w:p>
            <w:r>
              <w:rPr>
                <w:b/>
                <w:bCs/>
                <w:color w:val="FFFFFF"/>
                <w:sz w:val="19"/>
                <w:szCs w:val="19"/>
              </w:rPr>
              <w:t xml:space="preserve">Description</w:t>
            </w:r>
          </w:p>
        </w:tc>
        <w:tc>
          <w:tcPr>
            <w:tcW w:type="dxa" w:w="4800"/>
            <w:shd w:fill="1F3A5F" w:color="auto" w:val="clear"/>
            <w:tcMar>
              <w:top w:type="dxa" w:w="70"/>
              <w:left w:type="dxa" w:w="90"/>
              <w:bottom w:type="dxa" w:w="70"/>
              <w:right w:type="dxa" w:w="90"/>
            </w:tcMar>
          </w:tcPr>
          <w:p>
            <w:r>
              <w:rPr>
                <w:b/>
                <w:bCs/>
                <w:color w:val="FFFFFF"/>
                <w:sz w:val="19"/>
                <w:szCs w:val="19"/>
              </w:rPr>
              <w:t xml:space="preserve">Status</w:t>
            </w:r>
          </w:p>
        </w:tc>
      </w:tr>
      <w:tr>
        <w:tc>
          <w:tcPr>
            <w:tcW w:type="dxa" w:w="1400"/>
            <w:tcMar>
              <w:top w:type="dxa" w:w="70"/>
              <w:left w:type="dxa" w:w="90"/>
              <w:bottom w:type="dxa" w:w="70"/>
              <w:right w:type="dxa" w:w="90"/>
            </w:tcMar>
          </w:tcPr>
          <w:p>
            <w:r>
              <w:rPr>
                <w:b w:val="false"/>
                <w:bCs w:val="false"/>
                <w:color w:val="000000"/>
                <w:sz w:val="19"/>
                <w:szCs w:val="19"/>
              </w:rPr>
              <w:t xml:space="preserve">Sanction letter</w:t>
            </w:r>
          </w:p>
        </w:tc>
        <w:tc>
          <w:tcPr>
            <w:tcW w:type="dxa" w:w="3600"/>
            <w:tcMar>
              <w:top w:type="dxa" w:w="70"/>
              <w:left w:type="dxa" w:w="90"/>
              <w:bottom w:type="dxa" w:w="70"/>
              <w:right w:type="dxa" w:w="90"/>
            </w:tcMar>
          </w:tcPr>
          <w:p>
            <w:r>
              <w:rPr>
                <w:b w:val="false"/>
                <w:bCs w:val="false"/>
                <w:color w:val="000000"/>
                <w:sz w:val="19"/>
                <w:szCs w:val="19"/>
              </w:rPr>
              <w:t xml:space="preserve">Dated 18 Apr 2024, terms and conditions of renewed CC limit</w:t>
            </w:r>
          </w:p>
        </w:tc>
        <w:tc>
          <w:tcPr>
            <w:tcW w:type="dxa" w:w="4800"/>
            <w:tcMar>
              <w:top w:type="dxa" w:w="70"/>
              <w:left w:type="dxa" w:w="90"/>
              <w:bottom w:type="dxa" w:w="70"/>
              <w:right w:type="dxa" w:w="90"/>
            </w:tcMar>
          </w:tcPr>
          <w:p>
            <w:r>
              <w:rPr>
                <w:b w:val="false"/>
                <w:bCs w:val="false"/>
                <w:color w:val="000000"/>
                <w:sz w:val="19"/>
                <w:szCs w:val="19"/>
              </w:rPr>
              <w:t xml:space="preserve">Executed and on file</w:t>
            </w:r>
          </w:p>
        </w:tc>
      </w:tr>
      <w:tr>
        <w:tc>
          <w:tcPr>
            <w:tcW w:type="dxa" w:w="1400"/>
            <w:tcMar>
              <w:top w:type="dxa" w:w="70"/>
              <w:left w:type="dxa" w:w="90"/>
              <w:bottom w:type="dxa" w:w="70"/>
              <w:right w:type="dxa" w:w="90"/>
            </w:tcMar>
          </w:tcPr>
          <w:p>
            <w:r>
              <w:rPr>
                <w:b w:val="false"/>
                <w:bCs w:val="false"/>
                <w:color w:val="000000"/>
                <w:sz w:val="19"/>
                <w:szCs w:val="19"/>
              </w:rPr>
              <w:t xml:space="preserve">Hypothecation agreement</w:t>
            </w:r>
          </w:p>
        </w:tc>
        <w:tc>
          <w:tcPr>
            <w:tcW w:type="dxa" w:w="3600"/>
            <w:tcMar>
              <w:top w:type="dxa" w:w="70"/>
              <w:left w:type="dxa" w:w="90"/>
              <w:bottom w:type="dxa" w:w="70"/>
              <w:right w:type="dxa" w:w="90"/>
            </w:tcMar>
          </w:tcPr>
          <w:p>
            <w:r>
              <w:rPr>
                <w:b w:val="false"/>
                <w:bCs w:val="false"/>
                <w:color w:val="000000"/>
                <w:sz w:val="19"/>
                <w:szCs w:val="19"/>
              </w:rPr>
              <w:t xml:space="preserve">Covers stock and book debts as primary security</w:t>
            </w:r>
          </w:p>
        </w:tc>
        <w:tc>
          <w:tcPr>
            <w:tcW w:type="dxa" w:w="4800"/>
            <w:tcMar>
              <w:top w:type="dxa" w:w="70"/>
              <w:left w:type="dxa" w:w="90"/>
              <w:bottom w:type="dxa" w:w="70"/>
              <w:right w:type="dxa" w:w="90"/>
            </w:tcMar>
          </w:tcPr>
          <w:p>
            <w:r>
              <w:rPr>
                <w:b w:val="false"/>
                <w:bCs w:val="false"/>
                <w:color w:val="000000"/>
                <w:sz w:val="19"/>
                <w:szCs w:val="19"/>
              </w:rPr>
              <w:t xml:space="preserve">Executed; renewed alongside sanction</w:t>
            </w:r>
          </w:p>
        </w:tc>
      </w:tr>
      <w:tr>
        <w:tc>
          <w:tcPr>
            <w:tcW w:type="dxa" w:w="1400"/>
            <w:tcMar>
              <w:top w:type="dxa" w:w="70"/>
              <w:left w:type="dxa" w:w="90"/>
              <w:bottom w:type="dxa" w:w="70"/>
              <w:right w:type="dxa" w:w="90"/>
            </w:tcMar>
          </w:tcPr>
          <w:p>
            <w:r>
              <w:rPr>
                <w:b w:val="false"/>
                <w:bCs w:val="false"/>
                <w:color w:val="000000"/>
                <w:sz w:val="19"/>
                <w:szCs w:val="19"/>
              </w:rPr>
              <w:t xml:space="preserve">Equitable mortgage documents</w:t>
            </w:r>
          </w:p>
        </w:tc>
        <w:tc>
          <w:tcPr>
            <w:tcW w:type="dxa" w:w="3600"/>
            <w:tcMar>
              <w:top w:type="dxa" w:w="70"/>
              <w:left w:type="dxa" w:w="90"/>
              <w:bottom w:type="dxa" w:w="70"/>
              <w:right w:type="dxa" w:w="90"/>
            </w:tcMar>
          </w:tcPr>
          <w:p>
            <w:r>
              <w:rPr>
                <w:b w:val="false"/>
                <w:bCs w:val="false"/>
                <w:color w:val="000000"/>
                <w:sz w:val="19"/>
                <w:szCs w:val="19"/>
              </w:rPr>
              <w:t xml:space="preserve">Factory land and building, Patancheru</w:t>
            </w:r>
          </w:p>
        </w:tc>
        <w:tc>
          <w:tcPr>
            <w:tcW w:type="dxa" w:w="4800"/>
            <w:tcMar>
              <w:top w:type="dxa" w:w="70"/>
              <w:left w:type="dxa" w:w="90"/>
              <w:bottom w:type="dxa" w:w="70"/>
              <w:right w:type="dxa" w:w="90"/>
            </w:tcMar>
          </w:tcPr>
          <w:p>
            <w:r>
              <w:rPr>
                <w:b w:val="false"/>
                <w:bCs w:val="false"/>
                <w:color w:val="000000"/>
                <w:sz w:val="19"/>
                <w:szCs w:val="19"/>
              </w:rPr>
              <w:t xml:space="preserve">Original title deeds deposited; valuation report dated Mar 2024 on file</w:t>
            </w:r>
          </w:p>
        </w:tc>
      </w:tr>
      <w:tr>
        <w:tc>
          <w:tcPr>
            <w:tcW w:type="dxa" w:w="1400"/>
            <w:tcMar>
              <w:top w:type="dxa" w:w="70"/>
              <w:left w:type="dxa" w:w="90"/>
              <w:bottom w:type="dxa" w:w="70"/>
              <w:right w:type="dxa" w:w="90"/>
            </w:tcMar>
          </w:tcPr>
          <w:p>
            <w:r>
              <w:rPr>
                <w:b w:val="false"/>
                <w:bCs w:val="false"/>
                <w:color w:val="000000"/>
                <w:sz w:val="19"/>
                <w:szCs w:val="19"/>
              </w:rPr>
              <w:t xml:space="preserve">Personal guarantee deeds</w:t>
            </w:r>
          </w:p>
        </w:tc>
        <w:tc>
          <w:tcPr>
            <w:tcW w:type="dxa" w:w="3600"/>
            <w:tcMar>
              <w:top w:type="dxa" w:w="70"/>
              <w:left w:type="dxa" w:w="90"/>
              <w:bottom w:type="dxa" w:w="70"/>
              <w:right w:type="dxa" w:w="90"/>
            </w:tcMar>
          </w:tcPr>
          <w:p>
            <w:r>
              <w:rPr>
                <w:b w:val="false"/>
                <w:bCs w:val="false"/>
                <w:color w:val="000000"/>
                <w:sz w:val="19"/>
                <w:szCs w:val="19"/>
              </w:rPr>
              <w:t xml:space="preserve">Two promoter-directors</w:t>
            </w:r>
          </w:p>
        </w:tc>
        <w:tc>
          <w:tcPr>
            <w:tcW w:type="dxa" w:w="4800"/>
            <w:tcMar>
              <w:top w:type="dxa" w:w="70"/>
              <w:left w:type="dxa" w:w="90"/>
              <w:bottom w:type="dxa" w:w="70"/>
              <w:right w:type="dxa" w:w="90"/>
            </w:tcMar>
          </w:tcPr>
          <w:p>
            <w:r>
              <w:rPr>
                <w:b w:val="false"/>
                <w:bCs w:val="false"/>
                <w:color w:val="000000"/>
                <w:sz w:val="19"/>
                <w:szCs w:val="19"/>
              </w:rPr>
              <w:t xml:space="preserve">Executed and on file</w:t>
            </w:r>
          </w:p>
        </w:tc>
      </w:tr>
      <w:tr>
        <w:tc>
          <w:tcPr>
            <w:tcW w:type="dxa" w:w="1400"/>
            <w:tcMar>
              <w:top w:type="dxa" w:w="70"/>
              <w:left w:type="dxa" w:w="90"/>
              <w:bottom w:type="dxa" w:w="70"/>
              <w:right w:type="dxa" w:w="90"/>
            </w:tcMar>
          </w:tcPr>
          <w:p>
            <w:r>
              <w:rPr>
                <w:b w:val="false"/>
                <w:bCs w:val="false"/>
                <w:color w:val="000000"/>
                <w:sz w:val="19"/>
                <w:szCs w:val="19"/>
              </w:rPr>
              <w:t xml:space="preserve">Latest audited financials</w:t>
            </w:r>
          </w:p>
        </w:tc>
        <w:tc>
          <w:tcPr>
            <w:tcW w:type="dxa" w:w="3600"/>
            <w:tcMar>
              <w:top w:type="dxa" w:w="70"/>
              <w:left w:type="dxa" w:w="90"/>
              <w:bottom w:type="dxa" w:w="70"/>
              <w:right w:type="dxa" w:w="90"/>
            </w:tcMar>
          </w:tcPr>
          <w:p>
            <w:r>
              <w:rPr>
                <w:b w:val="false"/>
                <w:bCs w:val="false"/>
                <w:color w:val="000000"/>
                <w:sz w:val="19"/>
                <w:szCs w:val="19"/>
              </w:rPr>
              <w:t xml:space="preserve">FY 2023–24 audited statements</w:t>
            </w:r>
          </w:p>
        </w:tc>
        <w:tc>
          <w:tcPr>
            <w:tcW w:type="dxa" w:w="4800"/>
            <w:tcMar>
              <w:top w:type="dxa" w:w="70"/>
              <w:left w:type="dxa" w:w="90"/>
              <w:bottom w:type="dxa" w:w="70"/>
              <w:right w:type="dxa" w:w="90"/>
            </w:tcMar>
          </w:tcPr>
          <w:p>
            <w:r>
              <w:rPr>
                <w:b w:val="false"/>
                <w:bCs w:val="false"/>
                <w:color w:val="000000"/>
                <w:sz w:val="19"/>
                <w:szCs w:val="19"/>
              </w:rPr>
              <w:t xml:space="preserve">On file; FY 2024–25 provisional financials awaited for upcoming review</w:t>
            </w:r>
          </w:p>
        </w:tc>
      </w:tr>
      <w:tr>
        <w:tc>
          <w:tcPr>
            <w:tcW w:type="dxa" w:w="1400"/>
            <w:tcMar>
              <w:top w:type="dxa" w:w="70"/>
              <w:left w:type="dxa" w:w="90"/>
              <w:bottom w:type="dxa" w:w="70"/>
              <w:right w:type="dxa" w:w="90"/>
            </w:tcMar>
          </w:tcPr>
          <w:p>
            <w:r>
              <w:rPr>
                <w:b w:val="false"/>
                <w:bCs w:val="false"/>
                <w:color w:val="000000"/>
                <w:sz w:val="19"/>
                <w:szCs w:val="19"/>
              </w:rPr>
              <w:t xml:space="preserve">Insurance policy</w:t>
            </w:r>
          </w:p>
        </w:tc>
        <w:tc>
          <w:tcPr>
            <w:tcW w:type="dxa" w:w="3600"/>
            <w:tcMar>
              <w:top w:type="dxa" w:w="70"/>
              <w:left w:type="dxa" w:w="90"/>
              <w:bottom w:type="dxa" w:w="70"/>
              <w:right w:type="dxa" w:w="90"/>
            </w:tcMar>
          </w:tcPr>
          <w:p>
            <w:r>
              <w:rPr>
                <w:b w:val="false"/>
                <w:bCs w:val="false"/>
                <w:color w:val="000000"/>
                <w:sz w:val="19"/>
                <w:szCs w:val="19"/>
              </w:rPr>
              <w:t xml:space="preserve">Fire and burglary cover on hypothecated stock and factory premises</w:t>
            </w:r>
          </w:p>
        </w:tc>
        <w:tc>
          <w:tcPr>
            <w:tcW w:type="dxa" w:w="4800"/>
            <w:tcMar>
              <w:top w:type="dxa" w:w="70"/>
              <w:left w:type="dxa" w:w="90"/>
              <w:bottom w:type="dxa" w:w="70"/>
              <w:right w:type="dxa" w:w="90"/>
            </w:tcMar>
          </w:tcPr>
          <w:p>
            <w:r>
              <w:rPr>
                <w:b w:val="false"/>
                <w:bCs w:val="false"/>
                <w:color w:val="000000"/>
                <w:sz w:val="19"/>
                <w:szCs w:val="19"/>
              </w:rPr>
              <w:t xml:space="preserve">Valid till 31 Dec 2025; bank noted as loss payee</w:t>
            </w:r>
          </w:p>
        </w:tc>
      </w:tr>
    </w:tbl>
    <w:p>
      <w:pPr>
        <w:pStyle w:val="Heading1"/>
        <w:spacing w:after="120" w:before="240"/>
      </w:pPr>
      <w:r>
        <w:t xml:space="preserve">6. Covenant Compliance Summary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000"/>
      </w:tblGrid>
      <w:tr>
        <w:tc>
          <w:tcPr>
            <w:tcW w:type="dxa" w:w="2600"/>
            <w:shd w:fill="1F3A5F" w:color="auto" w:val="clear"/>
            <w:tcMar>
              <w:top w:type="dxa" w:w="70"/>
              <w:left w:type="dxa" w:w="90"/>
              <w:bottom w:type="dxa" w:w="70"/>
              <w:right w:type="dxa" w:w="90"/>
            </w:tcMar>
          </w:tcPr>
          <w:p>
            <w:r>
              <w:rPr>
                <w:b/>
                <w:bCs/>
                <w:color w:val="FFFFFF"/>
                <w:sz w:val="19"/>
                <w:szCs w:val="19"/>
              </w:rPr>
              <w:t xml:space="preserve">Covenant</w:t>
            </w:r>
          </w:p>
        </w:tc>
        <w:tc>
          <w:tcPr>
            <w:tcW w:type="dxa" w:w="3200"/>
            <w:shd w:fill="1F3A5F" w:color="auto" w:val="clear"/>
            <w:tcMar>
              <w:top w:type="dxa" w:w="70"/>
              <w:left w:type="dxa" w:w="90"/>
              <w:bottom w:type="dxa" w:w="70"/>
              <w:right w:type="dxa" w:w="90"/>
            </w:tcMar>
          </w:tcPr>
          <w:p>
            <w:r>
              <w:rPr>
                <w:b/>
                <w:bCs/>
                <w:color w:val="FFFFFF"/>
                <w:sz w:val="19"/>
                <w:szCs w:val="19"/>
              </w:rPr>
              <w:t xml:space="preserve">Threshold</w:t>
            </w:r>
          </w:p>
        </w:tc>
        <w:tc>
          <w:tcPr>
            <w:tcW w:type="dxa" w:w="4000"/>
            <w:shd w:fill="1F3A5F" w:color="auto" w:val="clear"/>
            <w:tcMar>
              <w:top w:type="dxa" w:w="70"/>
              <w:left w:type="dxa" w:w="90"/>
              <w:bottom w:type="dxa" w:w="70"/>
              <w:right w:type="dxa" w:w="90"/>
            </w:tcMar>
          </w:tcPr>
          <w:p>
            <w:r>
              <w:rPr>
                <w:b/>
                <w:bCs/>
                <w:color w:val="FFFFFF"/>
                <w:sz w:val="19"/>
                <w:szCs w:val="19"/>
              </w:rPr>
              <w:t xml:space="preserve">Status (as of latest financials)</w:t>
            </w:r>
          </w:p>
        </w:tc>
      </w:tr>
      <w:tr>
        <w:tc>
          <w:tcPr>
            <w:tcW w:type="dxa" w:w="2600"/>
            <w:tcMar>
              <w:top w:type="dxa" w:w="70"/>
              <w:left w:type="dxa" w:w="90"/>
              <w:bottom w:type="dxa" w:w="70"/>
              <w:right w:type="dxa" w:w="90"/>
            </w:tcMar>
          </w:tcPr>
          <w:p>
            <w:r>
              <w:rPr>
                <w:b w:val="false"/>
                <w:bCs w:val="false"/>
                <w:color w:val="000000"/>
                <w:sz w:val="19"/>
                <w:szCs w:val="19"/>
              </w:rPr>
              <w:t xml:space="preserve">Current Ratio</w:t>
            </w:r>
          </w:p>
        </w:tc>
        <w:tc>
          <w:tcPr>
            <w:tcW w:type="dxa" w:w="3200"/>
            <w:tcMar>
              <w:top w:type="dxa" w:w="70"/>
              <w:left w:type="dxa" w:w="90"/>
              <w:bottom w:type="dxa" w:w="70"/>
              <w:right w:type="dxa" w:w="90"/>
            </w:tcMar>
          </w:tcPr>
          <w:p>
            <w:r>
              <w:rPr>
                <w:b w:val="false"/>
                <w:bCs w:val="false"/>
                <w:color w:val="000000"/>
                <w:sz w:val="19"/>
                <w:szCs w:val="19"/>
              </w:rPr>
              <w:t xml:space="preserve">Minimum 1.20</w:t>
            </w:r>
          </w:p>
        </w:tc>
        <w:tc>
          <w:tcPr>
            <w:tcW w:type="dxa" w:w="4000"/>
            <w:tcMar>
              <w:top w:type="dxa" w:w="70"/>
              <w:left w:type="dxa" w:w="90"/>
              <w:bottom w:type="dxa" w:w="70"/>
              <w:right w:type="dxa" w:w="90"/>
            </w:tcMar>
          </w:tcPr>
          <w:p>
            <w:r>
              <w:rPr>
                <w:b w:val="false"/>
                <w:bCs w:val="false"/>
                <w:color w:val="000000"/>
                <w:sz w:val="19"/>
                <w:szCs w:val="19"/>
              </w:rPr>
              <w:t xml:space="preserve">1.34 — compliant</w:t>
            </w:r>
          </w:p>
        </w:tc>
      </w:tr>
      <w:tr>
        <w:tc>
          <w:tcPr>
            <w:tcW w:type="dxa" w:w="2600"/>
            <w:tcMar>
              <w:top w:type="dxa" w:w="70"/>
              <w:left w:type="dxa" w:w="90"/>
              <w:bottom w:type="dxa" w:w="70"/>
              <w:right w:type="dxa" w:w="90"/>
            </w:tcMar>
          </w:tcPr>
          <w:p>
            <w:r>
              <w:rPr>
                <w:b w:val="false"/>
                <w:bCs w:val="false"/>
                <w:color w:val="000000"/>
                <w:sz w:val="19"/>
                <w:szCs w:val="19"/>
              </w:rPr>
              <w:t xml:space="preserve">Total Outside Liabilities / Tangible Net Worth (TOL/TNW)</w:t>
            </w:r>
          </w:p>
        </w:tc>
        <w:tc>
          <w:tcPr>
            <w:tcW w:type="dxa" w:w="3200"/>
            <w:tcMar>
              <w:top w:type="dxa" w:w="70"/>
              <w:left w:type="dxa" w:w="90"/>
              <w:bottom w:type="dxa" w:w="70"/>
              <w:right w:type="dxa" w:w="90"/>
            </w:tcMar>
          </w:tcPr>
          <w:p>
            <w:r>
              <w:rPr>
                <w:b w:val="false"/>
                <w:bCs w:val="false"/>
                <w:color w:val="000000"/>
                <w:sz w:val="19"/>
                <w:szCs w:val="19"/>
              </w:rPr>
              <w:t xml:space="preserve">Maximum 3.00</w:t>
            </w:r>
          </w:p>
        </w:tc>
        <w:tc>
          <w:tcPr>
            <w:tcW w:type="dxa" w:w="4000"/>
            <w:tcMar>
              <w:top w:type="dxa" w:w="70"/>
              <w:left w:type="dxa" w:w="90"/>
              <w:bottom w:type="dxa" w:w="70"/>
              <w:right w:type="dxa" w:w="90"/>
            </w:tcMar>
          </w:tcPr>
          <w:p>
            <w:r>
              <w:rPr>
                <w:b w:val="false"/>
                <w:bCs w:val="false"/>
                <w:color w:val="000000"/>
                <w:sz w:val="19"/>
                <w:szCs w:val="19"/>
              </w:rPr>
              <w:t xml:space="preserve">2.65 — compliant</w:t>
            </w:r>
          </w:p>
        </w:tc>
      </w:tr>
      <w:tr>
        <w:tc>
          <w:tcPr>
            <w:tcW w:type="dxa" w:w="2600"/>
            <w:tcMar>
              <w:top w:type="dxa" w:w="70"/>
              <w:left w:type="dxa" w:w="90"/>
              <w:bottom w:type="dxa" w:w="70"/>
              <w:right w:type="dxa" w:w="90"/>
            </w:tcMar>
          </w:tcPr>
          <w:p>
            <w:r>
              <w:rPr>
                <w:b w:val="false"/>
                <w:bCs w:val="false"/>
                <w:color w:val="000000"/>
                <w:sz w:val="19"/>
                <w:szCs w:val="19"/>
              </w:rPr>
              <w:t xml:space="preserve">Debt Service Coverage Ratio (DSCR)</w:t>
            </w:r>
          </w:p>
        </w:tc>
        <w:tc>
          <w:tcPr>
            <w:tcW w:type="dxa" w:w="3200"/>
            <w:tcMar>
              <w:top w:type="dxa" w:w="70"/>
              <w:left w:type="dxa" w:w="90"/>
              <w:bottom w:type="dxa" w:w="70"/>
              <w:right w:type="dxa" w:w="90"/>
            </w:tcMar>
          </w:tcPr>
          <w:p>
            <w:r>
              <w:rPr>
                <w:b w:val="false"/>
                <w:bCs w:val="false"/>
                <w:color w:val="000000"/>
                <w:sz w:val="19"/>
                <w:szCs w:val="19"/>
              </w:rPr>
              <w:t xml:space="preserve">Minimum 1.25</w:t>
            </w:r>
          </w:p>
        </w:tc>
        <w:tc>
          <w:tcPr>
            <w:tcW w:type="dxa" w:w="4000"/>
            <w:tcMar>
              <w:top w:type="dxa" w:w="70"/>
              <w:left w:type="dxa" w:w="90"/>
              <w:bottom w:type="dxa" w:w="70"/>
              <w:right w:type="dxa" w:w="90"/>
            </w:tcMar>
          </w:tcPr>
          <w:p>
            <w:r>
              <w:rPr>
                <w:b w:val="false"/>
                <w:bCs w:val="false"/>
                <w:color w:val="000000"/>
                <w:sz w:val="19"/>
                <w:szCs w:val="19"/>
              </w:rPr>
              <w:t xml:space="preserve">1.41 — compliant</w:t>
            </w:r>
          </w:p>
        </w:tc>
      </w:tr>
      <w:tr>
        <w:tc>
          <w:tcPr>
            <w:tcW w:type="dxa" w:w="2600"/>
            <w:tcMar>
              <w:top w:type="dxa" w:w="70"/>
              <w:left w:type="dxa" w:w="90"/>
              <w:bottom w:type="dxa" w:w="70"/>
              <w:right w:type="dxa" w:w="90"/>
            </w:tcMar>
          </w:tcPr>
          <w:p>
            <w:r>
              <w:rPr>
                <w:b w:val="false"/>
                <w:bCs w:val="false"/>
                <w:color w:val="000000"/>
                <w:sz w:val="19"/>
                <w:szCs w:val="19"/>
              </w:rPr>
              <w:t xml:space="preserve">Quarterly stock statement submission</w:t>
            </w:r>
          </w:p>
        </w:tc>
        <w:tc>
          <w:tcPr>
            <w:tcW w:type="dxa" w:w="3200"/>
            <w:tcMar>
              <w:top w:type="dxa" w:w="70"/>
              <w:left w:type="dxa" w:w="90"/>
              <w:bottom w:type="dxa" w:w="70"/>
              <w:right w:type="dxa" w:w="90"/>
            </w:tcMar>
          </w:tcPr>
          <w:p>
            <w:r>
              <w:rPr>
                <w:b w:val="false"/>
                <w:bCs w:val="false"/>
                <w:color w:val="000000"/>
                <w:sz w:val="19"/>
                <w:szCs w:val="19"/>
              </w:rPr>
              <w:t xml:space="preserve">Within 15 days of quarter end</w:t>
            </w:r>
          </w:p>
        </w:tc>
        <w:tc>
          <w:tcPr>
            <w:tcW w:type="dxa" w:w="4000"/>
            <w:tcMar>
              <w:top w:type="dxa" w:w="70"/>
              <w:left w:type="dxa" w:w="90"/>
              <w:bottom w:type="dxa" w:w="70"/>
              <w:right w:type="dxa" w:w="90"/>
            </w:tcMar>
          </w:tcPr>
          <w:p>
            <w:r>
              <w:rPr>
                <w:b w:val="false"/>
                <w:bCs w:val="false"/>
                <w:color w:val="000000"/>
                <w:sz w:val="19"/>
                <w:szCs w:val="19"/>
              </w:rPr>
              <w:t xml:space="preserve">Compliant for all four quarters of FY25</w:t>
            </w:r>
          </w:p>
        </w:tc>
      </w:tr>
    </w:tbl>
    <w:p>
      <w:pPr>
        <w:pStyle w:val="Heading1"/>
        <w:spacing w:after="120" w:before="240"/>
      </w:pPr>
      <w:r>
        <w:t xml:space="preserve">7. Risk Assessment and Watchlist Status</w:t>
      </w:r>
    </w:p>
    <w:p>
      <w:pPr>
        <w:spacing w:after="160"/>
      </w:pPr>
      <w:r>
        <w:t xml:space="preserve">Account is classified as Standard, low-risk, with no watchlist flags as of the latest review. The account has consistently operated within sanctioned limits and drawing power, with covenant metrics comfortably within thresholds. The only historical observation (ageing of one OEM customer's receivables, noted January 2025) was resolved within one quarter and did not recur.</w:t>
      </w:r>
    </w:p>
    <w:p>
      <w:pPr>
        <w:pStyle w:val="Heading1"/>
        <w:spacing w:after="120" w:before="240"/>
      </w:pPr>
      <w:r>
        <w:t xml:space="preserve">8. Current Status</w:t>
      </w:r>
    </w:p>
    <w:p>
      <w:pPr>
        <w:spacing w:after="160"/>
      </w:pPr>
      <w:r>
        <w:t xml:space="preserve">The facility is due for its annual review by 17 April 2025 cycle (next review: April 2026 following the current renewal). All quarterly stock audits for FY25 have been completed with no material adverse findings. Provisional FY 2024–25 financials are awaited from the borrower to support the upcoming annual review process.</w:t>
      </w:r>
    </w:p>
    <w:p>
      <w:pPr>
        <w:pStyle w:val="Heading1"/>
        <w:spacing w:after="120" w:before="240"/>
      </w:pPr>
      <w:r>
        <w:t xml:space="preserve">9. Next Steps</w:t>
      </w:r>
    </w:p>
    <w:p>
      <w:pPr>
        <w:pStyle w:val="ListParagraph"/>
        <w:numPr>
          <w:ilvl w:val="0"/>
          <w:numId w:val="2"/>
        </w:numPr>
        <w:spacing w:after="80"/>
      </w:pPr>
      <w:r>
        <w:t xml:space="preserve">Obtain provisional FY 2024–25 financials from borrower by 15 September 2025 for internal credit review preparation</w:t>
      </w:r>
    </w:p>
    <w:p>
      <w:pPr>
        <w:pStyle w:val="ListParagraph"/>
        <w:numPr>
          <w:ilvl w:val="0"/>
          <w:numId w:val="2"/>
        </w:numPr>
        <w:spacing w:after="80"/>
      </w:pPr>
      <w:r>
        <w:t xml:space="preserve">Schedule fifth stock audit (first of FY26) for October 2025, aligned with peak-season ad-hoc limit request expected around the same period</w:t>
      </w:r>
    </w:p>
    <w:p>
      <w:pPr>
        <w:pStyle w:val="ListParagraph"/>
        <w:numPr>
          <w:ilvl w:val="0"/>
          <w:numId w:val="2"/>
        </w:numPr>
        <w:spacing w:after="80"/>
      </w:pPr>
      <w:r>
        <w:t xml:space="preserve">Renew fire and burglary insurance policy before 31 Dec 2025 expiry and confirm bank's loss payee clause is retained</w:t>
      </w:r>
    </w:p>
    <w:p>
      <w:pPr>
        <w:pStyle w:val="ListParagraph"/>
        <w:numPr>
          <w:ilvl w:val="0"/>
          <w:numId w:val="2"/>
        </w:numPr>
        <w:spacing w:after="80"/>
      </w:pPr>
      <w:r>
        <w:t xml:space="preserve">Monitor receivables ageing for the OEM customer flagged in January 2025 during the next stock audit cycle</w:t>
      </w:r>
    </w:p>
    <w:p>
      <w:pPr>
        <w:pStyle w:val="Heading1"/>
        <w:spacing w:after="120" w:before="240"/>
      </w:pPr>
      <w:r>
        <w:t xml:space="preserve">10. Internal Notes (Confidential)</w:t>
      </w:r>
    </w:p>
    <w:p>
      <w:pPr>
        <w:spacing w:after="160"/>
      </w:pPr>
      <w:r>
        <w:t xml:space="preserve">Relationship Manager has indicated the borrower may request a limit enhancement to ₹8,00,00,000 at the next annual review, citing a new OEM contract under negotiation. Credit team should independently verify the new contract's finalization status before considering any enhancement, given it is not yet reflected in current financials.</w:t>
      </w:r>
    </w:p>
    <w:p>
      <w:pPr>
        <w:pStyle w:val="Heading1"/>
        <w:spacing w:after="120" w:before="240"/>
      </w:pPr>
      <w:r>
        <w:t xml:space="preserve">11. Key Contacts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000"/>
      </w:tblGrid>
      <w:tr>
        <w:tc>
          <w:tcPr>
            <w:tcW w:type="dxa" w:w="2600"/>
            <w:shd w:fill="1F3A5F" w:color="auto" w:val="clear"/>
            <w:tcMar>
              <w:top w:type="dxa" w:w="70"/>
              <w:left w:type="dxa" w:w="90"/>
              <w:bottom w:type="dxa" w:w="70"/>
              <w:right w:type="dxa" w:w="90"/>
            </w:tcMar>
          </w:tcPr>
          <w:p>
            <w:r>
              <w:rPr>
                <w:b/>
                <w:bCs/>
                <w:color w:val="FFFFFF"/>
                <w:sz w:val="19"/>
                <w:szCs w:val="19"/>
              </w:rPr>
              <w:t xml:space="preserve">Name</w:t>
            </w:r>
          </w:p>
        </w:tc>
        <w:tc>
          <w:tcPr>
            <w:tcW w:type="dxa" w:w="3200"/>
            <w:shd w:fill="1F3A5F" w:color="auto" w:val="clear"/>
            <w:tcMar>
              <w:top w:type="dxa" w:w="70"/>
              <w:left w:type="dxa" w:w="90"/>
              <w:bottom w:type="dxa" w:w="70"/>
              <w:right w:type="dxa" w:w="90"/>
            </w:tcMar>
          </w:tcPr>
          <w:p>
            <w:r>
              <w:rPr>
                <w:b/>
                <w:bCs/>
                <w:color w:val="FFFFFF"/>
                <w:sz w:val="19"/>
                <w:szCs w:val="19"/>
              </w:rPr>
              <w:t xml:space="preserve">Role</w:t>
            </w:r>
          </w:p>
        </w:tc>
        <w:tc>
          <w:tcPr>
            <w:tcW w:type="dxa" w:w="4000"/>
            <w:shd w:fill="1F3A5F" w:color="auto" w:val="clear"/>
            <w:tcMar>
              <w:top w:type="dxa" w:w="70"/>
              <w:left w:type="dxa" w:w="90"/>
              <w:bottom w:type="dxa" w:w="70"/>
              <w:right w:type="dxa" w:w="90"/>
            </w:tcMar>
          </w:tcPr>
          <w:p>
            <w:r>
              <w:rPr>
                <w:b/>
                <w:bCs/>
                <w:color w:val="FFFFFF"/>
                <w:sz w:val="19"/>
                <w:szCs w:val="19"/>
              </w:rPr>
              <w:t xml:space="preserve">Organization</w:t>
            </w:r>
          </w:p>
        </w:tc>
      </w:tr>
      <w:tr>
        <w:tc>
          <w:tcPr>
            <w:tcW w:type="dxa" w:w="2600"/>
            <w:tcMar>
              <w:top w:type="dxa" w:w="70"/>
              <w:left w:type="dxa" w:w="90"/>
              <w:bottom w:type="dxa" w:w="70"/>
              <w:right w:type="dxa" w:w="90"/>
            </w:tcMar>
          </w:tcPr>
          <w:p>
            <w:r>
              <w:rPr>
                <w:b w:val="false"/>
                <w:bCs w:val="false"/>
                <w:color w:val="000000"/>
                <w:sz w:val="19"/>
                <w:szCs w:val="19"/>
              </w:rPr>
              <w:t xml:space="preserve">Mr. Ravi Teja Naidu</w:t>
            </w:r>
          </w:p>
        </w:tc>
        <w:tc>
          <w:tcPr>
            <w:tcW w:type="dxa" w:w="3200"/>
            <w:tcMar>
              <w:top w:type="dxa" w:w="70"/>
              <w:left w:type="dxa" w:w="90"/>
              <w:bottom w:type="dxa" w:w="70"/>
              <w:right w:type="dxa" w:w="90"/>
            </w:tcMar>
          </w:tcPr>
          <w:p>
            <w:r>
              <w:rPr>
                <w:b w:val="false"/>
                <w:bCs w:val="false"/>
                <w:color w:val="000000"/>
                <w:sz w:val="19"/>
                <w:szCs w:val="19"/>
              </w:rPr>
              <w:t xml:space="preserve">Managing Director</w:t>
            </w:r>
          </w:p>
        </w:tc>
        <w:tc>
          <w:tcPr>
            <w:tcW w:type="dxa" w:w="4000"/>
            <w:tcMar>
              <w:top w:type="dxa" w:w="70"/>
              <w:left w:type="dxa" w:w="90"/>
              <w:bottom w:type="dxa" w:w="70"/>
              <w:right w:type="dxa" w:w="90"/>
            </w:tcMar>
          </w:tcPr>
          <w:p>
            <w:r>
              <w:rPr>
                <w:b w:val="false"/>
                <w:bCs w:val="false"/>
                <w:color w:val="000000"/>
                <w:sz w:val="19"/>
                <w:szCs w:val="19"/>
              </w:rPr>
              <w:t xml:space="preserve">Deccan Auto Components Pvt. Ltd.</w:t>
            </w:r>
          </w:p>
        </w:tc>
      </w:tr>
      <w:tr>
        <w:tc>
          <w:tcPr>
            <w:tcW w:type="dxa" w:w="2600"/>
            <w:tcMar>
              <w:top w:type="dxa" w:w="70"/>
              <w:left w:type="dxa" w:w="90"/>
              <w:bottom w:type="dxa" w:w="70"/>
              <w:right w:type="dxa" w:w="90"/>
            </w:tcMar>
          </w:tcPr>
          <w:p>
            <w:r>
              <w:rPr>
                <w:b w:val="false"/>
                <w:bCs w:val="false"/>
                <w:color w:val="000000"/>
                <w:sz w:val="19"/>
                <w:szCs w:val="19"/>
              </w:rPr>
              <w:t xml:space="preserve">Mrs. Sunitha Naidu</w:t>
            </w:r>
          </w:p>
        </w:tc>
        <w:tc>
          <w:tcPr>
            <w:tcW w:type="dxa" w:w="3200"/>
            <w:tcMar>
              <w:top w:type="dxa" w:w="70"/>
              <w:left w:type="dxa" w:w="90"/>
              <w:bottom w:type="dxa" w:w="70"/>
              <w:right w:type="dxa" w:w="90"/>
            </w:tcMar>
          </w:tcPr>
          <w:p>
            <w:r>
              <w:rPr>
                <w:b w:val="false"/>
                <w:bCs w:val="false"/>
                <w:color w:val="000000"/>
                <w:sz w:val="19"/>
                <w:szCs w:val="19"/>
              </w:rPr>
              <w:t xml:space="preserve">Director (Finance)</w:t>
            </w:r>
          </w:p>
        </w:tc>
        <w:tc>
          <w:tcPr>
            <w:tcW w:type="dxa" w:w="4000"/>
            <w:tcMar>
              <w:top w:type="dxa" w:w="70"/>
              <w:left w:type="dxa" w:w="90"/>
              <w:bottom w:type="dxa" w:w="70"/>
              <w:right w:type="dxa" w:w="90"/>
            </w:tcMar>
          </w:tcPr>
          <w:p>
            <w:r>
              <w:rPr>
                <w:b w:val="false"/>
                <w:bCs w:val="false"/>
                <w:color w:val="000000"/>
                <w:sz w:val="19"/>
                <w:szCs w:val="19"/>
              </w:rPr>
              <w:t xml:space="preserve">Deccan Auto Components Pvt. Ltd.</w:t>
            </w:r>
          </w:p>
        </w:tc>
      </w:tr>
      <w:tr>
        <w:tc>
          <w:tcPr>
            <w:tcW w:type="dxa" w:w="2600"/>
            <w:tcMar>
              <w:top w:type="dxa" w:w="70"/>
              <w:left w:type="dxa" w:w="90"/>
              <w:bottom w:type="dxa" w:w="70"/>
              <w:right w:type="dxa" w:w="90"/>
            </w:tcMar>
          </w:tcPr>
          <w:p>
            <w:r>
              <w:rPr>
                <w:b w:val="false"/>
                <w:bCs w:val="false"/>
                <w:color w:val="000000"/>
                <w:sz w:val="19"/>
                <w:szCs w:val="19"/>
              </w:rPr>
              <w:t xml:space="preserve">Mr. Kiran Vardhan</w:t>
            </w:r>
          </w:p>
        </w:tc>
        <w:tc>
          <w:tcPr>
            <w:tcW w:type="dxa" w:w="3200"/>
            <w:tcMar>
              <w:top w:type="dxa" w:w="70"/>
              <w:left w:type="dxa" w:w="90"/>
              <w:bottom w:type="dxa" w:w="70"/>
              <w:right w:type="dxa" w:w="90"/>
            </w:tcMar>
          </w:tcPr>
          <w:p>
            <w:r>
              <w:rPr>
                <w:b w:val="false"/>
                <w:bCs w:val="false"/>
                <w:color w:val="000000"/>
                <w:sz w:val="19"/>
                <w:szCs w:val="19"/>
              </w:rPr>
              <w:t xml:space="preserve">Senior Manager, Corporate Banking</w:t>
            </w:r>
          </w:p>
        </w:tc>
        <w:tc>
          <w:tcPr>
            <w:tcW w:type="dxa" w:w="4000"/>
            <w:tcMar>
              <w:top w:type="dxa" w:w="70"/>
              <w:left w:type="dxa" w:w="90"/>
              <w:bottom w:type="dxa" w:w="70"/>
              <w:right w:type="dxa" w:w="90"/>
            </w:tcMar>
          </w:tcPr>
          <w:p>
            <w:r>
              <w:rPr>
                <w:b w:val="false"/>
                <w:bCs w:val="false"/>
                <w:color w:val="000000"/>
                <w:sz w:val="19"/>
                <w:szCs w:val="19"/>
              </w:rPr>
              <w:t xml:space="preserve">Continental Merchant Bank Ltd.</w:t>
            </w:r>
          </w:p>
        </w:tc>
      </w:tr>
      <w:tr>
        <w:tc>
          <w:tcPr>
            <w:tcW w:type="dxa" w:w="2600"/>
            <w:tcMar>
              <w:top w:type="dxa" w:w="70"/>
              <w:left w:type="dxa" w:w="90"/>
              <w:bottom w:type="dxa" w:w="70"/>
              <w:right w:type="dxa" w:w="90"/>
            </w:tcMar>
          </w:tcPr>
          <w:p>
            <w:r>
              <w:rPr>
                <w:b w:val="false"/>
                <w:bCs w:val="false"/>
                <w:color w:val="000000"/>
                <w:sz w:val="19"/>
                <w:szCs w:val="19"/>
              </w:rPr>
              <w:t xml:space="preserve">M/s. Ramesh &amp; Associates</w:t>
            </w:r>
          </w:p>
        </w:tc>
        <w:tc>
          <w:tcPr>
            <w:tcW w:type="dxa" w:w="3200"/>
            <w:tcMar>
              <w:top w:type="dxa" w:w="70"/>
              <w:left w:type="dxa" w:w="90"/>
              <w:bottom w:type="dxa" w:w="70"/>
              <w:right w:type="dxa" w:w="90"/>
            </w:tcMar>
          </w:tcPr>
          <w:p>
            <w:r>
              <w:rPr>
                <w:b w:val="false"/>
                <w:bCs w:val="false"/>
                <w:color w:val="000000"/>
                <w:sz w:val="19"/>
                <w:szCs w:val="19"/>
              </w:rPr>
              <w:t xml:space="preserve">Statutory Auditor</w:t>
            </w:r>
          </w:p>
        </w:tc>
        <w:tc>
          <w:tcPr>
            <w:tcW w:type="dxa" w:w="4000"/>
            <w:tcMar>
              <w:top w:type="dxa" w:w="70"/>
              <w:left w:type="dxa" w:w="90"/>
              <w:bottom w:type="dxa" w:w="70"/>
              <w:right w:type="dxa" w:w="90"/>
            </w:tcMar>
          </w:tcPr>
          <w:p>
            <w:r>
              <w:rPr>
                <w:b w:val="false"/>
                <w:bCs w:val="false"/>
                <w:color w:val="000000"/>
                <w:sz w:val="19"/>
                <w:szCs w:val="19"/>
              </w:rPr>
              <w:t xml:space="preserve">Chartered Accountants, Hyderabad</w:t>
            </w:r>
          </w:p>
        </w:tc>
      </w:tr>
    </w:tbl>
    <w:p>
      <w:pPr>
        <w:pStyle w:val="Heading1"/>
        <w:spacing w:after="120" w:before="240"/>
      </w:pPr>
      <w:r>
        <w:t xml:space="preserve">12. Correspondence Log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800"/>
      </w:tblGrid>
      <w:tr>
        <w:tc>
          <w:tcPr>
            <w:tcW w:type="dxa" w:w="1400"/>
            <w:shd w:fill="1F3A5F" w:color="auto" w:val="clear"/>
            <w:tcMar>
              <w:top w:type="dxa" w:w="70"/>
              <w:left w:type="dxa" w:w="90"/>
              <w:bottom w:type="dxa" w:w="70"/>
              <w:right w:type="dxa" w:w="90"/>
            </w:tcMar>
          </w:tcPr>
          <w:p>
            <w:r>
              <w:rPr>
                <w:b/>
                <w:bCs/>
                <w:color w:val="FFFFFF"/>
                <w:sz w:val="19"/>
                <w:szCs w:val="19"/>
              </w:rPr>
              <w:t xml:space="preserve">Date</w:t>
            </w:r>
          </w:p>
        </w:tc>
        <w:tc>
          <w:tcPr>
            <w:tcW w:type="dxa" w:w="3600"/>
            <w:shd w:fill="1F3A5F" w:color="auto" w:val="clear"/>
            <w:tcMar>
              <w:top w:type="dxa" w:w="70"/>
              <w:left w:type="dxa" w:w="90"/>
              <w:bottom w:type="dxa" w:w="70"/>
              <w:right w:type="dxa" w:w="90"/>
            </w:tcMar>
          </w:tcPr>
          <w:p>
            <w:r>
              <w:rPr>
                <w:b/>
                <w:bCs/>
                <w:color w:val="FFFFFF"/>
                <w:sz w:val="19"/>
                <w:szCs w:val="19"/>
              </w:rPr>
              <w:t xml:space="preserve">Correspondence</w:t>
            </w:r>
          </w:p>
        </w:tc>
        <w:tc>
          <w:tcPr>
            <w:tcW w:type="dxa" w:w="4800"/>
            <w:shd w:fill="1F3A5F" w:color="auto" w:val="clear"/>
            <w:tcMar>
              <w:top w:type="dxa" w:w="70"/>
              <w:left w:type="dxa" w:w="90"/>
              <w:bottom w:type="dxa" w:w="70"/>
              <w:right w:type="dxa" w:w="90"/>
            </w:tcMar>
          </w:tcPr>
          <w:p>
            <w:r>
              <w:rPr>
                <w:b/>
                <w:bCs/>
                <w:color w:val="FFFFFF"/>
                <w:sz w:val="19"/>
                <w:szCs w:val="19"/>
              </w:rPr>
              <w:t xml:space="preserve">Summary</w:t>
            </w:r>
          </w:p>
        </w:tc>
      </w:tr>
      <w:tr>
        <w:tc>
          <w:tcPr>
            <w:tcW w:type="dxa" w:w="1400"/>
            <w:tcMar>
              <w:top w:type="dxa" w:w="70"/>
              <w:left w:type="dxa" w:w="90"/>
              <w:bottom w:type="dxa" w:w="70"/>
              <w:right w:type="dxa" w:w="90"/>
            </w:tcMar>
          </w:tcPr>
          <w:p>
            <w:r>
              <w:rPr>
                <w:b w:val="false"/>
                <w:bCs w:val="false"/>
                <w:color w:val="000000"/>
                <w:sz w:val="19"/>
                <w:szCs w:val="19"/>
              </w:rPr>
              <w:t xml:space="preserve">2 Apr 2024</w:t>
            </w:r>
          </w:p>
        </w:tc>
        <w:tc>
          <w:tcPr>
            <w:tcW w:type="dxa" w:w="3600"/>
            <w:tcMar>
              <w:top w:type="dxa" w:w="70"/>
              <w:left w:type="dxa" w:w="90"/>
              <w:bottom w:type="dxa" w:w="70"/>
              <w:right w:type="dxa" w:w="90"/>
            </w:tcMar>
          </w:tcPr>
          <w:p>
            <w:r>
              <w:rPr>
                <w:b w:val="false"/>
                <w:bCs w:val="false"/>
                <w:color w:val="000000"/>
                <w:sz w:val="19"/>
                <w:szCs w:val="19"/>
              </w:rPr>
              <w:t xml:space="preserve">Renewal request letter from borrower</w:t>
            </w:r>
          </w:p>
        </w:tc>
        <w:tc>
          <w:tcPr>
            <w:tcW w:type="dxa" w:w="4800"/>
            <w:tcMar>
              <w:top w:type="dxa" w:w="70"/>
              <w:left w:type="dxa" w:w="90"/>
              <w:bottom w:type="dxa" w:w="70"/>
              <w:right w:type="dxa" w:w="90"/>
            </w:tcMar>
          </w:tcPr>
          <w:p>
            <w:r>
              <w:rPr>
                <w:b w:val="false"/>
                <w:bCs w:val="false"/>
                <w:color w:val="000000"/>
                <w:sz w:val="19"/>
                <w:szCs w:val="19"/>
              </w:rPr>
              <w:t xml:space="preserve">Requested limit enhancement citing turnover growth, supporting the 18 Apr 2024 sanction</w:t>
            </w:r>
          </w:p>
        </w:tc>
      </w:tr>
      <w:tr>
        <w:tc>
          <w:tcPr>
            <w:tcW w:type="dxa" w:w="1400"/>
            <w:tcMar>
              <w:top w:type="dxa" w:w="70"/>
              <w:left w:type="dxa" w:w="90"/>
              <w:bottom w:type="dxa" w:w="70"/>
              <w:right w:type="dxa" w:w="90"/>
            </w:tcMar>
          </w:tcPr>
          <w:p>
            <w:r>
              <w:rPr>
                <w:b w:val="false"/>
                <w:bCs w:val="false"/>
                <w:color w:val="000000"/>
                <w:sz w:val="19"/>
                <w:szCs w:val="19"/>
              </w:rPr>
              <w:t xml:space="preserve">25 Sep 2024</w:t>
            </w:r>
          </w:p>
        </w:tc>
        <w:tc>
          <w:tcPr>
            <w:tcW w:type="dxa" w:w="3600"/>
            <w:tcMar>
              <w:top w:type="dxa" w:w="70"/>
              <w:left w:type="dxa" w:w="90"/>
              <w:bottom w:type="dxa" w:w="70"/>
              <w:right w:type="dxa" w:w="90"/>
            </w:tcMar>
          </w:tcPr>
          <w:p>
            <w:r>
              <w:rPr>
                <w:b w:val="false"/>
                <w:bCs w:val="false"/>
                <w:color w:val="000000"/>
                <w:sz w:val="19"/>
                <w:szCs w:val="19"/>
              </w:rPr>
              <w:t xml:space="preserve">Ad-hoc limit request letter</w:t>
            </w:r>
          </w:p>
        </w:tc>
        <w:tc>
          <w:tcPr>
            <w:tcW w:type="dxa" w:w="4800"/>
            <w:tcMar>
              <w:top w:type="dxa" w:w="70"/>
              <w:left w:type="dxa" w:w="90"/>
              <w:bottom w:type="dxa" w:w="70"/>
              <w:right w:type="dxa" w:w="90"/>
            </w:tcMar>
          </w:tcPr>
          <w:p>
            <w:r>
              <w:rPr>
                <w:b w:val="false"/>
                <w:bCs w:val="false"/>
                <w:color w:val="000000"/>
                <w:sz w:val="19"/>
                <w:szCs w:val="19"/>
              </w:rPr>
              <w:t xml:space="preserve">Requested temporary enhancement for festive season order buildup</w:t>
            </w:r>
          </w:p>
        </w:tc>
      </w:tr>
      <w:tr>
        <w:tc>
          <w:tcPr>
            <w:tcW w:type="dxa" w:w="1400"/>
            <w:tcMar>
              <w:top w:type="dxa" w:w="70"/>
              <w:left w:type="dxa" w:w="90"/>
              <w:bottom w:type="dxa" w:w="70"/>
              <w:right w:type="dxa" w:w="90"/>
            </w:tcMar>
          </w:tcPr>
          <w:p>
            <w:r>
              <w:rPr>
                <w:b w:val="false"/>
                <w:bCs w:val="false"/>
                <w:color w:val="000000"/>
                <w:sz w:val="19"/>
                <w:szCs w:val="19"/>
              </w:rPr>
              <w:t xml:space="preserve">5 Aug 2025</w:t>
            </w:r>
          </w:p>
        </w:tc>
        <w:tc>
          <w:tcPr>
            <w:tcW w:type="dxa" w:w="3600"/>
            <w:tcMar>
              <w:top w:type="dxa" w:w="70"/>
              <w:left w:type="dxa" w:w="90"/>
              <w:bottom w:type="dxa" w:w="70"/>
              <w:right w:type="dxa" w:w="90"/>
            </w:tcMar>
          </w:tcPr>
          <w:p>
            <w:r>
              <w:rPr>
                <w:b w:val="false"/>
                <w:bCs w:val="false"/>
                <w:color w:val="000000"/>
                <w:sz w:val="19"/>
                <w:szCs w:val="19"/>
              </w:rPr>
              <w:t xml:space="preserve">Email from borrower's finance team</w:t>
            </w:r>
          </w:p>
        </w:tc>
        <w:tc>
          <w:tcPr>
            <w:tcW w:type="dxa" w:w="4800"/>
            <w:tcMar>
              <w:top w:type="dxa" w:w="70"/>
              <w:left w:type="dxa" w:w="90"/>
              <w:bottom w:type="dxa" w:w="70"/>
              <w:right w:type="dxa" w:w="90"/>
            </w:tcMar>
          </w:tcPr>
          <w:p>
            <w:r>
              <w:rPr>
                <w:b w:val="false"/>
                <w:bCs w:val="false"/>
                <w:color w:val="000000"/>
                <w:sz w:val="19"/>
                <w:szCs w:val="19"/>
              </w:rPr>
              <w:t xml:space="preserve">Confirmed provisional FY25 financials would be shared by mid-September 2025</w:t>
            </w:r>
          </w:p>
        </w:tc>
      </w:tr>
    </w:tbl>
    <w:p>
      <w:pPr>
        <w:pStyle w:val="Heading1"/>
        <w:spacing w:after="120" w:before="240"/>
      </w:pPr>
      <w:r>
        <w:t xml:space="preserve">13. Regulatory and Internal Policy References</w:t>
      </w:r>
    </w:p>
    <w:p>
      <w:pPr>
        <w:pStyle w:val="ListParagraph"/>
        <w:numPr>
          <w:ilvl w:val="0"/>
          <w:numId w:val="2"/>
        </w:numPr>
        <w:spacing w:after="80"/>
      </w:pPr>
      <w:r>
        <w:t xml:space="preserve">Reserve Bank of India Master Circular on Prudential Norms on Income Recognition, Asset Classification and Provisioning — governs asset classification and provisioning framework applicable to this account</w:t>
      </w:r>
    </w:p>
    <w:p>
      <w:pPr>
        <w:pStyle w:val="ListParagraph"/>
        <w:numPr>
          <w:ilvl w:val="0"/>
          <w:numId w:val="2"/>
        </w:numPr>
        <w:spacing w:after="80"/>
      </w:pPr>
      <w:r>
        <w:t xml:space="preserve">Bank's Internal Credit Policy, Section 6 (Working Capital Assessment) — governs drawing power computation methodology used in Section 3</w:t>
      </w:r>
    </w:p>
    <w:p>
      <w:pPr>
        <w:pStyle w:val="ListParagraph"/>
        <w:numPr>
          <w:ilvl w:val="0"/>
          <w:numId w:val="2"/>
        </w:numPr>
        <w:spacing w:after="80"/>
      </w:pPr>
      <w:r>
        <w:t xml:space="preserve">Bank's Internal Credit Policy, Section 11 (Covenant Monitoring) — governs quarterly covenant review cadence and escalation thresholds</w:t>
      </w:r>
    </w:p>
    <w:p>
      <w:pPr>
        <w:pStyle w:val="Heading1"/>
        <w:spacing w:after="120" w:before="240"/>
      </w:pPr>
      <w:r>
        <w:t xml:space="preserve">14. Glossary of Terms Used in This File</w:t>
      </w:r>
    </w:p>
    <w:p>
      <w:pPr>
        <w:pStyle w:val="ListParagraph"/>
        <w:numPr>
          <w:ilvl w:val="0"/>
          <w:numId w:val="2"/>
        </w:numPr>
        <w:spacing w:after="80"/>
      </w:pPr>
      <w:r>
        <w:t xml:space="preserve">Drawing Power (DP): the maximum amount a borrower can draw against a working capital limit, computed from stock and receivables after applying prescribed margins</w:t>
      </w:r>
    </w:p>
    <w:p>
      <w:pPr>
        <w:pStyle w:val="ListParagraph"/>
        <w:numPr>
          <w:ilvl w:val="0"/>
          <w:numId w:val="2"/>
        </w:numPr>
        <w:spacing w:after="80"/>
      </w:pPr>
      <w:r>
        <w:t xml:space="preserve">TOL/TNW: Total Outside Liabilities to Tangible Net Worth, a leverage covenant measuring total external liabilities against the borrower's tangible net worth</w:t>
      </w:r>
    </w:p>
    <w:p>
      <w:pPr>
        <w:pStyle w:val="ListParagraph"/>
        <w:numPr>
          <w:ilvl w:val="0"/>
          <w:numId w:val="2"/>
        </w:numPr>
        <w:spacing w:after="80"/>
      </w:pPr>
      <w:r>
        <w:t xml:space="preserve">DSCR: Debt Service Coverage Ratio, measuring a borrower's cash flow available to service debt obligations (principal and interest) for a given period</w:t>
      </w:r>
    </w:p>
    <w:p>
      <w:pPr>
        <w:pStyle w:val="ListParagraph"/>
        <w:numPr>
          <w:ilvl w:val="0"/>
          <w:numId w:val="2"/>
        </w:numPr>
        <w:spacing w:after="80"/>
      </w:pPr>
      <w:r>
        <w:t xml:space="preserve">SMA: Special Mention Account, an early-warning classification used to flag accounts showing signs of incipient stress before formal NPA classification</w:t>
      </w:r>
    </w:p>
    <w:p>
      <w:pPr>
        <w:spacing w:after="200"/>
      </w:pPr>
      <w:r>
        <w:rPr>
          <w:i/>
          <w:iCs/>
          <w:color w:val="666666"/>
          <w:sz w:val="20"/>
          <w:szCs w:val="20"/>
        </w:rPr>
        <w:t xml:space="preserve">End of document. Internal reference: CMB-WC-2024-0187 (synthetic training corpus).</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88888"/>
        <w:sz w:val="15"/>
        <w:szCs w:val="15"/>
      </w:rPr>
      <w:t xml:space="preserve">Continental Merchant Bank Ltd. — Corporate Banking Branch, Hyderabad — Internal Credit File — CC/2024/0187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2026-08-23T14:10:32.335Z</dcterms:created>
  <dcterms:modified xsi:type="dcterms:W3CDTF">2026-08-23T14:10:32.335Z</dcterms:modified>
</cp:coreProperties>
</file>

<file path=docProps/custom.xml><?xml version="1.0" encoding="utf-8"?>
<Properties xmlns="http://schemas.openxmlformats.org/officeDocument/2006/custom-properties" xmlns:vt="http://schemas.openxmlformats.org/officeDocument/2006/docPropsVTypes"/>
</file>