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B3E1F"/>
          <w:sz w:val="22"/>
          <w:szCs w:val="22"/>
        </w:rPr>
        <w:t xml:space="preserve">Continental Merchant Bank Ltd. — Corporate Banking Branch, Hyderabad</w:t>
      </w:r>
    </w:p>
    <w:p>
      <w:pPr>
        <w:spacing w:after="200"/>
      </w:pPr>
      <w:r>
        <w:rPr>
          <w:i/>
          <w:iCs/>
          <w:color w:val="888888"/>
          <w:sz w:val="18"/>
          <w:szCs w:val="18"/>
        </w:rPr>
        <w:t xml:space="preserve">Internal Credit File — Confidential</w:t>
      </w:r>
    </w:p>
    <w:p>
      <w:pPr>
        <w:spacing w:after="80"/>
      </w:pPr>
      <w:r>
        <w:rPr>
          <w:b/>
          <w:bCs/>
          <w:color w:val="6B3E1F"/>
          <w:sz w:val="34"/>
          <w:szCs w:val="34"/>
        </w:rPr>
        <w:t xml:space="preserve">Vantage Foods Processing Pvt. Ltd.</w:t>
      </w:r>
    </w:p>
    <w:p>
      <w:pPr>
        <w:spacing w:after="200"/>
      </w:pPr>
      <w:r>
        <w:rPr>
          <w:i/>
          <w:iCs/>
          <w:color w:val="444444"/>
          <w:sz w:val="24"/>
          <w:szCs w:val="24"/>
        </w:rPr>
        <w:t xml:space="preserve">Term Loan Account No. TL/2022/0954 — Covenant Breach and Watchlist Status</w:t>
      </w:r>
    </w:p>
    <w:p>
      <w:pPr>
        <w:spacing w:after="200"/>
      </w:pPr>
      <w:r>
        <w:rPr>
          <w:i/>
          <w:iCs/>
          <w:color w:val="666666"/>
          <w:sz w:val="20"/>
          <w:szCs w:val="20"/>
        </w:rPr>
        <w:t xml:space="preserve">Illustrative / synthetic credit file created for training and demonstration purposes (e.g., testing retrieval-augmented generation systems). All names, figures, and details are fictional and do not correspond to any real borrower, bank, or transaction.</w:t>
      </w:r>
    </w:p>
    <w:p>
      <w:pPr>
        <w:pStyle w:val="Heading1"/>
        <w:spacing w:after="120" w:before="240"/>
      </w:pPr>
      <w:r>
        <w:t xml:space="preserve">1. Facility Overview</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shd w:fill="6B3E1F" w:color="auto" w:val="clear"/>
            <w:tcMar>
              <w:top w:type="dxa" w:w="70"/>
              <w:left w:type="dxa" w:w="90"/>
              <w:bottom w:type="dxa" w:w="70"/>
              <w:right w:type="dxa" w:w="90"/>
            </w:tcMar>
          </w:tcPr>
          <w:p>
            <w:r>
              <w:rPr>
                <w:b/>
                <w:bCs/>
                <w:color w:val="FFFFFF"/>
                <w:sz w:val="19"/>
                <w:szCs w:val="19"/>
              </w:rPr>
              <w:t xml:space="preserve">Borrower</w:t>
            </w:r>
          </w:p>
        </w:tc>
        <w:tc>
          <w:tcPr>
            <w:tcW w:type="dxa" w:w="7000"/>
            <w:tcMar>
              <w:top w:type="dxa" w:w="70"/>
              <w:left w:type="dxa" w:w="90"/>
              <w:bottom w:type="dxa" w:w="70"/>
              <w:right w:type="dxa" w:w="90"/>
            </w:tcMar>
          </w:tcPr>
          <w:p>
            <w:r>
              <w:rPr>
                <w:b w:val="false"/>
                <w:bCs w:val="false"/>
                <w:color w:val="000000"/>
                <w:sz w:val="19"/>
                <w:szCs w:val="19"/>
              </w:rPr>
              <w:t xml:space="preserve">Vantage Foods Processing Pvt. Ltd., Bibinagar, Yadadri-Bhuvanagiri District</w:t>
            </w:r>
          </w:p>
        </w:tc>
      </w:tr>
      <w:tr>
        <w:tc>
          <w:tcPr>
            <w:tcW w:type="dxa" w:w="2800"/>
            <w:shd w:fill="6B3E1F" w:color="auto" w:val="clear"/>
            <w:tcMar>
              <w:top w:type="dxa" w:w="70"/>
              <w:left w:type="dxa" w:w="90"/>
              <w:bottom w:type="dxa" w:w="70"/>
              <w:right w:type="dxa" w:w="90"/>
            </w:tcMar>
          </w:tcPr>
          <w:p>
            <w:r>
              <w:rPr>
                <w:b/>
                <w:bCs/>
                <w:color w:val="FFFFFF"/>
                <w:sz w:val="19"/>
                <w:szCs w:val="19"/>
              </w:rPr>
              <w:t xml:space="preserve">Facility Type</w:t>
            </w:r>
          </w:p>
        </w:tc>
        <w:tc>
          <w:tcPr>
            <w:tcW w:type="dxa" w:w="7000"/>
            <w:tcMar>
              <w:top w:type="dxa" w:w="70"/>
              <w:left w:type="dxa" w:w="90"/>
              <w:bottom w:type="dxa" w:w="70"/>
              <w:right w:type="dxa" w:w="90"/>
            </w:tcMar>
          </w:tcPr>
          <w:p>
            <w:r>
              <w:rPr>
                <w:b w:val="false"/>
                <w:bCs w:val="false"/>
                <w:color w:val="000000"/>
                <w:sz w:val="19"/>
                <w:szCs w:val="19"/>
              </w:rPr>
              <w:t xml:space="preserve">Term Loan for purchase of food processing and cold storage machinery</w:t>
            </w:r>
          </w:p>
        </w:tc>
      </w:tr>
      <w:tr>
        <w:tc>
          <w:tcPr>
            <w:tcW w:type="dxa" w:w="2800"/>
            <w:shd w:fill="6B3E1F" w:color="auto" w:val="clear"/>
            <w:tcMar>
              <w:top w:type="dxa" w:w="70"/>
              <w:left w:type="dxa" w:w="90"/>
              <w:bottom w:type="dxa" w:w="70"/>
              <w:right w:type="dxa" w:w="90"/>
            </w:tcMar>
          </w:tcPr>
          <w:p>
            <w:r>
              <w:rPr>
                <w:b/>
                <w:bCs/>
                <w:color w:val="FFFFFF"/>
                <w:sz w:val="19"/>
                <w:szCs w:val="19"/>
              </w:rPr>
              <w:t xml:space="preserve">Account No.</w:t>
            </w:r>
          </w:p>
        </w:tc>
        <w:tc>
          <w:tcPr>
            <w:tcW w:type="dxa" w:w="7000"/>
            <w:tcMar>
              <w:top w:type="dxa" w:w="70"/>
              <w:left w:type="dxa" w:w="90"/>
              <w:bottom w:type="dxa" w:w="70"/>
              <w:right w:type="dxa" w:w="90"/>
            </w:tcMar>
          </w:tcPr>
          <w:p>
            <w:r>
              <w:rPr>
                <w:b w:val="false"/>
                <w:bCs w:val="false"/>
                <w:color w:val="000000"/>
                <w:sz w:val="19"/>
                <w:szCs w:val="19"/>
              </w:rPr>
              <w:t xml:space="preserve">TL/2022/0954</w:t>
            </w:r>
          </w:p>
        </w:tc>
      </w:tr>
      <w:tr>
        <w:tc>
          <w:tcPr>
            <w:tcW w:type="dxa" w:w="2800"/>
            <w:shd w:fill="6B3E1F" w:color="auto" w:val="clear"/>
            <w:tcMar>
              <w:top w:type="dxa" w:w="70"/>
              <w:left w:type="dxa" w:w="90"/>
              <w:bottom w:type="dxa" w:w="70"/>
              <w:right w:type="dxa" w:w="90"/>
            </w:tcMar>
          </w:tcPr>
          <w:p>
            <w:r>
              <w:rPr>
                <w:b/>
                <w:bCs/>
                <w:color w:val="FFFFFF"/>
                <w:sz w:val="19"/>
                <w:szCs w:val="19"/>
              </w:rPr>
              <w:t xml:space="preserve">Original Sanctioned Amount</w:t>
            </w:r>
          </w:p>
        </w:tc>
        <w:tc>
          <w:tcPr>
            <w:tcW w:type="dxa" w:w="7000"/>
            <w:tcMar>
              <w:top w:type="dxa" w:w="70"/>
              <w:left w:type="dxa" w:w="90"/>
              <w:bottom w:type="dxa" w:w="70"/>
              <w:right w:type="dxa" w:w="90"/>
            </w:tcMar>
          </w:tcPr>
          <w:p>
            <w:r>
              <w:rPr>
                <w:b w:val="false"/>
                <w:bCs w:val="false"/>
                <w:color w:val="000000"/>
                <w:sz w:val="19"/>
                <w:szCs w:val="19"/>
              </w:rPr>
              <w:t xml:space="preserve">₹9,20,00,000</w:t>
            </w:r>
          </w:p>
        </w:tc>
      </w:tr>
      <w:tr>
        <w:tc>
          <w:tcPr>
            <w:tcW w:type="dxa" w:w="2800"/>
            <w:shd w:fill="6B3E1F" w:color="auto" w:val="clear"/>
            <w:tcMar>
              <w:top w:type="dxa" w:w="70"/>
              <w:left w:type="dxa" w:w="90"/>
              <w:bottom w:type="dxa" w:w="70"/>
              <w:right w:type="dxa" w:w="90"/>
            </w:tcMar>
          </w:tcPr>
          <w:p>
            <w:r>
              <w:rPr>
                <w:b/>
                <w:bCs/>
                <w:color w:val="FFFFFF"/>
                <w:sz w:val="19"/>
                <w:szCs w:val="19"/>
              </w:rPr>
              <w:t xml:space="preserve">Disbursement Date</w:t>
            </w:r>
          </w:p>
        </w:tc>
        <w:tc>
          <w:tcPr>
            <w:tcW w:type="dxa" w:w="7000"/>
            <w:tcMar>
              <w:top w:type="dxa" w:w="70"/>
              <w:left w:type="dxa" w:w="90"/>
              <w:bottom w:type="dxa" w:w="70"/>
              <w:right w:type="dxa" w:w="90"/>
            </w:tcMar>
          </w:tcPr>
          <w:p>
            <w:r>
              <w:rPr>
                <w:b w:val="false"/>
                <w:bCs w:val="false"/>
                <w:color w:val="000000"/>
                <w:sz w:val="19"/>
                <w:szCs w:val="19"/>
              </w:rPr>
              <w:t xml:space="preserve">Fully disbursed by 12 September 2022</w:t>
            </w:r>
          </w:p>
        </w:tc>
      </w:tr>
      <w:tr>
        <w:tc>
          <w:tcPr>
            <w:tcW w:type="dxa" w:w="2800"/>
            <w:shd w:fill="6B3E1F" w:color="auto" w:val="clear"/>
            <w:tcMar>
              <w:top w:type="dxa" w:w="70"/>
              <w:left w:type="dxa" w:w="90"/>
              <w:bottom w:type="dxa" w:w="70"/>
              <w:right w:type="dxa" w:w="90"/>
            </w:tcMar>
          </w:tcPr>
          <w:p>
            <w:r>
              <w:rPr>
                <w:b/>
                <w:bCs/>
                <w:color w:val="FFFFFF"/>
                <w:sz w:val="19"/>
                <w:szCs w:val="19"/>
              </w:rPr>
              <w:t xml:space="preserve">Tenor</w:t>
            </w:r>
          </w:p>
        </w:tc>
        <w:tc>
          <w:tcPr>
            <w:tcW w:type="dxa" w:w="7000"/>
            <w:tcMar>
              <w:top w:type="dxa" w:w="70"/>
              <w:left w:type="dxa" w:w="90"/>
              <w:bottom w:type="dxa" w:w="70"/>
              <w:right w:type="dxa" w:w="90"/>
            </w:tcMar>
          </w:tcPr>
          <w:p>
            <w:r>
              <w:rPr>
                <w:b w:val="false"/>
                <w:bCs w:val="false"/>
                <w:color w:val="000000"/>
                <w:sz w:val="19"/>
                <w:szCs w:val="19"/>
              </w:rPr>
              <w:t xml:space="preserve">84 months, including 6-month moratorium</w:t>
            </w:r>
          </w:p>
        </w:tc>
      </w:tr>
      <w:tr>
        <w:tc>
          <w:tcPr>
            <w:tcW w:type="dxa" w:w="2800"/>
            <w:shd w:fill="6B3E1F" w:color="auto" w:val="clear"/>
            <w:tcMar>
              <w:top w:type="dxa" w:w="70"/>
              <w:left w:type="dxa" w:w="90"/>
              <w:bottom w:type="dxa" w:w="70"/>
              <w:right w:type="dxa" w:w="90"/>
            </w:tcMar>
          </w:tcPr>
          <w:p>
            <w:r>
              <w:rPr>
                <w:b/>
                <w:bCs/>
                <w:color w:val="FFFFFF"/>
                <w:sz w:val="19"/>
                <w:szCs w:val="19"/>
              </w:rPr>
              <w:t xml:space="preserve">Current Outstanding (as of 31 Jul 2025)</w:t>
            </w:r>
          </w:p>
        </w:tc>
        <w:tc>
          <w:tcPr>
            <w:tcW w:type="dxa" w:w="7000"/>
            <w:tcMar>
              <w:top w:type="dxa" w:w="70"/>
              <w:left w:type="dxa" w:w="90"/>
              <w:bottom w:type="dxa" w:w="70"/>
              <w:right w:type="dxa" w:w="90"/>
            </w:tcMar>
          </w:tcPr>
          <w:p>
            <w:r>
              <w:rPr>
                <w:b w:val="false"/>
                <w:bCs w:val="false"/>
                <w:color w:val="000000"/>
                <w:sz w:val="19"/>
                <w:szCs w:val="19"/>
              </w:rPr>
              <w:t xml:space="preserve">₹6,15,40,000</w:t>
            </w:r>
          </w:p>
        </w:tc>
      </w:tr>
      <w:tr>
        <w:tc>
          <w:tcPr>
            <w:tcW w:type="dxa" w:w="2800"/>
            <w:shd w:fill="6B3E1F" w:color="auto" w:val="clear"/>
            <w:tcMar>
              <w:top w:type="dxa" w:w="70"/>
              <w:left w:type="dxa" w:w="90"/>
              <w:bottom w:type="dxa" w:w="70"/>
              <w:right w:type="dxa" w:w="90"/>
            </w:tcMar>
          </w:tcPr>
          <w:p>
            <w:r>
              <w:rPr>
                <w:b/>
                <w:bCs/>
                <w:color w:val="FFFFFF"/>
                <w:sz w:val="19"/>
                <w:szCs w:val="19"/>
              </w:rPr>
              <w:t xml:space="preserve">Repayment</w:t>
            </w:r>
          </w:p>
        </w:tc>
        <w:tc>
          <w:tcPr>
            <w:tcW w:type="dxa" w:w="7000"/>
            <w:tcMar>
              <w:top w:type="dxa" w:w="70"/>
              <w:left w:type="dxa" w:w="90"/>
              <w:bottom w:type="dxa" w:w="70"/>
              <w:right w:type="dxa" w:w="90"/>
            </w:tcMar>
          </w:tcPr>
          <w:p>
            <w:r>
              <w:rPr>
                <w:b w:val="false"/>
                <w:bCs w:val="false"/>
                <w:color w:val="000000"/>
                <w:sz w:val="19"/>
                <w:szCs w:val="19"/>
              </w:rPr>
              <w:t xml:space="preserve">Structured quarterly installments (EMI-equivalent) as per amortization schedule</w:t>
            </w:r>
          </w:p>
        </w:tc>
      </w:tr>
      <w:tr>
        <w:tc>
          <w:tcPr>
            <w:tcW w:type="dxa" w:w="2800"/>
            <w:shd w:fill="6B3E1F" w:color="auto" w:val="clear"/>
            <w:tcMar>
              <w:top w:type="dxa" w:w="70"/>
              <w:left w:type="dxa" w:w="90"/>
              <w:bottom w:type="dxa" w:w="70"/>
              <w:right w:type="dxa" w:w="90"/>
            </w:tcMar>
          </w:tcPr>
          <w:p>
            <w:r>
              <w:rPr>
                <w:b/>
                <w:bCs/>
                <w:color w:val="FFFFFF"/>
                <w:sz w:val="19"/>
                <w:szCs w:val="19"/>
              </w:rPr>
              <w:t xml:space="preserve">Security</w:t>
            </w:r>
          </w:p>
        </w:tc>
        <w:tc>
          <w:tcPr>
            <w:tcW w:type="dxa" w:w="7000"/>
            <w:tcMar>
              <w:top w:type="dxa" w:w="70"/>
              <w:left w:type="dxa" w:w="90"/>
              <w:bottom w:type="dxa" w:w="70"/>
              <w:right w:type="dxa" w:w="90"/>
            </w:tcMar>
          </w:tcPr>
          <w:p>
            <w:r>
              <w:rPr>
                <w:b w:val="false"/>
                <w:bCs w:val="false"/>
                <w:color w:val="000000"/>
                <w:sz w:val="19"/>
                <w:szCs w:val="19"/>
              </w:rPr>
              <w:t xml:space="preserve">First charge on financed machinery; equitable mortgage of factory premises at Bibinagar; personal guarantee of promoter-director</w:t>
            </w:r>
          </w:p>
        </w:tc>
      </w:tr>
      <w:tr>
        <w:tc>
          <w:tcPr>
            <w:tcW w:type="dxa" w:w="2800"/>
            <w:shd w:fill="6B3E1F" w:color="auto" w:val="clear"/>
            <w:tcMar>
              <w:top w:type="dxa" w:w="70"/>
              <w:left w:type="dxa" w:w="90"/>
              <w:bottom w:type="dxa" w:w="70"/>
              <w:right w:type="dxa" w:w="90"/>
            </w:tcMar>
          </w:tcPr>
          <w:p>
            <w:r>
              <w:rPr>
                <w:b/>
                <w:bCs/>
                <w:color w:val="FFFFFF"/>
                <w:sz w:val="19"/>
                <w:szCs w:val="19"/>
              </w:rPr>
              <w:t xml:space="preserve">Relationship Manager</w:t>
            </w:r>
          </w:p>
        </w:tc>
        <w:tc>
          <w:tcPr>
            <w:tcW w:type="dxa" w:w="7000"/>
            <w:tcMar>
              <w:top w:type="dxa" w:w="70"/>
              <w:left w:type="dxa" w:w="90"/>
              <w:bottom w:type="dxa" w:w="70"/>
              <w:right w:type="dxa" w:w="90"/>
            </w:tcMar>
          </w:tcPr>
          <w:p>
            <w:r>
              <w:rPr>
                <w:b w:val="false"/>
                <w:bCs w:val="false"/>
                <w:color w:val="000000"/>
                <w:sz w:val="19"/>
                <w:szCs w:val="19"/>
              </w:rPr>
              <w:t xml:space="preserve">Ms. Aparna Chowdhury, Manager — Corporate Banking</w:t>
            </w:r>
          </w:p>
        </w:tc>
      </w:tr>
    </w:tbl>
    <w:p>
      <w:pPr>
        <w:pStyle w:val="Heading1"/>
        <w:spacing w:after="120" w:before="240"/>
      </w:pPr>
      <w:r>
        <w:t xml:space="preserve">2. Borrower Profile</w:t>
      </w:r>
    </w:p>
    <w:p>
      <w:pPr>
        <w:spacing w:after="160"/>
      </w:pPr>
      <w:r>
        <w:t xml:space="preserve">Vantage Foods Processing Pvt. Ltd. processes and packages frozen and ready-to-cook food products for retail and institutional buyers across South India. The term loan financed a capacity expansion, including a new cold storage unit and processing line, commissioned in phases through late 2022 and early 2023. The account was classified Standard until the covenant breach described below.</w:t>
      </w:r>
    </w:p>
    <w:p>
      <w:pPr>
        <w:pStyle w:val="Heading1"/>
        <w:spacing w:after="120" w:before="240"/>
      </w:pPr>
      <w:r>
        <w:t xml:space="preserve">3. Chronology of Covenant Monitoring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5800"/>
      </w:tblGrid>
      <w:tr>
        <w:tc>
          <w:tcPr>
            <w:tcW w:type="dxa" w:w="1500"/>
            <w:shd w:fill="6B3E1F" w:color="auto" w:val="clear"/>
            <w:tcMar>
              <w:top w:type="dxa" w:w="70"/>
              <w:left w:type="dxa" w:w="90"/>
              <w:bottom w:type="dxa" w:w="70"/>
              <w:right w:type="dxa" w:w="90"/>
            </w:tcMar>
          </w:tcPr>
          <w:p>
            <w:r>
              <w:rPr>
                <w:b/>
                <w:bCs/>
                <w:color w:val="FFFFFF"/>
                <w:sz w:val="19"/>
                <w:szCs w:val="19"/>
              </w:rPr>
              <w:t xml:space="preserve">Date</w:t>
            </w:r>
          </w:p>
        </w:tc>
        <w:tc>
          <w:tcPr>
            <w:tcW w:type="dxa" w:w="2600"/>
            <w:shd w:fill="6B3E1F" w:color="auto" w:val="clear"/>
            <w:tcMar>
              <w:top w:type="dxa" w:w="70"/>
              <w:left w:type="dxa" w:w="90"/>
              <w:bottom w:type="dxa" w:w="70"/>
              <w:right w:type="dxa" w:w="90"/>
            </w:tcMar>
          </w:tcPr>
          <w:p>
            <w:r>
              <w:rPr>
                <w:b/>
                <w:bCs/>
                <w:color w:val="FFFFFF"/>
                <w:sz w:val="19"/>
                <w:szCs w:val="19"/>
              </w:rPr>
              <w:t xml:space="preserve">Event</w:t>
            </w:r>
          </w:p>
        </w:tc>
        <w:tc>
          <w:tcPr>
            <w:tcW w:type="dxa" w:w="5800"/>
            <w:shd w:fill="6B3E1F" w:color="auto" w:val="clear"/>
            <w:tcMar>
              <w:top w:type="dxa" w:w="70"/>
              <w:left w:type="dxa" w:w="90"/>
              <w:bottom w:type="dxa" w:w="70"/>
              <w:right w:type="dxa" w:w="90"/>
            </w:tcMar>
          </w:tcPr>
          <w:p>
            <w:r>
              <w:rPr>
                <w:b/>
                <w:bCs/>
                <w:color w:val="FFFFFF"/>
                <w:sz w:val="19"/>
                <w:szCs w:val="19"/>
              </w:rPr>
              <w:t xml:space="preserve">Notes</w:t>
            </w:r>
          </w:p>
        </w:tc>
      </w:tr>
      <w:tr>
        <w:tc>
          <w:tcPr>
            <w:tcW w:type="dxa" w:w="1500"/>
            <w:tcMar>
              <w:top w:type="dxa" w:w="70"/>
              <w:left w:type="dxa" w:w="90"/>
              <w:bottom w:type="dxa" w:w="70"/>
              <w:right w:type="dxa" w:w="90"/>
            </w:tcMar>
          </w:tcPr>
          <w:p>
            <w:r>
              <w:rPr>
                <w:b w:val="false"/>
                <w:bCs w:val="false"/>
                <w:color w:val="000000"/>
                <w:sz w:val="19"/>
                <w:szCs w:val="19"/>
              </w:rPr>
              <w:t xml:space="preserve">12 Sep 2022</w:t>
            </w:r>
          </w:p>
        </w:tc>
        <w:tc>
          <w:tcPr>
            <w:tcW w:type="dxa" w:w="2600"/>
            <w:tcMar>
              <w:top w:type="dxa" w:w="70"/>
              <w:left w:type="dxa" w:w="90"/>
              <w:bottom w:type="dxa" w:w="70"/>
              <w:right w:type="dxa" w:w="90"/>
            </w:tcMar>
          </w:tcPr>
          <w:p>
            <w:r>
              <w:rPr>
                <w:b w:val="false"/>
                <w:bCs w:val="false"/>
                <w:color w:val="000000"/>
                <w:sz w:val="19"/>
                <w:szCs w:val="19"/>
              </w:rPr>
              <w:t xml:space="preserve">Full disbursement completed</w:t>
            </w:r>
          </w:p>
        </w:tc>
        <w:tc>
          <w:tcPr>
            <w:tcW w:type="dxa" w:w="5800"/>
            <w:tcMar>
              <w:top w:type="dxa" w:w="70"/>
              <w:left w:type="dxa" w:w="90"/>
              <w:bottom w:type="dxa" w:w="70"/>
              <w:right w:type="dxa" w:w="90"/>
            </w:tcMar>
          </w:tcPr>
          <w:p>
            <w:r>
              <w:rPr>
                <w:b w:val="false"/>
                <w:bCs w:val="false"/>
                <w:color w:val="000000"/>
                <w:sz w:val="19"/>
                <w:szCs w:val="19"/>
              </w:rPr>
              <w:t xml:space="preserve">Machinery commissioning confirmed by bank's technical consultant</w:t>
            </w:r>
          </w:p>
        </w:tc>
      </w:tr>
      <w:tr>
        <w:tc>
          <w:tcPr>
            <w:tcW w:type="dxa" w:w="1500"/>
            <w:tcMar>
              <w:top w:type="dxa" w:w="70"/>
              <w:left w:type="dxa" w:w="90"/>
              <w:bottom w:type="dxa" w:w="70"/>
              <w:right w:type="dxa" w:w="90"/>
            </w:tcMar>
          </w:tcPr>
          <w:p>
            <w:r>
              <w:rPr>
                <w:b w:val="false"/>
                <w:bCs w:val="false"/>
                <w:color w:val="000000"/>
                <w:sz w:val="19"/>
                <w:szCs w:val="19"/>
              </w:rPr>
              <w:t xml:space="preserve">31 Mar 2023</w:t>
            </w:r>
          </w:p>
        </w:tc>
        <w:tc>
          <w:tcPr>
            <w:tcW w:type="dxa" w:w="2600"/>
            <w:tcMar>
              <w:top w:type="dxa" w:w="70"/>
              <w:left w:type="dxa" w:w="90"/>
              <w:bottom w:type="dxa" w:w="70"/>
              <w:right w:type="dxa" w:w="90"/>
            </w:tcMar>
          </w:tcPr>
          <w:p>
            <w:r>
              <w:rPr>
                <w:b w:val="false"/>
                <w:bCs w:val="false"/>
                <w:color w:val="000000"/>
                <w:sz w:val="19"/>
                <w:szCs w:val="19"/>
              </w:rPr>
              <w:t xml:space="preserve">First annual covenant review (FY23)</w:t>
            </w:r>
          </w:p>
        </w:tc>
        <w:tc>
          <w:tcPr>
            <w:tcW w:type="dxa" w:w="5800"/>
            <w:tcMar>
              <w:top w:type="dxa" w:w="70"/>
              <w:left w:type="dxa" w:w="90"/>
              <w:bottom w:type="dxa" w:w="70"/>
              <w:right w:type="dxa" w:w="90"/>
            </w:tcMar>
          </w:tcPr>
          <w:p>
            <w:r>
              <w:rPr>
                <w:b w:val="false"/>
                <w:bCs w:val="false"/>
                <w:color w:val="000000"/>
                <w:sz w:val="19"/>
                <w:szCs w:val="19"/>
              </w:rPr>
              <w:t xml:space="preserve">All covenants compliant; DSCR at 1.38 against minimum 1.20</w:t>
            </w:r>
          </w:p>
        </w:tc>
      </w:tr>
      <w:tr>
        <w:tc>
          <w:tcPr>
            <w:tcW w:type="dxa" w:w="1500"/>
            <w:tcMar>
              <w:top w:type="dxa" w:w="70"/>
              <w:left w:type="dxa" w:w="90"/>
              <w:bottom w:type="dxa" w:w="70"/>
              <w:right w:type="dxa" w:w="90"/>
            </w:tcMar>
          </w:tcPr>
          <w:p>
            <w:r>
              <w:rPr>
                <w:b w:val="false"/>
                <w:bCs w:val="false"/>
                <w:color w:val="000000"/>
                <w:sz w:val="19"/>
                <w:szCs w:val="19"/>
              </w:rPr>
              <w:t xml:space="preserve">31 Mar 2024</w:t>
            </w:r>
          </w:p>
        </w:tc>
        <w:tc>
          <w:tcPr>
            <w:tcW w:type="dxa" w:w="2600"/>
            <w:tcMar>
              <w:top w:type="dxa" w:w="70"/>
              <w:left w:type="dxa" w:w="90"/>
              <w:bottom w:type="dxa" w:w="70"/>
              <w:right w:type="dxa" w:w="90"/>
            </w:tcMar>
          </w:tcPr>
          <w:p>
            <w:r>
              <w:rPr>
                <w:b w:val="false"/>
                <w:bCs w:val="false"/>
                <w:color w:val="000000"/>
                <w:sz w:val="19"/>
                <w:szCs w:val="19"/>
              </w:rPr>
              <w:t xml:space="preserve">Second annual covenant review (FY24)</w:t>
            </w:r>
          </w:p>
        </w:tc>
        <w:tc>
          <w:tcPr>
            <w:tcW w:type="dxa" w:w="5800"/>
            <w:tcMar>
              <w:top w:type="dxa" w:w="70"/>
              <w:left w:type="dxa" w:w="90"/>
              <w:bottom w:type="dxa" w:w="70"/>
              <w:right w:type="dxa" w:w="90"/>
            </w:tcMar>
          </w:tcPr>
          <w:p>
            <w:r>
              <w:rPr>
                <w:b w:val="false"/>
                <w:bCs w:val="false"/>
                <w:color w:val="000000"/>
                <w:sz w:val="19"/>
                <w:szCs w:val="19"/>
              </w:rPr>
              <w:t xml:space="preserve">DSCR moderated to 1.24, still compliant; noted as a trend to monitor</w:t>
            </w:r>
          </w:p>
        </w:tc>
      </w:tr>
      <w:tr>
        <w:tc>
          <w:tcPr>
            <w:tcW w:type="dxa" w:w="1500"/>
            <w:tcMar>
              <w:top w:type="dxa" w:w="70"/>
              <w:left w:type="dxa" w:w="90"/>
              <w:bottom w:type="dxa" w:w="70"/>
              <w:right w:type="dxa" w:w="90"/>
            </w:tcMar>
          </w:tcPr>
          <w:p>
            <w:r>
              <w:rPr>
                <w:b w:val="false"/>
                <w:bCs w:val="false"/>
                <w:color w:val="000000"/>
                <w:sz w:val="19"/>
                <w:szCs w:val="19"/>
              </w:rPr>
              <w:t xml:space="preserve">15 Nov 2024</w:t>
            </w:r>
          </w:p>
        </w:tc>
        <w:tc>
          <w:tcPr>
            <w:tcW w:type="dxa" w:w="2600"/>
            <w:tcMar>
              <w:top w:type="dxa" w:w="70"/>
              <w:left w:type="dxa" w:w="90"/>
              <w:bottom w:type="dxa" w:w="70"/>
              <w:right w:type="dxa" w:w="90"/>
            </w:tcMar>
          </w:tcPr>
          <w:p>
            <w:r>
              <w:rPr>
                <w:b w:val="false"/>
                <w:bCs w:val="false"/>
                <w:color w:val="000000"/>
                <w:sz w:val="19"/>
                <w:szCs w:val="19"/>
              </w:rPr>
              <w:t xml:space="preserve">Interim financial review triggered</w:t>
            </w:r>
          </w:p>
        </w:tc>
        <w:tc>
          <w:tcPr>
            <w:tcW w:type="dxa" w:w="5800"/>
            <w:tcMar>
              <w:top w:type="dxa" w:w="70"/>
              <w:left w:type="dxa" w:w="90"/>
              <w:bottom w:type="dxa" w:w="70"/>
              <w:right w:type="dxa" w:w="90"/>
            </w:tcMar>
          </w:tcPr>
          <w:p>
            <w:r>
              <w:rPr>
                <w:b w:val="false"/>
                <w:bCs w:val="false"/>
                <w:color w:val="000000"/>
                <w:sz w:val="19"/>
                <w:szCs w:val="19"/>
              </w:rPr>
              <w:t xml:space="preserve">Borrower reported raw material cost inflation impacting margins; requested informal discussion</w:t>
            </w:r>
          </w:p>
        </w:tc>
      </w:tr>
      <w:tr>
        <w:tc>
          <w:tcPr>
            <w:tcW w:type="dxa" w:w="1500"/>
            <w:tcMar>
              <w:top w:type="dxa" w:w="70"/>
              <w:left w:type="dxa" w:w="90"/>
              <w:bottom w:type="dxa" w:w="70"/>
              <w:right w:type="dxa" w:w="90"/>
            </w:tcMar>
          </w:tcPr>
          <w:p>
            <w:r>
              <w:rPr>
                <w:b w:val="false"/>
                <w:bCs w:val="false"/>
                <w:color w:val="000000"/>
                <w:sz w:val="19"/>
                <w:szCs w:val="19"/>
              </w:rPr>
              <w:t xml:space="preserve">31 Mar 2025</w:t>
            </w:r>
          </w:p>
        </w:tc>
        <w:tc>
          <w:tcPr>
            <w:tcW w:type="dxa" w:w="2600"/>
            <w:tcMar>
              <w:top w:type="dxa" w:w="70"/>
              <w:left w:type="dxa" w:w="90"/>
              <w:bottom w:type="dxa" w:w="70"/>
              <w:right w:type="dxa" w:w="90"/>
            </w:tcMar>
          </w:tcPr>
          <w:p>
            <w:r>
              <w:rPr>
                <w:b w:val="false"/>
                <w:bCs w:val="false"/>
                <w:color w:val="000000"/>
                <w:sz w:val="19"/>
                <w:szCs w:val="19"/>
              </w:rPr>
              <w:t xml:space="preserve">Third annual covenant review (FY25)</w:t>
            </w:r>
          </w:p>
        </w:tc>
        <w:tc>
          <w:tcPr>
            <w:tcW w:type="dxa" w:w="5800"/>
            <w:tcMar>
              <w:top w:type="dxa" w:w="70"/>
              <w:left w:type="dxa" w:w="90"/>
              <w:bottom w:type="dxa" w:w="70"/>
              <w:right w:type="dxa" w:w="90"/>
            </w:tcMar>
          </w:tcPr>
          <w:p>
            <w:r>
              <w:rPr>
                <w:b w:val="false"/>
                <w:bCs w:val="false"/>
                <w:color w:val="000000"/>
                <w:sz w:val="19"/>
                <w:szCs w:val="19"/>
              </w:rPr>
              <w:t xml:space="preserve">DSCR computed at 1.09, below the minimum threshold of 1.20 — covenant breach identified</w:t>
            </w:r>
          </w:p>
        </w:tc>
      </w:tr>
      <w:tr>
        <w:tc>
          <w:tcPr>
            <w:tcW w:type="dxa" w:w="1500"/>
            <w:tcMar>
              <w:top w:type="dxa" w:w="70"/>
              <w:left w:type="dxa" w:w="90"/>
              <w:bottom w:type="dxa" w:w="70"/>
              <w:right w:type="dxa" w:w="90"/>
            </w:tcMar>
          </w:tcPr>
          <w:p>
            <w:r>
              <w:rPr>
                <w:b w:val="false"/>
                <w:bCs w:val="false"/>
                <w:color w:val="000000"/>
                <w:sz w:val="19"/>
                <w:szCs w:val="19"/>
              </w:rPr>
              <w:t xml:space="preserve">10 Apr 2025</w:t>
            </w:r>
          </w:p>
        </w:tc>
        <w:tc>
          <w:tcPr>
            <w:tcW w:type="dxa" w:w="2600"/>
            <w:tcMar>
              <w:top w:type="dxa" w:w="70"/>
              <w:left w:type="dxa" w:w="90"/>
              <w:bottom w:type="dxa" w:w="70"/>
              <w:right w:type="dxa" w:w="90"/>
            </w:tcMar>
          </w:tcPr>
          <w:p>
            <w:r>
              <w:rPr>
                <w:b w:val="false"/>
                <w:bCs w:val="false"/>
                <w:color w:val="000000"/>
                <w:sz w:val="19"/>
                <w:szCs w:val="19"/>
              </w:rPr>
              <w:t xml:space="preserve">Breach notification issued to borrower</w:t>
            </w:r>
          </w:p>
        </w:tc>
        <w:tc>
          <w:tcPr>
            <w:tcW w:type="dxa" w:w="5800"/>
            <w:tcMar>
              <w:top w:type="dxa" w:w="70"/>
              <w:left w:type="dxa" w:w="90"/>
              <w:bottom w:type="dxa" w:w="70"/>
              <w:right w:type="dxa" w:w="90"/>
            </w:tcMar>
          </w:tcPr>
          <w:p>
            <w:r>
              <w:rPr>
                <w:b w:val="false"/>
                <w:bCs w:val="false"/>
                <w:color w:val="000000"/>
                <w:sz w:val="19"/>
                <w:szCs w:val="19"/>
              </w:rPr>
              <w:t xml:space="preserve">Formal letter citing DSCR breach; borrower asked to submit corrective action plan within 30 days</w:t>
            </w:r>
          </w:p>
        </w:tc>
      </w:tr>
      <w:tr>
        <w:tc>
          <w:tcPr>
            <w:tcW w:type="dxa" w:w="1500"/>
            <w:tcMar>
              <w:top w:type="dxa" w:w="70"/>
              <w:left w:type="dxa" w:w="90"/>
              <w:bottom w:type="dxa" w:w="70"/>
              <w:right w:type="dxa" w:w="90"/>
            </w:tcMar>
          </w:tcPr>
          <w:p>
            <w:r>
              <w:rPr>
                <w:b w:val="false"/>
                <w:bCs w:val="false"/>
                <w:color w:val="000000"/>
                <w:sz w:val="19"/>
                <w:szCs w:val="19"/>
              </w:rPr>
              <w:t xml:space="preserve">28 Apr 2025</w:t>
            </w:r>
          </w:p>
        </w:tc>
        <w:tc>
          <w:tcPr>
            <w:tcW w:type="dxa" w:w="2600"/>
            <w:tcMar>
              <w:top w:type="dxa" w:w="70"/>
              <w:left w:type="dxa" w:w="90"/>
              <w:bottom w:type="dxa" w:w="70"/>
              <w:right w:type="dxa" w:w="90"/>
            </w:tcMar>
          </w:tcPr>
          <w:p>
            <w:r>
              <w:rPr>
                <w:b w:val="false"/>
                <w:bCs w:val="false"/>
                <w:color w:val="000000"/>
                <w:sz w:val="19"/>
                <w:szCs w:val="19"/>
              </w:rPr>
              <w:t xml:space="preserve">Account flagged on internal watchlist</w:t>
            </w:r>
          </w:p>
        </w:tc>
        <w:tc>
          <w:tcPr>
            <w:tcW w:type="dxa" w:w="5800"/>
            <w:tcMar>
              <w:top w:type="dxa" w:w="70"/>
              <w:left w:type="dxa" w:w="90"/>
              <w:bottom w:type="dxa" w:w="70"/>
              <w:right w:type="dxa" w:w="90"/>
            </w:tcMar>
          </w:tcPr>
          <w:p>
            <w:r>
              <w:rPr>
                <w:b w:val="false"/>
                <w:bCs w:val="false"/>
                <w:color w:val="000000"/>
                <w:sz w:val="19"/>
                <w:szCs w:val="19"/>
              </w:rPr>
              <w:t xml:space="preserve">Classified as Special Mention Account category SMA-0 (no repayment default, but covenant breach flagged)</w:t>
            </w:r>
          </w:p>
        </w:tc>
      </w:tr>
      <w:tr>
        <w:tc>
          <w:tcPr>
            <w:tcW w:type="dxa" w:w="1500"/>
            <w:tcMar>
              <w:top w:type="dxa" w:w="70"/>
              <w:left w:type="dxa" w:w="90"/>
              <w:bottom w:type="dxa" w:w="70"/>
              <w:right w:type="dxa" w:w="90"/>
            </w:tcMar>
          </w:tcPr>
          <w:p>
            <w:r>
              <w:rPr>
                <w:b w:val="false"/>
                <w:bCs w:val="false"/>
                <w:color w:val="000000"/>
                <w:sz w:val="19"/>
                <w:szCs w:val="19"/>
              </w:rPr>
              <w:t xml:space="preserve">9 May 2025</w:t>
            </w:r>
          </w:p>
        </w:tc>
        <w:tc>
          <w:tcPr>
            <w:tcW w:type="dxa" w:w="2600"/>
            <w:tcMar>
              <w:top w:type="dxa" w:w="70"/>
              <w:left w:type="dxa" w:w="90"/>
              <w:bottom w:type="dxa" w:w="70"/>
              <w:right w:type="dxa" w:w="90"/>
            </w:tcMar>
          </w:tcPr>
          <w:p>
            <w:r>
              <w:rPr>
                <w:b w:val="false"/>
                <w:bCs w:val="false"/>
                <w:color w:val="000000"/>
                <w:sz w:val="19"/>
                <w:szCs w:val="19"/>
              </w:rPr>
              <w:t xml:space="preserve">Borrower's corrective action plan received</w:t>
            </w:r>
          </w:p>
        </w:tc>
        <w:tc>
          <w:tcPr>
            <w:tcW w:type="dxa" w:w="5800"/>
            <w:tcMar>
              <w:top w:type="dxa" w:w="70"/>
              <w:left w:type="dxa" w:w="90"/>
              <w:bottom w:type="dxa" w:w="70"/>
              <w:right w:type="dxa" w:w="90"/>
            </w:tcMar>
          </w:tcPr>
          <w:p>
            <w:r>
              <w:rPr>
                <w:b w:val="false"/>
                <w:bCs w:val="false"/>
                <w:color w:val="000000"/>
                <w:sz w:val="19"/>
                <w:szCs w:val="19"/>
              </w:rPr>
              <w:t xml:space="preserve">Proposes cost optimization measures and a temporary working capital top-up from internal accruals; under bank review</w:t>
            </w:r>
          </w:p>
        </w:tc>
      </w:tr>
      <w:tr>
        <w:tc>
          <w:tcPr>
            <w:tcW w:type="dxa" w:w="1500"/>
            <w:tcMar>
              <w:top w:type="dxa" w:w="70"/>
              <w:left w:type="dxa" w:w="90"/>
              <w:bottom w:type="dxa" w:w="70"/>
              <w:right w:type="dxa" w:w="90"/>
            </w:tcMar>
          </w:tcPr>
          <w:p>
            <w:r>
              <w:rPr>
                <w:b w:val="false"/>
                <w:bCs w:val="false"/>
                <w:color w:val="000000"/>
                <w:sz w:val="19"/>
                <w:szCs w:val="19"/>
              </w:rPr>
              <w:t xml:space="preserve">20 Jun 2025</w:t>
            </w:r>
          </w:p>
        </w:tc>
        <w:tc>
          <w:tcPr>
            <w:tcW w:type="dxa" w:w="2600"/>
            <w:tcMar>
              <w:top w:type="dxa" w:w="70"/>
              <w:left w:type="dxa" w:w="90"/>
              <w:bottom w:type="dxa" w:w="70"/>
              <w:right w:type="dxa" w:w="90"/>
            </w:tcMar>
          </w:tcPr>
          <w:p>
            <w:r>
              <w:rPr>
                <w:b w:val="false"/>
                <w:bCs w:val="false"/>
                <w:color w:val="000000"/>
                <w:sz w:val="19"/>
                <w:szCs w:val="19"/>
              </w:rPr>
              <w:t xml:space="preserve">Credit committee review of corrective action plan</w:t>
            </w:r>
          </w:p>
        </w:tc>
        <w:tc>
          <w:tcPr>
            <w:tcW w:type="dxa" w:w="5800"/>
            <w:tcMar>
              <w:top w:type="dxa" w:w="70"/>
              <w:left w:type="dxa" w:w="90"/>
              <w:bottom w:type="dxa" w:w="70"/>
              <w:right w:type="dxa" w:w="90"/>
            </w:tcMar>
          </w:tcPr>
          <w:p>
            <w:r>
              <w:rPr>
                <w:b w:val="false"/>
                <w:bCs w:val="false"/>
                <w:color w:val="000000"/>
                <w:sz w:val="19"/>
                <w:szCs w:val="19"/>
              </w:rPr>
              <w:t xml:space="preserve">Plan accepted in principle; borrower to submit quarterly progress updates for next two quarters</w:t>
            </w:r>
          </w:p>
        </w:tc>
      </w:tr>
    </w:tbl>
    <w:p>
      <w:pPr>
        <w:pStyle w:val="Heading1"/>
        <w:spacing w:after="120" w:before="240"/>
      </w:pPr>
      <w:r>
        <w:t xml:space="preserve">4. Documents on Record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6B3E1F" w:color="auto" w:val="clear"/>
            <w:tcMar>
              <w:top w:type="dxa" w:w="70"/>
              <w:left w:type="dxa" w:w="90"/>
              <w:bottom w:type="dxa" w:w="70"/>
              <w:right w:type="dxa" w:w="90"/>
            </w:tcMar>
          </w:tcPr>
          <w:p>
            <w:r>
              <w:rPr>
                <w:b/>
                <w:bCs/>
                <w:color w:val="FFFFFF"/>
                <w:sz w:val="19"/>
                <w:szCs w:val="19"/>
              </w:rPr>
              <w:t xml:space="preserve">Document</w:t>
            </w:r>
          </w:p>
        </w:tc>
        <w:tc>
          <w:tcPr>
            <w:tcW w:type="dxa" w:w="3600"/>
            <w:shd w:fill="6B3E1F" w:color="auto" w:val="clear"/>
            <w:tcMar>
              <w:top w:type="dxa" w:w="70"/>
              <w:left w:type="dxa" w:w="90"/>
              <w:bottom w:type="dxa" w:w="70"/>
              <w:right w:type="dxa" w:w="90"/>
            </w:tcMar>
          </w:tcPr>
          <w:p>
            <w:r>
              <w:rPr>
                <w:b/>
                <w:bCs/>
                <w:color w:val="FFFFFF"/>
                <w:sz w:val="19"/>
                <w:szCs w:val="19"/>
              </w:rPr>
              <w:t xml:space="preserve">Description</w:t>
            </w:r>
          </w:p>
        </w:tc>
        <w:tc>
          <w:tcPr>
            <w:tcW w:type="dxa" w:w="4800"/>
            <w:shd w:fill="6B3E1F" w:color="auto" w:val="clear"/>
            <w:tcMar>
              <w:top w:type="dxa" w:w="70"/>
              <w:left w:type="dxa" w:w="90"/>
              <w:bottom w:type="dxa" w:w="70"/>
              <w:right w:type="dxa" w:w="90"/>
            </w:tcMar>
          </w:tcPr>
          <w:p>
            <w:r>
              <w:rPr>
                <w:b/>
                <w:bCs/>
                <w:color w:val="FFFFFF"/>
                <w:sz w:val="19"/>
                <w:szCs w:val="19"/>
              </w:rPr>
              <w:t xml:space="preserve">Status</w:t>
            </w:r>
          </w:p>
        </w:tc>
      </w:tr>
      <w:tr>
        <w:tc>
          <w:tcPr>
            <w:tcW w:type="dxa" w:w="1400"/>
            <w:tcMar>
              <w:top w:type="dxa" w:w="70"/>
              <w:left w:type="dxa" w:w="90"/>
              <w:bottom w:type="dxa" w:w="70"/>
              <w:right w:type="dxa" w:w="90"/>
            </w:tcMar>
          </w:tcPr>
          <w:p>
            <w:r>
              <w:rPr>
                <w:b w:val="false"/>
                <w:bCs w:val="false"/>
                <w:color w:val="000000"/>
                <w:sz w:val="19"/>
                <w:szCs w:val="19"/>
              </w:rPr>
              <w:t xml:space="preserve">Loan agreement and sanction letter</w:t>
            </w:r>
          </w:p>
        </w:tc>
        <w:tc>
          <w:tcPr>
            <w:tcW w:type="dxa" w:w="3600"/>
            <w:tcMar>
              <w:top w:type="dxa" w:w="70"/>
              <w:left w:type="dxa" w:w="90"/>
              <w:bottom w:type="dxa" w:w="70"/>
              <w:right w:type="dxa" w:w="90"/>
            </w:tcMar>
          </w:tcPr>
          <w:p>
            <w:r>
              <w:rPr>
                <w:b w:val="false"/>
                <w:bCs w:val="false"/>
                <w:color w:val="000000"/>
                <w:sz w:val="19"/>
                <w:szCs w:val="19"/>
              </w:rPr>
              <w:t xml:space="preserve">Dated 20 Jul 2022, original terms including covenant schedule</w:t>
            </w:r>
          </w:p>
        </w:tc>
        <w:tc>
          <w:tcPr>
            <w:tcW w:type="dxa" w:w="4800"/>
            <w:tcMar>
              <w:top w:type="dxa" w:w="70"/>
              <w:left w:type="dxa" w:w="90"/>
              <w:bottom w:type="dxa" w:w="70"/>
              <w:right w:type="dxa" w:w="90"/>
            </w:tcMar>
          </w:tcPr>
          <w:p>
            <w:r>
              <w:rPr>
                <w:b w:val="false"/>
                <w:bCs w:val="false"/>
                <w:color w:val="000000"/>
                <w:sz w:val="19"/>
                <w:szCs w:val="19"/>
              </w:rPr>
              <w:t xml:space="preserve">Executed and on file</w:t>
            </w:r>
          </w:p>
        </w:tc>
      </w:tr>
      <w:tr>
        <w:tc>
          <w:tcPr>
            <w:tcW w:type="dxa" w:w="1400"/>
            <w:tcMar>
              <w:top w:type="dxa" w:w="70"/>
              <w:left w:type="dxa" w:w="90"/>
              <w:bottom w:type="dxa" w:w="70"/>
              <w:right w:type="dxa" w:w="90"/>
            </w:tcMar>
          </w:tcPr>
          <w:p>
            <w:r>
              <w:rPr>
                <w:b w:val="false"/>
                <w:bCs w:val="false"/>
                <w:color w:val="000000"/>
                <w:sz w:val="19"/>
                <w:szCs w:val="19"/>
              </w:rPr>
              <w:t xml:space="preserve">Amortization schedule</w:t>
            </w:r>
          </w:p>
        </w:tc>
        <w:tc>
          <w:tcPr>
            <w:tcW w:type="dxa" w:w="3600"/>
            <w:tcMar>
              <w:top w:type="dxa" w:w="70"/>
              <w:left w:type="dxa" w:w="90"/>
              <w:bottom w:type="dxa" w:w="70"/>
              <w:right w:type="dxa" w:w="90"/>
            </w:tcMar>
          </w:tcPr>
          <w:p>
            <w:r>
              <w:rPr>
                <w:b w:val="false"/>
                <w:bCs w:val="false"/>
                <w:color w:val="000000"/>
                <w:sz w:val="19"/>
                <w:szCs w:val="19"/>
              </w:rPr>
              <w:t xml:space="preserve">Quarterly repayment schedule over 84-month tenor</w:t>
            </w:r>
          </w:p>
        </w:tc>
        <w:tc>
          <w:tcPr>
            <w:tcW w:type="dxa" w:w="4800"/>
            <w:tcMar>
              <w:top w:type="dxa" w:w="70"/>
              <w:left w:type="dxa" w:w="90"/>
              <w:bottom w:type="dxa" w:w="70"/>
              <w:right w:type="dxa" w:w="90"/>
            </w:tcMar>
          </w:tcPr>
          <w:p>
            <w:r>
              <w:rPr>
                <w:b w:val="false"/>
                <w:bCs w:val="false"/>
                <w:color w:val="000000"/>
                <w:sz w:val="19"/>
                <w:szCs w:val="19"/>
              </w:rPr>
              <w:t xml:space="preserve">On file; no rescheduling to date</w:t>
            </w:r>
          </w:p>
        </w:tc>
      </w:tr>
      <w:tr>
        <w:tc>
          <w:tcPr>
            <w:tcW w:type="dxa" w:w="1400"/>
            <w:tcMar>
              <w:top w:type="dxa" w:w="70"/>
              <w:left w:type="dxa" w:w="90"/>
              <w:bottom w:type="dxa" w:w="70"/>
              <w:right w:type="dxa" w:w="90"/>
            </w:tcMar>
          </w:tcPr>
          <w:p>
            <w:r>
              <w:rPr>
                <w:b w:val="false"/>
                <w:bCs w:val="false"/>
                <w:color w:val="000000"/>
                <w:sz w:val="19"/>
                <w:szCs w:val="19"/>
              </w:rPr>
              <w:t xml:space="preserve">Breach notification letter</w:t>
            </w:r>
          </w:p>
        </w:tc>
        <w:tc>
          <w:tcPr>
            <w:tcW w:type="dxa" w:w="3600"/>
            <w:tcMar>
              <w:top w:type="dxa" w:w="70"/>
              <w:left w:type="dxa" w:w="90"/>
              <w:bottom w:type="dxa" w:w="70"/>
              <w:right w:type="dxa" w:w="90"/>
            </w:tcMar>
          </w:tcPr>
          <w:p>
            <w:r>
              <w:rPr>
                <w:b w:val="false"/>
                <w:bCs w:val="false"/>
                <w:color w:val="000000"/>
                <w:sz w:val="19"/>
                <w:szCs w:val="19"/>
              </w:rPr>
              <w:t xml:space="preserve">Dated 10 Apr 2025</w:t>
            </w:r>
          </w:p>
        </w:tc>
        <w:tc>
          <w:tcPr>
            <w:tcW w:type="dxa" w:w="4800"/>
            <w:tcMar>
              <w:top w:type="dxa" w:w="70"/>
              <w:left w:type="dxa" w:w="90"/>
              <w:bottom w:type="dxa" w:w="70"/>
              <w:right w:type="dxa" w:w="90"/>
            </w:tcMar>
          </w:tcPr>
          <w:p>
            <w:r>
              <w:rPr>
                <w:b w:val="false"/>
                <w:bCs w:val="false"/>
                <w:color w:val="000000"/>
                <w:sz w:val="19"/>
                <w:szCs w:val="19"/>
              </w:rPr>
              <w:t xml:space="preserve">Issued and acknowledged by borrower on 14 Apr 2025</w:t>
            </w:r>
          </w:p>
        </w:tc>
      </w:tr>
      <w:tr>
        <w:tc>
          <w:tcPr>
            <w:tcW w:type="dxa" w:w="1400"/>
            <w:tcMar>
              <w:top w:type="dxa" w:w="70"/>
              <w:left w:type="dxa" w:w="90"/>
              <w:bottom w:type="dxa" w:w="70"/>
              <w:right w:type="dxa" w:w="90"/>
            </w:tcMar>
          </w:tcPr>
          <w:p>
            <w:r>
              <w:rPr>
                <w:b w:val="false"/>
                <w:bCs w:val="false"/>
                <w:color w:val="000000"/>
                <w:sz w:val="19"/>
                <w:szCs w:val="19"/>
              </w:rPr>
              <w:t xml:space="preserve">Corrective action plan</w:t>
            </w:r>
          </w:p>
        </w:tc>
        <w:tc>
          <w:tcPr>
            <w:tcW w:type="dxa" w:w="3600"/>
            <w:tcMar>
              <w:top w:type="dxa" w:w="70"/>
              <w:left w:type="dxa" w:w="90"/>
              <w:bottom w:type="dxa" w:w="70"/>
              <w:right w:type="dxa" w:w="90"/>
            </w:tcMar>
          </w:tcPr>
          <w:p>
            <w:r>
              <w:rPr>
                <w:b w:val="false"/>
                <w:bCs w:val="false"/>
                <w:color w:val="000000"/>
                <w:sz w:val="19"/>
                <w:szCs w:val="19"/>
              </w:rPr>
              <w:t xml:space="preserve">Submitted by borrower, dated 9 May 2025</w:t>
            </w:r>
          </w:p>
        </w:tc>
        <w:tc>
          <w:tcPr>
            <w:tcW w:type="dxa" w:w="4800"/>
            <w:tcMar>
              <w:top w:type="dxa" w:w="70"/>
              <w:left w:type="dxa" w:w="90"/>
              <w:bottom w:type="dxa" w:w="70"/>
              <w:right w:type="dxa" w:w="90"/>
            </w:tcMar>
          </w:tcPr>
          <w:p>
            <w:r>
              <w:rPr>
                <w:b w:val="false"/>
                <w:bCs w:val="false"/>
                <w:color w:val="000000"/>
                <w:sz w:val="19"/>
                <w:szCs w:val="19"/>
              </w:rPr>
              <w:t xml:space="preserve">Reviewed and accepted in principle by credit committee 20 Jun 2025</w:t>
            </w:r>
          </w:p>
        </w:tc>
      </w:tr>
      <w:tr>
        <w:tc>
          <w:tcPr>
            <w:tcW w:type="dxa" w:w="1400"/>
            <w:tcMar>
              <w:top w:type="dxa" w:w="70"/>
              <w:left w:type="dxa" w:w="90"/>
              <w:bottom w:type="dxa" w:w="70"/>
              <w:right w:type="dxa" w:w="90"/>
            </w:tcMar>
          </w:tcPr>
          <w:p>
            <w:r>
              <w:rPr>
                <w:b w:val="false"/>
                <w:bCs w:val="false"/>
                <w:color w:val="000000"/>
                <w:sz w:val="19"/>
                <w:szCs w:val="19"/>
              </w:rPr>
              <w:t xml:space="preserve">FY25 audited financials</w:t>
            </w:r>
          </w:p>
        </w:tc>
        <w:tc>
          <w:tcPr>
            <w:tcW w:type="dxa" w:w="3600"/>
            <w:tcMar>
              <w:top w:type="dxa" w:w="70"/>
              <w:left w:type="dxa" w:w="90"/>
              <w:bottom w:type="dxa" w:w="70"/>
              <w:right w:type="dxa" w:w="90"/>
            </w:tcMar>
          </w:tcPr>
          <w:p>
            <w:r>
              <w:rPr>
                <w:b w:val="false"/>
                <w:bCs w:val="false"/>
                <w:color w:val="000000"/>
                <w:sz w:val="19"/>
                <w:szCs w:val="19"/>
              </w:rPr>
              <w:t xml:space="preserve">Basis for DSCR breach computation</w:t>
            </w:r>
          </w:p>
        </w:tc>
        <w:tc>
          <w:tcPr>
            <w:tcW w:type="dxa" w:w="4800"/>
            <w:tcMar>
              <w:top w:type="dxa" w:w="70"/>
              <w:left w:type="dxa" w:w="90"/>
              <w:bottom w:type="dxa" w:w="70"/>
              <w:right w:type="dxa" w:w="90"/>
            </w:tcMar>
          </w:tcPr>
          <w:p>
            <w:r>
              <w:rPr>
                <w:b w:val="false"/>
                <w:bCs w:val="false"/>
                <w:color w:val="000000"/>
                <w:sz w:val="19"/>
                <w:szCs w:val="19"/>
              </w:rPr>
              <w:t xml:space="preserve">On file</w:t>
            </w:r>
          </w:p>
        </w:tc>
      </w:tr>
    </w:tbl>
    <w:p>
      <w:pPr>
        <w:pStyle w:val="Heading1"/>
        <w:spacing w:after="120" w:before="240"/>
      </w:pPr>
      <w:r>
        <w:t xml:space="preserve">5. Covenant Compliance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6B3E1F" w:color="auto" w:val="clear"/>
            <w:tcMar>
              <w:top w:type="dxa" w:w="70"/>
              <w:left w:type="dxa" w:w="90"/>
              <w:bottom w:type="dxa" w:w="70"/>
              <w:right w:type="dxa" w:w="90"/>
            </w:tcMar>
          </w:tcPr>
          <w:p>
            <w:r>
              <w:rPr>
                <w:b/>
                <w:bCs/>
                <w:color w:val="FFFFFF"/>
                <w:sz w:val="19"/>
                <w:szCs w:val="19"/>
              </w:rPr>
              <w:t xml:space="preserve">Covenant</w:t>
            </w:r>
          </w:p>
        </w:tc>
        <w:tc>
          <w:tcPr>
            <w:tcW w:type="dxa" w:w="3200"/>
            <w:shd w:fill="6B3E1F" w:color="auto" w:val="clear"/>
            <w:tcMar>
              <w:top w:type="dxa" w:w="70"/>
              <w:left w:type="dxa" w:w="90"/>
              <w:bottom w:type="dxa" w:w="70"/>
              <w:right w:type="dxa" w:w="90"/>
            </w:tcMar>
          </w:tcPr>
          <w:p>
            <w:r>
              <w:rPr>
                <w:b/>
                <w:bCs/>
                <w:color w:val="FFFFFF"/>
                <w:sz w:val="19"/>
                <w:szCs w:val="19"/>
              </w:rPr>
              <w:t xml:space="preserve">Threshold</w:t>
            </w:r>
          </w:p>
        </w:tc>
        <w:tc>
          <w:tcPr>
            <w:tcW w:type="dxa" w:w="4000"/>
            <w:shd w:fill="6B3E1F" w:color="auto" w:val="clear"/>
            <w:tcMar>
              <w:top w:type="dxa" w:w="70"/>
              <w:left w:type="dxa" w:w="90"/>
              <w:bottom w:type="dxa" w:w="70"/>
              <w:right w:type="dxa" w:w="90"/>
            </w:tcMar>
          </w:tcPr>
          <w:p>
            <w:r>
              <w:rPr>
                <w:b/>
                <w:bCs/>
                <w:color w:val="FFFFFF"/>
                <w:sz w:val="19"/>
                <w:szCs w:val="19"/>
              </w:rPr>
              <w:t xml:space="preserve">Status (FY25)</w:t>
            </w:r>
          </w:p>
        </w:tc>
      </w:tr>
      <w:tr>
        <w:tc>
          <w:tcPr>
            <w:tcW w:type="dxa" w:w="2600"/>
            <w:tcMar>
              <w:top w:type="dxa" w:w="70"/>
              <w:left w:type="dxa" w:w="90"/>
              <w:bottom w:type="dxa" w:w="70"/>
              <w:right w:type="dxa" w:w="90"/>
            </w:tcMar>
          </w:tcPr>
          <w:p>
            <w:r>
              <w:rPr>
                <w:b w:val="false"/>
                <w:bCs w:val="false"/>
                <w:color w:val="000000"/>
                <w:sz w:val="19"/>
                <w:szCs w:val="19"/>
              </w:rPr>
              <w:t xml:space="preserve">Debt Service Coverage Ratio (DSCR)</w:t>
            </w:r>
          </w:p>
        </w:tc>
        <w:tc>
          <w:tcPr>
            <w:tcW w:type="dxa" w:w="3200"/>
            <w:tcMar>
              <w:top w:type="dxa" w:w="70"/>
              <w:left w:type="dxa" w:w="90"/>
              <w:bottom w:type="dxa" w:w="70"/>
              <w:right w:type="dxa" w:w="90"/>
            </w:tcMar>
          </w:tcPr>
          <w:p>
            <w:r>
              <w:rPr>
                <w:b w:val="false"/>
                <w:bCs w:val="false"/>
                <w:color w:val="000000"/>
                <w:sz w:val="19"/>
                <w:szCs w:val="19"/>
              </w:rPr>
              <w:t xml:space="preserve">Minimum 1.20</w:t>
            </w:r>
          </w:p>
        </w:tc>
        <w:tc>
          <w:tcPr>
            <w:tcW w:type="dxa" w:w="4000"/>
            <w:tcMar>
              <w:top w:type="dxa" w:w="70"/>
              <w:left w:type="dxa" w:w="90"/>
              <w:bottom w:type="dxa" w:w="70"/>
              <w:right w:type="dxa" w:w="90"/>
            </w:tcMar>
          </w:tcPr>
          <w:p>
            <w:r>
              <w:rPr>
                <w:b w:val="false"/>
                <w:bCs w:val="false"/>
                <w:color w:val="000000"/>
                <w:sz w:val="19"/>
                <w:szCs w:val="19"/>
              </w:rPr>
              <w:t xml:space="preserve">1.09 — BREACHED</w:t>
            </w:r>
          </w:p>
        </w:tc>
      </w:tr>
      <w:tr>
        <w:tc>
          <w:tcPr>
            <w:tcW w:type="dxa" w:w="2600"/>
            <w:tcMar>
              <w:top w:type="dxa" w:w="70"/>
              <w:left w:type="dxa" w:w="90"/>
              <w:bottom w:type="dxa" w:w="70"/>
              <w:right w:type="dxa" w:w="90"/>
            </w:tcMar>
          </w:tcPr>
          <w:p>
            <w:r>
              <w:rPr>
                <w:b w:val="false"/>
                <w:bCs w:val="false"/>
                <w:color w:val="000000"/>
                <w:sz w:val="19"/>
                <w:szCs w:val="19"/>
              </w:rPr>
              <w:t xml:space="preserve">TOL/TNW</w:t>
            </w:r>
          </w:p>
        </w:tc>
        <w:tc>
          <w:tcPr>
            <w:tcW w:type="dxa" w:w="3200"/>
            <w:tcMar>
              <w:top w:type="dxa" w:w="70"/>
              <w:left w:type="dxa" w:w="90"/>
              <w:bottom w:type="dxa" w:w="70"/>
              <w:right w:type="dxa" w:w="90"/>
            </w:tcMar>
          </w:tcPr>
          <w:p>
            <w:r>
              <w:rPr>
                <w:b w:val="false"/>
                <w:bCs w:val="false"/>
                <w:color w:val="000000"/>
                <w:sz w:val="19"/>
                <w:szCs w:val="19"/>
              </w:rPr>
              <w:t xml:space="preserve">Maximum 2.75</w:t>
            </w:r>
          </w:p>
        </w:tc>
        <w:tc>
          <w:tcPr>
            <w:tcW w:type="dxa" w:w="4000"/>
            <w:tcMar>
              <w:top w:type="dxa" w:w="70"/>
              <w:left w:type="dxa" w:w="90"/>
              <w:bottom w:type="dxa" w:w="70"/>
              <w:right w:type="dxa" w:w="90"/>
            </w:tcMar>
          </w:tcPr>
          <w:p>
            <w:r>
              <w:rPr>
                <w:b w:val="false"/>
                <w:bCs w:val="false"/>
                <w:color w:val="000000"/>
                <w:sz w:val="19"/>
                <w:szCs w:val="19"/>
              </w:rPr>
              <w:t xml:space="preserve">2.61 — compliant</w:t>
            </w:r>
          </w:p>
        </w:tc>
      </w:tr>
      <w:tr>
        <w:tc>
          <w:tcPr>
            <w:tcW w:type="dxa" w:w="2600"/>
            <w:tcMar>
              <w:top w:type="dxa" w:w="70"/>
              <w:left w:type="dxa" w:w="90"/>
              <w:bottom w:type="dxa" w:w="70"/>
              <w:right w:type="dxa" w:w="90"/>
            </w:tcMar>
          </w:tcPr>
          <w:p>
            <w:r>
              <w:rPr>
                <w:b w:val="false"/>
                <w:bCs w:val="false"/>
                <w:color w:val="000000"/>
                <w:sz w:val="19"/>
                <w:szCs w:val="19"/>
              </w:rPr>
              <w:t xml:space="preserve">Current Ratio</w:t>
            </w:r>
          </w:p>
        </w:tc>
        <w:tc>
          <w:tcPr>
            <w:tcW w:type="dxa" w:w="3200"/>
            <w:tcMar>
              <w:top w:type="dxa" w:w="70"/>
              <w:left w:type="dxa" w:w="90"/>
              <w:bottom w:type="dxa" w:w="70"/>
              <w:right w:type="dxa" w:w="90"/>
            </w:tcMar>
          </w:tcPr>
          <w:p>
            <w:r>
              <w:rPr>
                <w:b w:val="false"/>
                <w:bCs w:val="false"/>
                <w:color w:val="000000"/>
                <w:sz w:val="19"/>
                <w:szCs w:val="19"/>
              </w:rPr>
              <w:t xml:space="preserve">Minimum 1.15</w:t>
            </w:r>
          </w:p>
        </w:tc>
        <w:tc>
          <w:tcPr>
            <w:tcW w:type="dxa" w:w="4000"/>
            <w:tcMar>
              <w:top w:type="dxa" w:w="70"/>
              <w:left w:type="dxa" w:w="90"/>
              <w:bottom w:type="dxa" w:w="70"/>
              <w:right w:type="dxa" w:w="90"/>
            </w:tcMar>
          </w:tcPr>
          <w:p>
            <w:r>
              <w:rPr>
                <w:b w:val="false"/>
                <w:bCs w:val="false"/>
                <w:color w:val="000000"/>
                <w:sz w:val="19"/>
                <w:szCs w:val="19"/>
              </w:rPr>
              <w:t xml:space="preserve">1.22 — compliant</w:t>
            </w:r>
          </w:p>
        </w:tc>
      </w:tr>
      <w:tr>
        <w:tc>
          <w:tcPr>
            <w:tcW w:type="dxa" w:w="2600"/>
            <w:tcMar>
              <w:top w:type="dxa" w:w="70"/>
              <w:left w:type="dxa" w:w="90"/>
              <w:bottom w:type="dxa" w:w="70"/>
              <w:right w:type="dxa" w:w="90"/>
            </w:tcMar>
          </w:tcPr>
          <w:p>
            <w:r>
              <w:rPr>
                <w:b w:val="false"/>
                <w:bCs w:val="false"/>
                <w:color w:val="000000"/>
                <w:sz w:val="19"/>
                <w:szCs w:val="19"/>
              </w:rPr>
              <w:t xml:space="preserve">Fixed Asset Coverage Ratio</w:t>
            </w:r>
          </w:p>
        </w:tc>
        <w:tc>
          <w:tcPr>
            <w:tcW w:type="dxa" w:w="3200"/>
            <w:tcMar>
              <w:top w:type="dxa" w:w="70"/>
              <w:left w:type="dxa" w:w="90"/>
              <w:bottom w:type="dxa" w:w="70"/>
              <w:right w:type="dxa" w:w="90"/>
            </w:tcMar>
          </w:tcPr>
          <w:p>
            <w:r>
              <w:rPr>
                <w:b w:val="false"/>
                <w:bCs w:val="false"/>
                <w:color w:val="000000"/>
                <w:sz w:val="19"/>
                <w:szCs w:val="19"/>
              </w:rPr>
              <w:t xml:space="preserve">Minimum 1.30</w:t>
            </w:r>
          </w:p>
        </w:tc>
        <w:tc>
          <w:tcPr>
            <w:tcW w:type="dxa" w:w="4000"/>
            <w:tcMar>
              <w:top w:type="dxa" w:w="70"/>
              <w:left w:type="dxa" w:w="90"/>
              <w:bottom w:type="dxa" w:w="70"/>
              <w:right w:type="dxa" w:w="90"/>
            </w:tcMar>
          </w:tcPr>
          <w:p>
            <w:r>
              <w:rPr>
                <w:b w:val="false"/>
                <w:bCs w:val="false"/>
                <w:color w:val="000000"/>
                <w:sz w:val="19"/>
                <w:szCs w:val="19"/>
              </w:rPr>
              <w:t xml:space="preserve">1.48 — compliant</w:t>
            </w:r>
          </w:p>
        </w:tc>
      </w:tr>
    </w:tbl>
    <w:p>
      <w:pPr>
        <w:spacing w:after="160"/>
      </w:pPr>
      <w:r>
        <w:t xml:space="preserve"/>
      </w:r>
    </w:p>
    <w:p>
      <w:pPr>
        <w:spacing w:after="160"/>
      </w:pPr>
      <w:r>
        <w:t xml:space="preserve">The DSCR breach is the sole covenant in default for FY25. Repayment obligations have continued to be met on schedule with no instance of overdue installment as of the date of this file.</w:t>
      </w:r>
    </w:p>
    <w:p>
      <w:pPr>
        <w:pStyle w:val="Heading1"/>
        <w:spacing w:after="120" w:before="240"/>
      </w:pPr>
      <w:r>
        <w:t xml:space="preserve">6. Risk Assessment and Watchlist Status</w:t>
      </w:r>
    </w:p>
    <w:p>
      <w:pPr>
        <w:spacing w:after="160"/>
      </w:pPr>
      <w:r>
        <w:t xml:space="preserve">The account is currently classified as Standard but flagged as SMA-0 (Special Mention Account, no overdue amount) following the DSCR covenant breach identified in the FY25 review. No principal or interest installment has been missed. The primary risk driver is margin compression from raw material cost inflation rather than any operational or governance concern. The account will remain on watchlist for at least two subsequent quarters pending demonstrated improvement in DSCR per the accepted corrective action plan.</w:t>
      </w:r>
    </w:p>
    <w:p>
      <w:pPr>
        <w:pStyle w:val="Heading1"/>
        <w:spacing w:after="120" w:before="240"/>
      </w:pPr>
      <w:r>
        <w:t xml:space="preserve">7. Current Status</w:t>
      </w:r>
    </w:p>
    <w:p>
      <w:pPr>
        <w:spacing w:after="160"/>
      </w:pPr>
      <w:r>
        <w:t xml:space="preserve">The borrower's corrective action plan has been accepted in principle by the credit committee, with a requirement for quarterly progress updates over the next two quarters (Q2 and Q3 FY26). Repayments remain current with no overdue amounts. The account continues to be monitored under SMA-0 watchlist classification.</w:t>
      </w:r>
    </w:p>
    <w:p>
      <w:pPr>
        <w:pStyle w:val="Heading1"/>
        <w:spacing w:after="120" w:before="240"/>
      </w:pPr>
      <w:r>
        <w:t xml:space="preserve">8. Next Steps</w:t>
      </w:r>
    </w:p>
    <w:p>
      <w:pPr>
        <w:pStyle w:val="ListParagraph"/>
        <w:numPr>
          <w:ilvl w:val="0"/>
          <w:numId w:val="2"/>
        </w:numPr>
        <w:spacing w:after="80"/>
      </w:pPr>
      <w:r>
        <w:t xml:space="preserve">Obtain first quarterly progress update on corrective action plan by 15 October 2025</w:t>
      </w:r>
    </w:p>
    <w:p>
      <w:pPr>
        <w:pStyle w:val="ListParagraph"/>
        <w:numPr>
          <w:ilvl w:val="0"/>
          <w:numId w:val="2"/>
        </w:numPr>
        <w:spacing w:after="80"/>
      </w:pPr>
      <w:r>
        <w:t xml:space="preserve">Recompute DSCR based on Q2 FY26 management financials to assess trajectory toward covenant compliance</w:t>
      </w:r>
    </w:p>
    <w:p>
      <w:pPr>
        <w:pStyle w:val="ListParagraph"/>
        <w:numPr>
          <w:ilvl w:val="0"/>
          <w:numId w:val="2"/>
        </w:numPr>
        <w:spacing w:after="80"/>
      </w:pPr>
      <w:r>
        <w:t xml:space="preserve">If DSCR remains below threshold after two consecutive quarters of monitoring, escalate for consideration of restructuring or enhanced security cover</w:t>
      </w:r>
    </w:p>
    <w:p>
      <w:pPr>
        <w:pStyle w:val="ListParagraph"/>
        <w:numPr>
          <w:ilvl w:val="0"/>
          <w:numId w:val="2"/>
        </w:numPr>
        <w:spacing w:after="80"/>
      </w:pPr>
      <w:r>
        <w:t xml:space="preserve">Continue standard quarterly monitoring of TOL/TNW, Current Ratio, and Fixed Asset Coverage Ratio, all currently compliant</w:t>
      </w:r>
    </w:p>
    <w:p>
      <w:pPr>
        <w:pStyle w:val="Heading1"/>
        <w:spacing w:after="120" w:before="240"/>
      </w:pPr>
      <w:r>
        <w:t xml:space="preserve">9. Internal Notes (Confidential)</w:t>
      </w:r>
    </w:p>
    <w:p>
      <w:pPr>
        <w:spacing w:after="160"/>
      </w:pPr>
      <w:r>
        <w:t xml:space="preserve">Relationship Manager assesses the covenant breach as cyclical (raw material cost-driven) rather than structural, and recommends against premature escalation to restructuring at this stage. Credit team to reassess this view independently at the Q2 FY26 progress update, particularly if raw material cost pressures have not eased as the borrower's corrective action plan assumes.</w:t>
      </w:r>
    </w:p>
    <w:p>
      <w:pPr>
        <w:pStyle w:val="Heading1"/>
        <w:spacing w:after="120" w:before="240"/>
      </w:pPr>
      <w:r>
        <w:t xml:space="preserve">10. Key Contacts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000"/>
      </w:tblGrid>
      <w:tr>
        <w:tc>
          <w:tcPr>
            <w:tcW w:type="dxa" w:w="2600"/>
            <w:shd w:fill="6B3E1F" w:color="auto" w:val="clear"/>
            <w:tcMar>
              <w:top w:type="dxa" w:w="70"/>
              <w:left w:type="dxa" w:w="90"/>
              <w:bottom w:type="dxa" w:w="70"/>
              <w:right w:type="dxa" w:w="90"/>
            </w:tcMar>
          </w:tcPr>
          <w:p>
            <w:r>
              <w:rPr>
                <w:b/>
                <w:bCs/>
                <w:color w:val="FFFFFF"/>
                <w:sz w:val="19"/>
                <w:szCs w:val="19"/>
              </w:rPr>
              <w:t xml:space="preserve">Name</w:t>
            </w:r>
          </w:p>
        </w:tc>
        <w:tc>
          <w:tcPr>
            <w:tcW w:type="dxa" w:w="3200"/>
            <w:shd w:fill="6B3E1F" w:color="auto" w:val="clear"/>
            <w:tcMar>
              <w:top w:type="dxa" w:w="70"/>
              <w:left w:type="dxa" w:w="90"/>
              <w:bottom w:type="dxa" w:w="70"/>
              <w:right w:type="dxa" w:w="90"/>
            </w:tcMar>
          </w:tcPr>
          <w:p>
            <w:r>
              <w:rPr>
                <w:b/>
                <w:bCs/>
                <w:color w:val="FFFFFF"/>
                <w:sz w:val="19"/>
                <w:szCs w:val="19"/>
              </w:rPr>
              <w:t xml:space="preserve">Role</w:t>
            </w:r>
          </w:p>
        </w:tc>
        <w:tc>
          <w:tcPr>
            <w:tcW w:type="dxa" w:w="4000"/>
            <w:shd w:fill="6B3E1F" w:color="auto" w:val="clear"/>
            <w:tcMar>
              <w:top w:type="dxa" w:w="70"/>
              <w:left w:type="dxa" w:w="90"/>
              <w:bottom w:type="dxa" w:w="70"/>
              <w:right w:type="dxa" w:w="90"/>
            </w:tcMar>
          </w:tcPr>
          <w:p>
            <w:r>
              <w:rPr>
                <w:b/>
                <w:bCs/>
                <w:color w:val="FFFFFF"/>
                <w:sz w:val="19"/>
                <w:szCs w:val="19"/>
              </w:rPr>
              <w:t xml:space="preserve">Organization</w:t>
            </w:r>
          </w:p>
        </w:tc>
      </w:tr>
      <w:tr>
        <w:tc>
          <w:tcPr>
            <w:tcW w:type="dxa" w:w="2600"/>
            <w:tcMar>
              <w:top w:type="dxa" w:w="70"/>
              <w:left w:type="dxa" w:w="90"/>
              <w:bottom w:type="dxa" w:w="70"/>
              <w:right w:type="dxa" w:w="90"/>
            </w:tcMar>
          </w:tcPr>
          <w:p>
            <w:r>
              <w:rPr>
                <w:b w:val="false"/>
                <w:bCs w:val="false"/>
                <w:color w:val="000000"/>
                <w:sz w:val="19"/>
                <w:szCs w:val="19"/>
              </w:rPr>
              <w:t xml:space="preserve">Mr. Srikanth Rao</w:t>
            </w:r>
          </w:p>
        </w:tc>
        <w:tc>
          <w:tcPr>
            <w:tcW w:type="dxa" w:w="3200"/>
            <w:tcMar>
              <w:top w:type="dxa" w:w="70"/>
              <w:left w:type="dxa" w:w="90"/>
              <w:bottom w:type="dxa" w:w="70"/>
              <w:right w:type="dxa" w:w="90"/>
            </w:tcMar>
          </w:tcPr>
          <w:p>
            <w:r>
              <w:rPr>
                <w:b w:val="false"/>
                <w:bCs w:val="false"/>
                <w:color w:val="000000"/>
                <w:sz w:val="19"/>
                <w:szCs w:val="19"/>
              </w:rPr>
              <w:t xml:space="preserve">Managing Director</w:t>
            </w:r>
          </w:p>
        </w:tc>
        <w:tc>
          <w:tcPr>
            <w:tcW w:type="dxa" w:w="4000"/>
            <w:tcMar>
              <w:top w:type="dxa" w:w="70"/>
              <w:left w:type="dxa" w:w="90"/>
              <w:bottom w:type="dxa" w:w="70"/>
              <w:right w:type="dxa" w:w="90"/>
            </w:tcMar>
          </w:tcPr>
          <w:p>
            <w:r>
              <w:rPr>
                <w:b w:val="false"/>
                <w:bCs w:val="false"/>
                <w:color w:val="000000"/>
                <w:sz w:val="19"/>
                <w:szCs w:val="19"/>
              </w:rPr>
              <w:t xml:space="preserve">Vantage Foods Processing Pvt. Ltd.</w:t>
            </w:r>
          </w:p>
        </w:tc>
      </w:tr>
      <w:tr>
        <w:tc>
          <w:tcPr>
            <w:tcW w:type="dxa" w:w="2600"/>
            <w:tcMar>
              <w:top w:type="dxa" w:w="70"/>
              <w:left w:type="dxa" w:w="90"/>
              <w:bottom w:type="dxa" w:w="70"/>
              <w:right w:type="dxa" w:w="90"/>
            </w:tcMar>
          </w:tcPr>
          <w:p>
            <w:r>
              <w:rPr>
                <w:b w:val="false"/>
                <w:bCs w:val="false"/>
                <w:color w:val="000000"/>
                <w:sz w:val="19"/>
                <w:szCs w:val="19"/>
              </w:rPr>
              <w:t xml:space="preserve">Ms. Aparna Chowdhury</w:t>
            </w:r>
          </w:p>
        </w:tc>
        <w:tc>
          <w:tcPr>
            <w:tcW w:type="dxa" w:w="3200"/>
            <w:tcMar>
              <w:top w:type="dxa" w:w="70"/>
              <w:left w:type="dxa" w:w="90"/>
              <w:bottom w:type="dxa" w:w="70"/>
              <w:right w:type="dxa" w:w="90"/>
            </w:tcMar>
          </w:tcPr>
          <w:p>
            <w:r>
              <w:rPr>
                <w:b w:val="false"/>
                <w:bCs w:val="false"/>
                <w:color w:val="000000"/>
                <w:sz w:val="19"/>
                <w:szCs w:val="19"/>
              </w:rPr>
              <w:t xml:space="preserve">Manager, Corporate Banking</w:t>
            </w:r>
          </w:p>
        </w:tc>
        <w:tc>
          <w:tcPr>
            <w:tcW w:type="dxa" w:w="4000"/>
            <w:tcMar>
              <w:top w:type="dxa" w:w="70"/>
              <w:left w:type="dxa" w:w="90"/>
              <w:bottom w:type="dxa" w:w="70"/>
              <w:right w:type="dxa" w:w="90"/>
            </w:tcMar>
          </w:tcPr>
          <w:p>
            <w:r>
              <w:rPr>
                <w:b w:val="false"/>
                <w:bCs w:val="false"/>
                <w:color w:val="000000"/>
                <w:sz w:val="19"/>
                <w:szCs w:val="19"/>
              </w:rPr>
              <w:t xml:space="preserve">Continental Merchant Bank Ltd.</w:t>
            </w:r>
          </w:p>
        </w:tc>
      </w:tr>
      <w:tr>
        <w:tc>
          <w:tcPr>
            <w:tcW w:type="dxa" w:w="2600"/>
            <w:tcMar>
              <w:top w:type="dxa" w:w="70"/>
              <w:left w:type="dxa" w:w="90"/>
              <w:bottom w:type="dxa" w:w="70"/>
              <w:right w:type="dxa" w:w="90"/>
            </w:tcMar>
          </w:tcPr>
          <w:p>
            <w:r>
              <w:rPr>
                <w:b w:val="false"/>
                <w:bCs w:val="false"/>
                <w:color w:val="000000"/>
                <w:sz w:val="19"/>
                <w:szCs w:val="19"/>
              </w:rPr>
              <w:t xml:space="preserve">Mr. Dilip Kumar Shah</w:t>
            </w:r>
          </w:p>
        </w:tc>
        <w:tc>
          <w:tcPr>
            <w:tcW w:type="dxa" w:w="3200"/>
            <w:tcMar>
              <w:top w:type="dxa" w:w="70"/>
              <w:left w:type="dxa" w:w="90"/>
              <w:bottom w:type="dxa" w:w="70"/>
              <w:right w:type="dxa" w:w="90"/>
            </w:tcMar>
          </w:tcPr>
          <w:p>
            <w:r>
              <w:rPr>
                <w:b w:val="false"/>
                <w:bCs w:val="false"/>
                <w:color w:val="000000"/>
                <w:sz w:val="19"/>
                <w:szCs w:val="19"/>
              </w:rPr>
              <w:t xml:space="preserve">Credit Committee Chair</w:t>
            </w:r>
          </w:p>
        </w:tc>
        <w:tc>
          <w:tcPr>
            <w:tcW w:type="dxa" w:w="4000"/>
            <w:tcMar>
              <w:top w:type="dxa" w:w="70"/>
              <w:left w:type="dxa" w:w="90"/>
              <w:bottom w:type="dxa" w:w="70"/>
              <w:right w:type="dxa" w:w="90"/>
            </w:tcMar>
          </w:tcPr>
          <w:p>
            <w:r>
              <w:rPr>
                <w:b w:val="false"/>
                <w:bCs w:val="false"/>
                <w:color w:val="000000"/>
                <w:sz w:val="19"/>
                <w:szCs w:val="19"/>
              </w:rPr>
              <w:t xml:space="preserve">Continental Merchant Bank Ltd.</w:t>
            </w:r>
          </w:p>
        </w:tc>
      </w:tr>
    </w:tbl>
    <w:p>
      <w:pPr>
        <w:pStyle w:val="Heading1"/>
        <w:spacing w:after="120" w:before="240"/>
      </w:pPr>
      <w:r>
        <w:t xml:space="preserve">11. Correspondence Log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c>
          <w:tcPr>
            <w:tcW w:type="dxa" w:w="1400"/>
            <w:shd w:fill="6B3E1F" w:color="auto" w:val="clear"/>
            <w:tcMar>
              <w:top w:type="dxa" w:w="70"/>
              <w:left w:type="dxa" w:w="90"/>
              <w:bottom w:type="dxa" w:w="70"/>
              <w:right w:type="dxa" w:w="90"/>
            </w:tcMar>
          </w:tcPr>
          <w:p>
            <w:r>
              <w:rPr>
                <w:b/>
                <w:bCs/>
                <w:color w:val="FFFFFF"/>
                <w:sz w:val="19"/>
                <w:szCs w:val="19"/>
              </w:rPr>
              <w:t xml:space="preserve">Date</w:t>
            </w:r>
          </w:p>
        </w:tc>
        <w:tc>
          <w:tcPr>
            <w:tcW w:type="dxa" w:w="3600"/>
            <w:shd w:fill="6B3E1F" w:color="auto" w:val="clear"/>
            <w:tcMar>
              <w:top w:type="dxa" w:w="70"/>
              <w:left w:type="dxa" w:w="90"/>
              <w:bottom w:type="dxa" w:w="70"/>
              <w:right w:type="dxa" w:w="90"/>
            </w:tcMar>
          </w:tcPr>
          <w:p>
            <w:r>
              <w:rPr>
                <w:b/>
                <w:bCs/>
                <w:color w:val="FFFFFF"/>
                <w:sz w:val="19"/>
                <w:szCs w:val="19"/>
              </w:rPr>
              <w:t xml:space="preserve">Correspondence</w:t>
            </w:r>
          </w:p>
        </w:tc>
        <w:tc>
          <w:tcPr>
            <w:tcW w:type="dxa" w:w="4800"/>
            <w:shd w:fill="6B3E1F" w:color="auto" w:val="clear"/>
            <w:tcMar>
              <w:top w:type="dxa" w:w="70"/>
              <w:left w:type="dxa" w:w="90"/>
              <w:bottom w:type="dxa" w:w="70"/>
              <w:right w:type="dxa" w:w="90"/>
            </w:tcMar>
          </w:tcPr>
          <w:p>
            <w:r>
              <w:rPr>
                <w:b/>
                <w:bCs/>
                <w:color w:val="FFFFFF"/>
                <w:sz w:val="19"/>
                <w:szCs w:val="19"/>
              </w:rPr>
              <w:t xml:space="preserve">Summary</w:t>
            </w:r>
          </w:p>
        </w:tc>
      </w:tr>
      <w:tr>
        <w:tc>
          <w:tcPr>
            <w:tcW w:type="dxa" w:w="1400"/>
            <w:tcMar>
              <w:top w:type="dxa" w:w="70"/>
              <w:left w:type="dxa" w:w="90"/>
              <w:bottom w:type="dxa" w:w="70"/>
              <w:right w:type="dxa" w:w="90"/>
            </w:tcMar>
          </w:tcPr>
          <w:p>
            <w:r>
              <w:rPr>
                <w:b w:val="false"/>
                <w:bCs w:val="false"/>
                <w:color w:val="000000"/>
                <w:sz w:val="19"/>
                <w:szCs w:val="19"/>
              </w:rPr>
              <w:t xml:space="preserve">18 Nov 2024</w:t>
            </w:r>
          </w:p>
        </w:tc>
        <w:tc>
          <w:tcPr>
            <w:tcW w:type="dxa" w:w="3600"/>
            <w:tcMar>
              <w:top w:type="dxa" w:w="70"/>
              <w:left w:type="dxa" w:w="90"/>
              <w:bottom w:type="dxa" w:w="70"/>
              <w:right w:type="dxa" w:w="90"/>
            </w:tcMar>
          </w:tcPr>
          <w:p>
            <w:r>
              <w:rPr>
                <w:b w:val="false"/>
                <w:bCs w:val="false"/>
                <w:color w:val="000000"/>
                <w:sz w:val="19"/>
                <w:szCs w:val="19"/>
              </w:rPr>
              <w:t xml:space="preserve">Borrower's informal email on cost pressures</w:t>
            </w:r>
          </w:p>
        </w:tc>
        <w:tc>
          <w:tcPr>
            <w:tcW w:type="dxa" w:w="4800"/>
            <w:tcMar>
              <w:top w:type="dxa" w:w="70"/>
              <w:left w:type="dxa" w:w="90"/>
              <w:bottom w:type="dxa" w:w="70"/>
              <w:right w:type="dxa" w:w="90"/>
            </w:tcMar>
          </w:tcPr>
          <w:p>
            <w:r>
              <w:rPr>
                <w:b w:val="false"/>
                <w:bCs w:val="false"/>
                <w:color w:val="000000"/>
                <w:sz w:val="19"/>
                <w:szCs w:val="19"/>
              </w:rPr>
              <w:t xml:space="preserve">Preceded the formal interim financial review triggered 15 Nov 2024</w:t>
            </w:r>
          </w:p>
        </w:tc>
      </w:tr>
      <w:tr>
        <w:tc>
          <w:tcPr>
            <w:tcW w:type="dxa" w:w="1400"/>
            <w:tcMar>
              <w:top w:type="dxa" w:w="70"/>
              <w:left w:type="dxa" w:w="90"/>
              <w:bottom w:type="dxa" w:w="70"/>
              <w:right w:type="dxa" w:w="90"/>
            </w:tcMar>
          </w:tcPr>
          <w:p>
            <w:r>
              <w:rPr>
                <w:b w:val="false"/>
                <w:bCs w:val="false"/>
                <w:color w:val="000000"/>
                <w:sz w:val="19"/>
                <w:szCs w:val="19"/>
              </w:rPr>
              <w:t xml:space="preserve">14 Apr 2025</w:t>
            </w:r>
          </w:p>
        </w:tc>
        <w:tc>
          <w:tcPr>
            <w:tcW w:type="dxa" w:w="3600"/>
            <w:tcMar>
              <w:top w:type="dxa" w:w="70"/>
              <w:left w:type="dxa" w:w="90"/>
              <w:bottom w:type="dxa" w:w="70"/>
              <w:right w:type="dxa" w:w="90"/>
            </w:tcMar>
          </w:tcPr>
          <w:p>
            <w:r>
              <w:rPr>
                <w:b w:val="false"/>
                <w:bCs w:val="false"/>
                <w:color w:val="000000"/>
                <w:sz w:val="19"/>
                <w:szCs w:val="19"/>
              </w:rPr>
              <w:t xml:space="preserve">Borrower's acknowledgment of breach notification</w:t>
            </w:r>
          </w:p>
        </w:tc>
        <w:tc>
          <w:tcPr>
            <w:tcW w:type="dxa" w:w="4800"/>
            <w:tcMar>
              <w:top w:type="dxa" w:w="70"/>
              <w:left w:type="dxa" w:w="90"/>
              <w:bottom w:type="dxa" w:w="70"/>
              <w:right w:type="dxa" w:w="90"/>
            </w:tcMar>
          </w:tcPr>
          <w:p>
            <w:r>
              <w:rPr>
                <w:b w:val="false"/>
                <w:bCs w:val="false"/>
                <w:color w:val="000000"/>
                <w:sz w:val="19"/>
                <w:szCs w:val="19"/>
              </w:rPr>
              <w:t xml:space="preserve">Confirmed receipt and committed to submitting corrective action plan within 30 days</w:t>
            </w:r>
          </w:p>
        </w:tc>
      </w:tr>
      <w:tr>
        <w:tc>
          <w:tcPr>
            <w:tcW w:type="dxa" w:w="1400"/>
            <w:tcMar>
              <w:top w:type="dxa" w:w="70"/>
              <w:left w:type="dxa" w:w="90"/>
              <w:bottom w:type="dxa" w:w="70"/>
              <w:right w:type="dxa" w:w="90"/>
            </w:tcMar>
          </w:tcPr>
          <w:p>
            <w:r>
              <w:rPr>
                <w:b w:val="false"/>
                <w:bCs w:val="false"/>
                <w:color w:val="000000"/>
                <w:sz w:val="19"/>
                <w:szCs w:val="19"/>
              </w:rPr>
              <w:t xml:space="preserve">25 Jun 2025</w:t>
            </w:r>
          </w:p>
        </w:tc>
        <w:tc>
          <w:tcPr>
            <w:tcW w:type="dxa" w:w="3600"/>
            <w:tcMar>
              <w:top w:type="dxa" w:w="70"/>
              <w:left w:type="dxa" w:w="90"/>
              <w:bottom w:type="dxa" w:w="70"/>
              <w:right w:type="dxa" w:w="90"/>
            </w:tcMar>
          </w:tcPr>
          <w:p>
            <w:r>
              <w:rPr>
                <w:b w:val="false"/>
                <w:bCs w:val="false"/>
                <w:color w:val="000000"/>
                <w:sz w:val="19"/>
                <w:szCs w:val="19"/>
              </w:rPr>
              <w:t xml:space="preserve">Bank's letter accepting corrective action plan</w:t>
            </w:r>
          </w:p>
        </w:tc>
        <w:tc>
          <w:tcPr>
            <w:tcW w:type="dxa" w:w="4800"/>
            <w:tcMar>
              <w:top w:type="dxa" w:w="70"/>
              <w:left w:type="dxa" w:w="90"/>
              <w:bottom w:type="dxa" w:w="70"/>
              <w:right w:type="dxa" w:w="90"/>
            </w:tcMar>
          </w:tcPr>
          <w:p>
            <w:r>
              <w:rPr>
                <w:b w:val="false"/>
                <w:bCs w:val="false"/>
                <w:color w:val="000000"/>
                <w:sz w:val="19"/>
                <w:szCs w:val="19"/>
              </w:rPr>
              <w:t xml:space="preserve">Set out quarterly progress update requirement for next two quarters</w:t>
            </w:r>
          </w:p>
        </w:tc>
      </w:tr>
    </w:tbl>
    <w:p>
      <w:pPr>
        <w:pStyle w:val="Heading1"/>
        <w:spacing w:after="120" w:before="240"/>
      </w:pPr>
      <w:r>
        <w:t xml:space="preserve">12. Regulatory and Internal Policy References</w:t>
      </w:r>
    </w:p>
    <w:p>
      <w:pPr>
        <w:pStyle w:val="ListParagraph"/>
        <w:numPr>
          <w:ilvl w:val="0"/>
          <w:numId w:val="2"/>
        </w:numPr>
        <w:spacing w:after="80"/>
      </w:pPr>
      <w:r>
        <w:t xml:space="preserve">Reserve Bank of India Master Circular on Prudential Norms on Income Recognition, Asset Classification and Provisioning — governs SMA classification framework applied in Section 3</w:t>
      </w:r>
    </w:p>
    <w:p>
      <w:pPr>
        <w:pStyle w:val="ListParagraph"/>
        <w:numPr>
          <w:ilvl w:val="0"/>
          <w:numId w:val="2"/>
        </w:numPr>
        <w:spacing w:after="80"/>
      </w:pPr>
      <w:r>
        <w:t xml:space="preserve">Bank's Internal Credit Policy, Section 11 (Covenant Monitoring) — governs covenant breach notification timelines and escalation procedure followed in this file</w:t>
      </w:r>
    </w:p>
    <w:p>
      <w:pPr>
        <w:pStyle w:val="ListParagraph"/>
        <w:numPr>
          <w:ilvl w:val="0"/>
          <w:numId w:val="2"/>
        </w:numPr>
        <w:spacing w:after="80"/>
      </w:pPr>
      <w:r>
        <w:t xml:space="preserve">Bank's Internal Credit Policy, Section 14 (Corrective Action Plans) — governs the format and evaluation criteria for borrower-submitted corrective action plans</w:t>
      </w:r>
    </w:p>
    <w:p>
      <w:pPr>
        <w:pStyle w:val="Heading1"/>
        <w:spacing w:after="120" w:before="240"/>
      </w:pPr>
      <w:r>
        <w:t xml:space="preserve">13. Glossary of Terms Used in This File</w:t>
      </w:r>
    </w:p>
    <w:p>
      <w:pPr>
        <w:pStyle w:val="ListParagraph"/>
        <w:numPr>
          <w:ilvl w:val="0"/>
          <w:numId w:val="2"/>
        </w:numPr>
        <w:spacing w:after="80"/>
      </w:pPr>
      <w:r>
        <w:t xml:space="preserve">DSCR: Debt Service Coverage Ratio, measuring a borrower's cash flow available to service debt obligations (principal and interest) for a given period</w:t>
      </w:r>
    </w:p>
    <w:p>
      <w:pPr>
        <w:pStyle w:val="ListParagraph"/>
        <w:numPr>
          <w:ilvl w:val="0"/>
          <w:numId w:val="2"/>
        </w:numPr>
        <w:spacing w:after="80"/>
      </w:pPr>
      <w:r>
        <w:t xml:space="preserve">SMA-0: Special Mention Account category indicating a covenant or performance concern with no repayment overdue</w:t>
      </w:r>
    </w:p>
    <w:p>
      <w:pPr>
        <w:pStyle w:val="ListParagraph"/>
        <w:numPr>
          <w:ilvl w:val="0"/>
          <w:numId w:val="2"/>
        </w:numPr>
        <w:spacing w:after="80"/>
      </w:pPr>
      <w:r>
        <w:t xml:space="preserve">Corrective Action Plan (CAP): a borrower-submitted plan outlining specific steps to restore compliance with a breached covenant within an agreed timeframe</w:t>
      </w:r>
    </w:p>
    <w:p>
      <w:pPr>
        <w:pStyle w:val="ListParagraph"/>
        <w:numPr>
          <w:ilvl w:val="0"/>
          <w:numId w:val="2"/>
        </w:numPr>
        <w:spacing w:after="80"/>
      </w:pPr>
      <w:r>
        <w:t xml:space="preserve">Fixed Asset Coverage Ratio: a covenant measuring the value of a borrower's fixed assets against outstanding term debt, used to assess asset-backed recovery cushion</w:t>
      </w:r>
    </w:p>
    <w:p>
      <w:pPr>
        <w:pStyle w:val="Heading1"/>
        <w:spacing w:after="120" w:before="240"/>
      </w:pPr>
      <w:r>
        <w:t xml:space="preserve">14. Distribution</w:t>
      </w:r>
    </w:p>
    <w:p>
      <w:pPr>
        <w:spacing w:after="160"/>
      </w:pPr>
      <w:r>
        <w:t xml:space="preserve">This file is maintained by the Corporate Banking Branch, Hyderabad, and circulated to the credit committee and Stressed Assets Group point of contact for information. Internal notes in Section 9 are restricted to internal bank personnel and must not be shared with the borrower or any external party.</w:t>
      </w:r>
    </w:p>
    <w:p>
      <w:pPr>
        <w:spacing w:after="200"/>
      </w:pPr>
      <w:r>
        <w:rPr>
          <w:i/>
          <w:iCs/>
          <w:color w:val="666666"/>
          <w:sz w:val="20"/>
          <w:szCs w:val="20"/>
        </w:rPr>
        <w:t xml:space="preserve">End of document. Internal reference: CMB-TL-2022-0954 (synthetic training corpus).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15"/>
        <w:szCs w:val="15"/>
      </w:rPr>
      <w:t xml:space="preserve">Continental Merchant Bank Ltd. — Corporate Banking Branch, Hyderabad — Internal Credit File — TL/2022/0954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2026-08-23T14:10:49.270Z</dcterms:created>
  <dcterms:modified xsi:type="dcterms:W3CDTF">2026-08-23T14:10:49.270Z</dcterms:modified>
</cp:coreProperties>
</file>

<file path=docProps/custom.xml><?xml version="1.0" encoding="utf-8"?>
<Properties xmlns="http://schemas.openxmlformats.org/officeDocument/2006/custom-properties" xmlns:vt="http://schemas.openxmlformats.org/officeDocument/2006/docPropsVTypes"/>
</file>