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E5C2E"/>
          <w:sz w:val="22"/>
          <w:szCs w:val="22"/>
        </w:rPr>
        <w:t xml:space="preserve">Continental Merchant Bank Ltd. — Corporate Banking Branch, Hyderabad</w:t>
      </w:r>
    </w:p>
    <w:p>
      <w:pPr>
        <w:spacing w:after="200"/>
      </w:pPr>
      <w:r>
        <w:rPr>
          <w:i/>
          <w:iCs/>
          <w:color w:val="888888"/>
          <w:sz w:val="18"/>
          <w:szCs w:val="18"/>
        </w:rPr>
        <w:t xml:space="preserve">Internal Credit File — Confidential</w:t>
      </w:r>
    </w:p>
    <w:p>
      <w:pPr>
        <w:spacing w:after="80"/>
      </w:pPr>
      <w:r>
        <w:rPr>
          <w:b/>
          <w:bCs/>
          <w:color w:val="3E5C2E"/>
          <w:sz w:val="34"/>
          <w:szCs w:val="34"/>
        </w:rPr>
        <w:t xml:space="preserve">Metro Hospitality Ventures Pvt. Ltd.</w:t>
      </w:r>
    </w:p>
    <w:p>
      <w:pPr>
        <w:spacing w:after="200"/>
      </w:pPr>
      <w:r>
        <w:rPr>
          <w:i/>
          <w:iCs/>
          <w:color w:val="444444"/>
          <w:sz w:val="24"/>
          <w:szCs w:val="24"/>
        </w:rPr>
        <w:t xml:space="preserve">Restructuring Case File — Reference No. RST/2025/0033</w:t>
      </w:r>
    </w:p>
    <w:p>
      <w:pPr>
        <w:spacing w:after="200"/>
      </w:pPr>
      <w:r>
        <w:rPr>
          <w:i/>
          <w:iCs/>
          <w:color w:val="666666"/>
          <w:sz w:val="20"/>
          <w:szCs w:val="20"/>
        </w:rPr>
        <w:t xml:space="preserve">Illustrative / synthetic credit file created for training and demonstration purposes (e.g., testing retrieval-augmented generation systems). All names, figures, and details are fictional and do not correspond to any real borrower, bank, or transaction.</w:t>
      </w:r>
    </w:p>
    <w:p>
      <w:pPr>
        <w:pStyle w:val="Heading1"/>
        <w:spacing w:after="120" w:before="240"/>
      </w:pPr>
      <w:r>
        <w:t xml:space="preserve">1. Facility Overview (Pre-Restructuring)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3E5C2E" w:color="auto" w:val="clear"/>
            <w:tcMar>
              <w:top w:type="dxa" w:w="70"/>
              <w:left w:type="dxa" w:w="90"/>
              <w:bottom w:type="dxa" w:w="70"/>
              <w:right w:type="dxa" w:w="90"/>
            </w:tcMar>
          </w:tcPr>
          <w:p>
            <w:r>
              <w:rPr>
                <w:b/>
                <w:bCs/>
                <w:color w:val="FFFFFF"/>
                <w:sz w:val="19"/>
                <w:szCs w:val="19"/>
              </w:rPr>
              <w:t xml:space="preserve">Borrower</w:t>
            </w:r>
          </w:p>
        </w:tc>
        <w:tc>
          <w:tcPr>
            <w:tcW w:type="dxa" w:w="7000"/>
            <w:tcMar>
              <w:top w:type="dxa" w:w="70"/>
              <w:left w:type="dxa" w:w="90"/>
              <w:bottom w:type="dxa" w:w="70"/>
              <w:right w:type="dxa" w:w="90"/>
            </w:tcMar>
          </w:tcPr>
          <w:p>
            <w:r>
              <w:rPr>
                <w:b w:val="false"/>
                <w:bCs w:val="false"/>
                <w:color w:val="000000"/>
                <w:sz w:val="19"/>
                <w:szCs w:val="19"/>
              </w:rPr>
              <w:t xml:space="preserve">Metro Hospitality Ventures Pvt. Ltd., operating a 3-property budget hotel chain in Hyderabad</w:t>
            </w:r>
          </w:p>
        </w:tc>
      </w:tr>
      <w:tr>
        <w:tc>
          <w:tcPr>
            <w:tcW w:type="dxa" w:w="2800"/>
            <w:shd w:fill="3E5C2E" w:color="auto" w:val="clear"/>
            <w:tcMar>
              <w:top w:type="dxa" w:w="70"/>
              <w:left w:type="dxa" w:w="90"/>
              <w:bottom w:type="dxa" w:w="70"/>
              <w:right w:type="dxa" w:w="90"/>
            </w:tcMar>
          </w:tcPr>
          <w:p>
            <w:r>
              <w:rPr>
                <w:b/>
                <w:bCs/>
                <w:color w:val="FFFFFF"/>
                <w:sz w:val="19"/>
                <w:szCs w:val="19"/>
              </w:rPr>
              <w:t xml:space="preserve">Original Facility</w:t>
            </w:r>
          </w:p>
        </w:tc>
        <w:tc>
          <w:tcPr>
            <w:tcW w:type="dxa" w:w="7000"/>
            <w:tcMar>
              <w:top w:type="dxa" w:w="70"/>
              <w:left w:type="dxa" w:w="90"/>
              <w:bottom w:type="dxa" w:w="70"/>
              <w:right w:type="dxa" w:w="90"/>
            </w:tcMar>
          </w:tcPr>
          <w:p>
            <w:r>
              <w:rPr>
                <w:b w:val="false"/>
                <w:bCs w:val="false"/>
                <w:color w:val="000000"/>
                <w:sz w:val="19"/>
                <w:szCs w:val="19"/>
              </w:rPr>
              <w:t xml:space="preserve">Term Loan of ₹14,50,00,000 for hotel property acquisition and renovation, sanctioned March 2021</w:t>
            </w:r>
          </w:p>
        </w:tc>
      </w:tr>
      <w:tr>
        <w:tc>
          <w:tcPr>
            <w:tcW w:type="dxa" w:w="2800"/>
            <w:shd w:fill="3E5C2E" w:color="auto" w:val="clear"/>
            <w:tcMar>
              <w:top w:type="dxa" w:w="70"/>
              <w:left w:type="dxa" w:w="90"/>
              <w:bottom w:type="dxa" w:w="70"/>
              <w:right w:type="dxa" w:w="90"/>
            </w:tcMar>
          </w:tcPr>
          <w:p>
            <w:r>
              <w:rPr>
                <w:b/>
                <w:bCs/>
                <w:color w:val="FFFFFF"/>
                <w:sz w:val="19"/>
                <w:szCs w:val="19"/>
              </w:rPr>
              <w:t xml:space="preserve">Original Account No.</w:t>
            </w:r>
          </w:p>
        </w:tc>
        <w:tc>
          <w:tcPr>
            <w:tcW w:type="dxa" w:w="7000"/>
            <w:tcMar>
              <w:top w:type="dxa" w:w="70"/>
              <w:left w:type="dxa" w:w="90"/>
              <w:bottom w:type="dxa" w:w="70"/>
              <w:right w:type="dxa" w:w="90"/>
            </w:tcMar>
          </w:tcPr>
          <w:p>
            <w:r>
              <w:rPr>
                <w:b w:val="false"/>
                <w:bCs w:val="false"/>
                <w:color w:val="000000"/>
                <w:sz w:val="19"/>
                <w:szCs w:val="19"/>
              </w:rPr>
              <w:t xml:space="preserve">TL/2021/0412</w:t>
            </w:r>
          </w:p>
        </w:tc>
      </w:tr>
      <w:tr>
        <w:tc>
          <w:tcPr>
            <w:tcW w:type="dxa" w:w="2800"/>
            <w:shd w:fill="3E5C2E" w:color="auto" w:val="clear"/>
            <w:tcMar>
              <w:top w:type="dxa" w:w="70"/>
              <w:left w:type="dxa" w:w="90"/>
              <w:bottom w:type="dxa" w:w="70"/>
              <w:right w:type="dxa" w:w="90"/>
            </w:tcMar>
          </w:tcPr>
          <w:p>
            <w:r>
              <w:rPr>
                <w:b/>
                <w:bCs/>
                <w:color w:val="FFFFFF"/>
                <w:sz w:val="19"/>
                <w:szCs w:val="19"/>
              </w:rPr>
              <w:t xml:space="preserve">Restructuring Reference</w:t>
            </w:r>
          </w:p>
        </w:tc>
        <w:tc>
          <w:tcPr>
            <w:tcW w:type="dxa" w:w="7000"/>
            <w:tcMar>
              <w:top w:type="dxa" w:w="70"/>
              <w:left w:type="dxa" w:w="90"/>
              <w:bottom w:type="dxa" w:w="70"/>
              <w:right w:type="dxa" w:w="90"/>
            </w:tcMar>
          </w:tcPr>
          <w:p>
            <w:r>
              <w:rPr>
                <w:b w:val="false"/>
                <w:bCs w:val="false"/>
                <w:color w:val="000000"/>
                <w:sz w:val="19"/>
                <w:szCs w:val="19"/>
              </w:rPr>
              <w:t xml:space="preserve">RST/2025/0033</w:t>
            </w:r>
          </w:p>
        </w:tc>
      </w:tr>
      <w:tr>
        <w:tc>
          <w:tcPr>
            <w:tcW w:type="dxa" w:w="2800"/>
            <w:shd w:fill="3E5C2E" w:color="auto" w:val="clear"/>
            <w:tcMar>
              <w:top w:type="dxa" w:w="70"/>
              <w:left w:type="dxa" w:w="90"/>
              <w:bottom w:type="dxa" w:w="70"/>
              <w:right w:type="dxa" w:w="90"/>
            </w:tcMar>
          </w:tcPr>
          <w:p>
            <w:r>
              <w:rPr>
                <w:b/>
                <w:bCs/>
                <w:color w:val="FFFFFF"/>
                <w:sz w:val="19"/>
                <w:szCs w:val="19"/>
              </w:rPr>
              <w:t xml:space="preserve">Outstanding at Restructuring</w:t>
            </w:r>
          </w:p>
        </w:tc>
        <w:tc>
          <w:tcPr>
            <w:tcW w:type="dxa" w:w="7000"/>
            <w:tcMar>
              <w:top w:type="dxa" w:w="70"/>
              <w:left w:type="dxa" w:w="90"/>
              <w:bottom w:type="dxa" w:w="70"/>
              <w:right w:type="dxa" w:w="90"/>
            </w:tcMar>
          </w:tcPr>
          <w:p>
            <w:r>
              <w:rPr>
                <w:b w:val="false"/>
                <w:bCs w:val="false"/>
                <w:color w:val="000000"/>
                <w:sz w:val="19"/>
                <w:szCs w:val="19"/>
              </w:rPr>
              <w:t xml:space="preserve">₹10,85,00,000 (as of 31 Jan 2025, cut-off date)</w:t>
            </w:r>
          </w:p>
        </w:tc>
      </w:tr>
      <w:tr>
        <w:tc>
          <w:tcPr>
            <w:tcW w:type="dxa" w:w="2800"/>
            <w:shd w:fill="3E5C2E" w:color="auto" w:val="clear"/>
            <w:tcMar>
              <w:top w:type="dxa" w:w="70"/>
              <w:left w:type="dxa" w:w="90"/>
              <w:bottom w:type="dxa" w:w="70"/>
              <w:right w:type="dxa" w:w="90"/>
            </w:tcMar>
          </w:tcPr>
          <w:p>
            <w:r>
              <w:rPr>
                <w:b/>
                <w:bCs/>
                <w:color w:val="FFFFFF"/>
                <w:sz w:val="19"/>
                <w:szCs w:val="19"/>
              </w:rPr>
              <w:t xml:space="preserve">Reason for Stress</w:t>
            </w:r>
          </w:p>
        </w:tc>
        <w:tc>
          <w:tcPr>
            <w:tcW w:type="dxa" w:w="7000"/>
            <w:tcMar>
              <w:top w:type="dxa" w:w="70"/>
              <w:left w:type="dxa" w:w="90"/>
              <w:bottom w:type="dxa" w:w="70"/>
              <w:right w:type="dxa" w:w="90"/>
            </w:tcMar>
          </w:tcPr>
          <w:p>
            <w:r>
              <w:rPr>
                <w:b w:val="false"/>
                <w:bCs w:val="false"/>
                <w:color w:val="000000"/>
                <w:sz w:val="19"/>
                <w:szCs w:val="19"/>
              </w:rPr>
              <w:t xml:space="preserve">Prolonged occupancy shortfall following reduced corporate travel demand in the borrower's key micro-market segment</w:t>
            </w:r>
          </w:p>
        </w:tc>
      </w:tr>
      <w:tr>
        <w:tc>
          <w:tcPr>
            <w:tcW w:type="dxa" w:w="2800"/>
            <w:shd w:fill="3E5C2E" w:color="auto" w:val="clear"/>
            <w:tcMar>
              <w:top w:type="dxa" w:w="70"/>
              <w:left w:type="dxa" w:w="90"/>
              <w:bottom w:type="dxa" w:w="70"/>
              <w:right w:type="dxa" w:w="90"/>
            </w:tcMar>
          </w:tcPr>
          <w:p>
            <w:r>
              <w:rPr>
                <w:b/>
                <w:bCs/>
                <w:color w:val="FFFFFF"/>
                <w:sz w:val="19"/>
                <w:szCs w:val="19"/>
              </w:rPr>
              <w:t xml:space="preserve">Asset Classification (Pre-Restructuring)</w:t>
            </w:r>
          </w:p>
        </w:tc>
        <w:tc>
          <w:tcPr>
            <w:tcW w:type="dxa" w:w="7000"/>
            <w:tcMar>
              <w:top w:type="dxa" w:w="70"/>
              <w:left w:type="dxa" w:w="90"/>
              <w:bottom w:type="dxa" w:w="70"/>
              <w:right w:type="dxa" w:w="90"/>
            </w:tcMar>
          </w:tcPr>
          <w:p>
            <w:r>
              <w:rPr>
                <w:b w:val="false"/>
                <w:bCs w:val="false"/>
                <w:color w:val="000000"/>
                <w:sz w:val="19"/>
                <w:szCs w:val="19"/>
              </w:rPr>
              <w:t xml:space="preserve">SMA-1 as of December 2024 (overdue 31–60 days)</w:t>
            </w:r>
          </w:p>
        </w:tc>
      </w:tr>
      <w:tr>
        <w:tc>
          <w:tcPr>
            <w:tcW w:type="dxa" w:w="2800"/>
            <w:shd w:fill="3E5C2E" w:color="auto" w:val="clear"/>
            <w:tcMar>
              <w:top w:type="dxa" w:w="70"/>
              <w:left w:type="dxa" w:w="90"/>
              <w:bottom w:type="dxa" w:w="70"/>
              <w:right w:type="dxa" w:w="90"/>
            </w:tcMar>
          </w:tcPr>
          <w:p>
            <w:r>
              <w:rPr>
                <w:b/>
                <w:bCs/>
                <w:color w:val="FFFFFF"/>
                <w:sz w:val="19"/>
                <w:szCs w:val="19"/>
              </w:rPr>
              <w:t xml:space="preserve">Relationship Manager</w:t>
            </w:r>
          </w:p>
        </w:tc>
        <w:tc>
          <w:tcPr>
            <w:tcW w:type="dxa" w:w="7000"/>
            <w:tcMar>
              <w:top w:type="dxa" w:w="70"/>
              <w:left w:type="dxa" w:w="90"/>
              <w:bottom w:type="dxa" w:w="70"/>
              <w:right w:type="dxa" w:w="90"/>
            </w:tcMar>
          </w:tcPr>
          <w:p>
            <w:r>
              <w:rPr>
                <w:b w:val="false"/>
                <w:bCs w:val="false"/>
                <w:color w:val="000000"/>
                <w:sz w:val="19"/>
                <w:szCs w:val="19"/>
              </w:rPr>
              <w:t xml:space="preserve">Mr. Sandeep Rathi, Manager — Stressed Assets Group</w:t>
            </w:r>
          </w:p>
        </w:tc>
      </w:tr>
    </w:tbl>
    <w:p>
      <w:pPr>
        <w:pStyle w:val="Heading1"/>
        <w:spacing w:after="120" w:before="240"/>
      </w:pPr>
      <w:r>
        <w:t xml:space="preserve">2. Borrower Profile and Background</w:t>
      </w:r>
    </w:p>
    <w:p>
      <w:pPr>
        <w:spacing w:after="160"/>
      </w:pPr>
      <w:r>
        <w:t xml:space="preserve">Metro Hospitality Ventures Pvt. Ltd. operates three budget-category hotel properties in Hyderabad, catering primarily to corporate and business travelers. Following the original term loan disbursement in 2021, occupancy and average room rates underperformed projections due to a slower-than-expected recovery in corporate travel demand in the borrower's target segment, resulting in cash flow shortfalls beginning in mid-2024.</w:t>
      </w:r>
    </w:p>
    <w:p>
      <w:pPr>
        <w:spacing w:after="160"/>
      </w:pPr>
      <w:r>
        <w:t xml:space="preserve">The borrower approached the bank in November 2024 with a request for restructuring, supported by a revised business plan and a commitment of additional promoter capital infusion.</w:t>
      </w:r>
    </w:p>
    <w:p>
      <w:pPr>
        <w:pStyle w:val="Heading1"/>
        <w:spacing w:after="120" w:before="240"/>
      </w:pPr>
      <w:r>
        <w:t xml:space="preserve">3. Chronology of Restructuring Process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800"/>
      </w:tblGrid>
      <w:tr>
        <w:tc>
          <w:tcPr>
            <w:tcW w:type="dxa" w:w="1500"/>
            <w:shd w:fill="3E5C2E" w:color="auto" w:val="clear"/>
            <w:tcMar>
              <w:top w:type="dxa" w:w="70"/>
              <w:left w:type="dxa" w:w="90"/>
              <w:bottom w:type="dxa" w:w="70"/>
              <w:right w:type="dxa" w:w="90"/>
            </w:tcMar>
          </w:tcPr>
          <w:p>
            <w:r>
              <w:rPr>
                <w:b/>
                <w:bCs/>
                <w:color w:val="FFFFFF"/>
                <w:sz w:val="19"/>
                <w:szCs w:val="19"/>
              </w:rPr>
              <w:t xml:space="preserve">Date</w:t>
            </w:r>
          </w:p>
        </w:tc>
        <w:tc>
          <w:tcPr>
            <w:tcW w:type="dxa" w:w="2600"/>
            <w:shd w:fill="3E5C2E" w:color="auto" w:val="clear"/>
            <w:tcMar>
              <w:top w:type="dxa" w:w="70"/>
              <w:left w:type="dxa" w:w="90"/>
              <w:bottom w:type="dxa" w:w="70"/>
              <w:right w:type="dxa" w:w="90"/>
            </w:tcMar>
          </w:tcPr>
          <w:p>
            <w:r>
              <w:rPr>
                <w:b/>
                <w:bCs/>
                <w:color w:val="FFFFFF"/>
                <w:sz w:val="19"/>
                <w:szCs w:val="19"/>
              </w:rPr>
              <w:t xml:space="preserve">Event</w:t>
            </w:r>
          </w:p>
        </w:tc>
        <w:tc>
          <w:tcPr>
            <w:tcW w:type="dxa" w:w="5800"/>
            <w:shd w:fill="3E5C2E" w:color="auto" w:val="clear"/>
            <w:tcMar>
              <w:top w:type="dxa" w:w="70"/>
              <w:left w:type="dxa" w:w="90"/>
              <w:bottom w:type="dxa" w:w="70"/>
              <w:right w:type="dxa" w:w="90"/>
            </w:tcMar>
          </w:tcPr>
          <w:p>
            <w:r>
              <w:rPr>
                <w:b/>
                <w:bCs/>
                <w:color w:val="FFFFFF"/>
                <w:sz w:val="19"/>
                <w:szCs w:val="19"/>
              </w:rPr>
              <w:t xml:space="preserve">Notes</w:t>
            </w:r>
          </w:p>
        </w:tc>
      </w:tr>
      <w:tr>
        <w:tc>
          <w:tcPr>
            <w:tcW w:type="dxa" w:w="1500"/>
            <w:tcMar>
              <w:top w:type="dxa" w:w="70"/>
              <w:left w:type="dxa" w:w="90"/>
              <w:bottom w:type="dxa" w:w="70"/>
              <w:right w:type="dxa" w:w="90"/>
            </w:tcMar>
          </w:tcPr>
          <w:p>
            <w:r>
              <w:rPr>
                <w:b w:val="false"/>
                <w:bCs w:val="false"/>
                <w:color w:val="000000"/>
                <w:sz w:val="19"/>
                <w:szCs w:val="19"/>
              </w:rPr>
              <w:t xml:space="preserve">14 Nov 2024</w:t>
            </w:r>
          </w:p>
        </w:tc>
        <w:tc>
          <w:tcPr>
            <w:tcW w:type="dxa" w:w="2600"/>
            <w:tcMar>
              <w:top w:type="dxa" w:w="70"/>
              <w:left w:type="dxa" w:w="90"/>
              <w:bottom w:type="dxa" w:w="70"/>
              <w:right w:type="dxa" w:w="90"/>
            </w:tcMar>
          </w:tcPr>
          <w:p>
            <w:r>
              <w:rPr>
                <w:b w:val="false"/>
                <w:bCs w:val="false"/>
                <w:color w:val="000000"/>
                <w:sz w:val="19"/>
                <w:szCs w:val="19"/>
              </w:rPr>
              <w:t xml:space="preserve">Borrower's restructuring request received</w:t>
            </w:r>
          </w:p>
        </w:tc>
        <w:tc>
          <w:tcPr>
            <w:tcW w:type="dxa" w:w="5800"/>
            <w:tcMar>
              <w:top w:type="dxa" w:w="70"/>
              <w:left w:type="dxa" w:w="90"/>
              <w:bottom w:type="dxa" w:w="70"/>
              <w:right w:type="dxa" w:w="90"/>
            </w:tcMar>
          </w:tcPr>
          <w:p>
            <w:r>
              <w:rPr>
                <w:b w:val="false"/>
                <w:bCs w:val="false"/>
                <w:color w:val="000000"/>
                <w:sz w:val="19"/>
                <w:szCs w:val="19"/>
              </w:rPr>
              <w:t xml:space="preserve">Cited occupancy shortfall and cash flow mismatch; requested tenor extension and moratorium</w:t>
            </w:r>
          </w:p>
        </w:tc>
      </w:tr>
      <w:tr>
        <w:tc>
          <w:tcPr>
            <w:tcW w:type="dxa" w:w="1500"/>
            <w:tcMar>
              <w:top w:type="dxa" w:w="70"/>
              <w:left w:type="dxa" w:w="90"/>
              <w:bottom w:type="dxa" w:w="70"/>
              <w:right w:type="dxa" w:w="90"/>
            </w:tcMar>
          </w:tcPr>
          <w:p>
            <w:r>
              <w:rPr>
                <w:b w:val="false"/>
                <w:bCs w:val="false"/>
                <w:color w:val="000000"/>
                <w:sz w:val="19"/>
                <w:szCs w:val="19"/>
              </w:rPr>
              <w:t xml:space="preserve">5 Dec 2024</w:t>
            </w:r>
          </w:p>
        </w:tc>
        <w:tc>
          <w:tcPr>
            <w:tcW w:type="dxa" w:w="2600"/>
            <w:tcMar>
              <w:top w:type="dxa" w:w="70"/>
              <w:left w:type="dxa" w:w="90"/>
              <w:bottom w:type="dxa" w:w="70"/>
              <w:right w:type="dxa" w:w="90"/>
            </w:tcMar>
          </w:tcPr>
          <w:p>
            <w:r>
              <w:rPr>
                <w:b w:val="false"/>
                <w:bCs w:val="false"/>
                <w:color w:val="000000"/>
                <w:sz w:val="19"/>
                <w:szCs w:val="19"/>
              </w:rPr>
              <w:t xml:space="preserve">Account slips to SMA-1</w:t>
            </w:r>
          </w:p>
        </w:tc>
        <w:tc>
          <w:tcPr>
            <w:tcW w:type="dxa" w:w="5800"/>
            <w:tcMar>
              <w:top w:type="dxa" w:w="70"/>
              <w:left w:type="dxa" w:w="90"/>
              <w:bottom w:type="dxa" w:w="70"/>
              <w:right w:type="dxa" w:w="90"/>
            </w:tcMar>
          </w:tcPr>
          <w:p>
            <w:r>
              <w:rPr>
                <w:b w:val="false"/>
                <w:bCs w:val="false"/>
                <w:color w:val="000000"/>
                <w:sz w:val="19"/>
                <w:szCs w:val="19"/>
              </w:rPr>
              <w:t xml:space="preserve">Overdue installment of ₹42,00,000 remained unpaid beyond 30 days</w:t>
            </w:r>
          </w:p>
        </w:tc>
      </w:tr>
      <w:tr>
        <w:tc>
          <w:tcPr>
            <w:tcW w:type="dxa" w:w="1500"/>
            <w:tcMar>
              <w:top w:type="dxa" w:w="70"/>
              <w:left w:type="dxa" w:w="90"/>
              <w:bottom w:type="dxa" w:w="70"/>
              <w:right w:type="dxa" w:w="90"/>
            </w:tcMar>
          </w:tcPr>
          <w:p>
            <w:r>
              <w:rPr>
                <w:b w:val="false"/>
                <w:bCs w:val="false"/>
                <w:color w:val="000000"/>
                <w:sz w:val="19"/>
                <w:szCs w:val="19"/>
              </w:rPr>
              <w:t xml:space="preserve">20 Dec 2024</w:t>
            </w:r>
          </w:p>
        </w:tc>
        <w:tc>
          <w:tcPr>
            <w:tcW w:type="dxa" w:w="2600"/>
            <w:tcMar>
              <w:top w:type="dxa" w:w="70"/>
              <w:left w:type="dxa" w:w="90"/>
              <w:bottom w:type="dxa" w:w="70"/>
              <w:right w:type="dxa" w:w="90"/>
            </w:tcMar>
          </w:tcPr>
          <w:p>
            <w:r>
              <w:rPr>
                <w:b w:val="false"/>
                <w:bCs w:val="false"/>
                <w:color w:val="000000"/>
                <w:sz w:val="19"/>
                <w:szCs w:val="19"/>
              </w:rPr>
              <w:t xml:space="preserve">Independent viability assessment commissioned</w:t>
            </w:r>
          </w:p>
        </w:tc>
        <w:tc>
          <w:tcPr>
            <w:tcW w:type="dxa" w:w="5800"/>
            <w:tcMar>
              <w:top w:type="dxa" w:w="70"/>
              <w:left w:type="dxa" w:w="90"/>
              <w:bottom w:type="dxa" w:w="70"/>
              <w:right w:type="dxa" w:w="90"/>
            </w:tcMar>
          </w:tcPr>
          <w:p>
            <w:r>
              <w:rPr>
                <w:b w:val="false"/>
                <w:bCs w:val="false"/>
                <w:color w:val="000000"/>
                <w:sz w:val="19"/>
                <w:szCs w:val="19"/>
              </w:rPr>
              <w:t xml:space="preserve">External consultant engaged to assess revised business plan and cash flow projections</w:t>
            </w:r>
          </w:p>
        </w:tc>
      </w:tr>
      <w:tr>
        <w:tc>
          <w:tcPr>
            <w:tcW w:type="dxa" w:w="1500"/>
            <w:tcMar>
              <w:top w:type="dxa" w:w="70"/>
              <w:left w:type="dxa" w:w="90"/>
              <w:bottom w:type="dxa" w:w="70"/>
              <w:right w:type="dxa" w:w="90"/>
            </w:tcMar>
          </w:tcPr>
          <w:p>
            <w:r>
              <w:rPr>
                <w:b w:val="false"/>
                <w:bCs w:val="false"/>
                <w:color w:val="000000"/>
                <w:sz w:val="19"/>
                <w:szCs w:val="19"/>
              </w:rPr>
              <w:t xml:space="preserve">18 Jan 2025</w:t>
            </w:r>
          </w:p>
        </w:tc>
        <w:tc>
          <w:tcPr>
            <w:tcW w:type="dxa" w:w="2600"/>
            <w:tcMar>
              <w:top w:type="dxa" w:w="70"/>
              <w:left w:type="dxa" w:w="90"/>
              <w:bottom w:type="dxa" w:w="70"/>
              <w:right w:type="dxa" w:w="90"/>
            </w:tcMar>
          </w:tcPr>
          <w:p>
            <w:r>
              <w:rPr>
                <w:b w:val="false"/>
                <w:bCs w:val="false"/>
                <w:color w:val="000000"/>
                <w:sz w:val="19"/>
                <w:szCs w:val="19"/>
              </w:rPr>
              <w:t xml:space="preserve">Viability assessment report received</w:t>
            </w:r>
          </w:p>
        </w:tc>
        <w:tc>
          <w:tcPr>
            <w:tcW w:type="dxa" w:w="5800"/>
            <w:tcMar>
              <w:top w:type="dxa" w:w="70"/>
              <w:left w:type="dxa" w:w="90"/>
              <w:bottom w:type="dxa" w:w="70"/>
              <w:right w:type="dxa" w:w="90"/>
            </w:tcMar>
          </w:tcPr>
          <w:p>
            <w:r>
              <w:rPr>
                <w:b w:val="false"/>
                <w:bCs w:val="false"/>
                <w:color w:val="000000"/>
                <w:sz w:val="19"/>
                <w:szCs w:val="19"/>
              </w:rPr>
              <w:t xml:space="preserve">Consultant assessed the business as viable with restructured terms, subject to promoter capital infusion of ₹1,50,00,000</w:t>
            </w:r>
          </w:p>
        </w:tc>
      </w:tr>
      <w:tr>
        <w:tc>
          <w:tcPr>
            <w:tcW w:type="dxa" w:w="1500"/>
            <w:tcMar>
              <w:top w:type="dxa" w:w="70"/>
              <w:left w:type="dxa" w:w="90"/>
              <w:bottom w:type="dxa" w:w="70"/>
              <w:right w:type="dxa" w:w="90"/>
            </w:tcMar>
          </w:tcPr>
          <w:p>
            <w:r>
              <w:rPr>
                <w:b w:val="false"/>
                <w:bCs w:val="false"/>
                <w:color w:val="000000"/>
                <w:sz w:val="19"/>
                <w:szCs w:val="19"/>
              </w:rPr>
              <w:t xml:space="preserve">31 Jan 2025</w:t>
            </w:r>
          </w:p>
        </w:tc>
        <w:tc>
          <w:tcPr>
            <w:tcW w:type="dxa" w:w="2600"/>
            <w:tcMar>
              <w:top w:type="dxa" w:w="70"/>
              <w:left w:type="dxa" w:w="90"/>
              <w:bottom w:type="dxa" w:w="70"/>
              <w:right w:type="dxa" w:w="90"/>
            </w:tcMar>
          </w:tcPr>
          <w:p>
            <w:r>
              <w:rPr>
                <w:b w:val="false"/>
                <w:bCs w:val="false"/>
                <w:color w:val="000000"/>
                <w:sz w:val="19"/>
                <w:szCs w:val="19"/>
              </w:rPr>
              <w:t xml:space="preserve">Cut-off date for restructuring package</w:t>
            </w:r>
          </w:p>
        </w:tc>
        <w:tc>
          <w:tcPr>
            <w:tcW w:type="dxa" w:w="5800"/>
            <w:tcMar>
              <w:top w:type="dxa" w:w="70"/>
              <w:left w:type="dxa" w:w="90"/>
              <w:bottom w:type="dxa" w:w="70"/>
              <w:right w:type="dxa" w:w="90"/>
            </w:tcMar>
          </w:tcPr>
          <w:p>
            <w:r>
              <w:rPr>
                <w:b w:val="false"/>
                <w:bCs w:val="false"/>
                <w:color w:val="000000"/>
                <w:sz w:val="19"/>
                <w:szCs w:val="19"/>
              </w:rPr>
              <w:t xml:space="preserve">Outstanding of ₹10,85,00,000 taken as base for restructured terms</w:t>
            </w:r>
          </w:p>
        </w:tc>
      </w:tr>
      <w:tr>
        <w:tc>
          <w:tcPr>
            <w:tcW w:type="dxa" w:w="1500"/>
            <w:tcMar>
              <w:top w:type="dxa" w:w="70"/>
              <w:left w:type="dxa" w:w="90"/>
              <w:bottom w:type="dxa" w:w="70"/>
              <w:right w:type="dxa" w:w="90"/>
            </w:tcMar>
          </w:tcPr>
          <w:p>
            <w:r>
              <w:rPr>
                <w:b w:val="false"/>
                <w:bCs w:val="false"/>
                <w:color w:val="000000"/>
                <w:sz w:val="19"/>
                <w:szCs w:val="19"/>
              </w:rPr>
              <w:t xml:space="preserve">14 Feb 2025</w:t>
            </w:r>
          </w:p>
        </w:tc>
        <w:tc>
          <w:tcPr>
            <w:tcW w:type="dxa" w:w="2600"/>
            <w:tcMar>
              <w:top w:type="dxa" w:w="70"/>
              <w:left w:type="dxa" w:w="90"/>
              <w:bottom w:type="dxa" w:w="70"/>
              <w:right w:type="dxa" w:w="90"/>
            </w:tcMar>
          </w:tcPr>
          <w:p>
            <w:r>
              <w:rPr>
                <w:b w:val="false"/>
                <w:bCs w:val="false"/>
                <w:color w:val="000000"/>
                <w:sz w:val="19"/>
                <w:szCs w:val="19"/>
              </w:rPr>
              <w:t xml:space="preserve">Restructuring package approved by credit committee</w:t>
            </w:r>
          </w:p>
        </w:tc>
        <w:tc>
          <w:tcPr>
            <w:tcW w:type="dxa" w:w="5800"/>
            <w:tcMar>
              <w:top w:type="dxa" w:w="70"/>
              <w:left w:type="dxa" w:w="90"/>
              <w:bottom w:type="dxa" w:w="70"/>
              <w:right w:type="dxa" w:w="90"/>
            </w:tcMar>
          </w:tcPr>
          <w:p>
            <w:r>
              <w:rPr>
                <w:b w:val="false"/>
                <w:bCs w:val="false"/>
                <w:color w:val="000000"/>
                <w:sz w:val="19"/>
                <w:szCs w:val="19"/>
              </w:rPr>
              <w:t xml:space="preserve">Approved subject to promoter capital infusion condition and revised covenant package</w:t>
            </w:r>
          </w:p>
        </w:tc>
      </w:tr>
      <w:tr>
        <w:tc>
          <w:tcPr>
            <w:tcW w:type="dxa" w:w="1500"/>
            <w:tcMar>
              <w:top w:type="dxa" w:w="70"/>
              <w:left w:type="dxa" w:w="90"/>
              <w:bottom w:type="dxa" w:w="70"/>
              <w:right w:type="dxa" w:w="90"/>
            </w:tcMar>
          </w:tcPr>
          <w:p>
            <w:r>
              <w:rPr>
                <w:b w:val="false"/>
                <w:bCs w:val="false"/>
                <w:color w:val="000000"/>
                <w:sz w:val="19"/>
                <w:szCs w:val="19"/>
              </w:rPr>
              <w:t xml:space="preserve">28 Feb 2025</w:t>
            </w:r>
          </w:p>
        </w:tc>
        <w:tc>
          <w:tcPr>
            <w:tcW w:type="dxa" w:w="2600"/>
            <w:tcMar>
              <w:top w:type="dxa" w:w="70"/>
              <w:left w:type="dxa" w:w="90"/>
              <w:bottom w:type="dxa" w:w="70"/>
              <w:right w:type="dxa" w:w="90"/>
            </w:tcMar>
          </w:tcPr>
          <w:p>
            <w:r>
              <w:rPr>
                <w:b w:val="false"/>
                <w:bCs w:val="false"/>
                <w:color w:val="000000"/>
                <w:sz w:val="19"/>
                <w:szCs w:val="19"/>
              </w:rPr>
              <w:t xml:space="preserve">Promoter capital infusion confirmed</w:t>
            </w:r>
          </w:p>
        </w:tc>
        <w:tc>
          <w:tcPr>
            <w:tcW w:type="dxa" w:w="5800"/>
            <w:tcMar>
              <w:top w:type="dxa" w:w="70"/>
              <w:left w:type="dxa" w:w="90"/>
              <w:bottom w:type="dxa" w:w="70"/>
              <w:right w:type="dxa" w:w="90"/>
            </w:tcMar>
          </w:tcPr>
          <w:p>
            <w:r>
              <w:rPr>
                <w:b w:val="false"/>
                <w:bCs w:val="false"/>
                <w:color w:val="000000"/>
                <w:sz w:val="19"/>
                <w:szCs w:val="19"/>
              </w:rPr>
              <w:t xml:space="preserve">₹1,50,00,000 infused into borrower's current account, verified by bank</w:t>
            </w:r>
          </w:p>
        </w:tc>
      </w:tr>
      <w:tr>
        <w:tc>
          <w:tcPr>
            <w:tcW w:type="dxa" w:w="1500"/>
            <w:tcMar>
              <w:top w:type="dxa" w:w="70"/>
              <w:left w:type="dxa" w:w="90"/>
              <w:bottom w:type="dxa" w:w="70"/>
              <w:right w:type="dxa" w:w="90"/>
            </w:tcMar>
          </w:tcPr>
          <w:p>
            <w:r>
              <w:rPr>
                <w:b w:val="false"/>
                <w:bCs w:val="false"/>
                <w:color w:val="000000"/>
                <w:sz w:val="19"/>
                <w:szCs w:val="19"/>
              </w:rPr>
              <w:t xml:space="preserve">10 Mar 2025</w:t>
            </w:r>
          </w:p>
        </w:tc>
        <w:tc>
          <w:tcPr>
            <w:tcW w:type="dxa" w:w="2600"/>
            <w:tcMar>
              <w:top w:type="dxa" w:w="70"/>
              <w:left w:type="dxa" w:w="90"/>
              <w:bottom w:type="dxa" w:w="70"/>
              <w:right w:type="dxa" w:w="90"/>
            </w:tcMar>
          </w:tcPr>
          <w:p>
            <w:r>
              <w:rPr>
                <w:b w:val="false"/>
                <w:bCs w:val="false"/>
                <w:color w:val="000000"/>
                <w:sz w:val="19"/>
                <w:szCs w:val="19"/>
              </w:rPr>
              <w:t xml:space="preserve">Restructuring agreement executed</w:t>
            </w:r>
          </w:p>
        </w:tc>
        <w:tc>
          <w:tcPr>
            <w:tcW w:type="dxa" w:w="5800"/>
            <w:tcMar>
              <w:top w:type="dxa" w:w="70"/>
              <w:left w:type="dxa" w:w="90"/>
              <w:bottom w:type="dxa" w:w="70"/>
              <w:right w:type="dxa" w:w="90"/>
            </w:tcMar>
          </w:tcPr>
          <w:p>
            <w:r>
              <w:rPr>
                <w:b w:val="false"/>
                <w:bCs w:val="false"/>
                <w:color w:val="000000"/>
                <w:sz w:val="19"/>
                <w:szCs w:val="19"/>
              </w:rPr>
              <w:t xml:space="preserve">Revised repayment schedule and covenant package take effect from 1 Apr 2025</w:t>
            </w:r>
          </w:p>
        </w:tc>
      </w:tr>
      <w:tr>
        <w:tc>
          <w:tcPr>
            <w:tcW w:type="dxa" w:w="1500"/>
            <w:tcMar>
              <w:top w:type="dxa" w:w="70"/>
              <w:left w:type="dxa" w:w="90"/>
              <w:bottom w:type="dxa" w:w="70"/>
              <w:right w:type="dxa" w:w="90"/>
            </w:tcMar>
          </w:tcPr>
          <w:p>
            <w:r>
              <w:rPr>
                <w:b w:val="false"/>
                <w:bCs w:val="false"/>
                <w:color w:val="000000"/>
                <w:sz w:val="19"/>
                <w:szCs w:val="19"/>
              </w:rPr>
              <w:t xml:space="preserve">15 Jul 2025</w:t>
            </w:r>
          </w:p>
        </w:tc>
        <w:tc>
          <w:tcPr>
            <w:tcW w:type="dxa" w:w="2600"/>
            <w:tcMar>
              <w:top w:type="dxa" w:w="70"/>
              <w:left w:type="dxa" w:w="90"/>
              <w:bottom w:type="dxa" w:w="70"/>
              <w:right w:type="dxa" w:w="90"/>
            </w:tcMar>
          </w:tcPr>
          <w:p>
            <w:r>
              <w:rPr>
                <w:b w:val="false"/>
                <w:bCs w:val="false"/>
                <w:color w:val="000000"/>
                <w:sz w:val="19"/>
                <w:szCs w:val="19"/>
              </w:rPr>
              <w:t xml:space="preserve">First post-restructuring quarterly review</w:t>
            </w:r>
          </w:p>
        </w:tc>
        <w:tc>
          <w:tcPr>
            <w:tcW w:type="dxa" w:w="5800"/>
            <w:tcMar>
              <w:top w:type="dxa" w:w="70"/>
              <w:left w:type="dxa" w:w="90"/>
              <w:bottom w:type="dxa" w:w="70"/>
              <w:right w:type="dxa" w:w="90"/>
            </w:tcMar>
          </w:tcPr>
          <w:p>
            <w:r>
              <w:rPr>
                <w:b w:val="false"/>
                <w:bCs w:val="false"/>
                <w:color w:val="000000"/>
                <w:sz w:val="19"/>
                <w:szCs w:val="19"/>
              </w:rPr>
              <w:t xml:space="preserve">First two installments under revised schedule paid on time; no overdue</w:t>
            </w:r>
          </w:p>
        </w:tc>
      </w:tr>
    </w:tbl>
    <w:p>
      <w:pPr>
        <w:pStyle w:val="Heading1"/>
        <w:spacing w:after="120" w:before="240"/>
      </w:pPr>
      <w:r>
        <w:t xml:space="preserve">4. Restructured Terms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shd w:fill="3E5C2E" w:color="auto" w:val="clear"/>
            <w:tcMar>
              <w:top w:type="dxa" w:w="70"/>
              <w:left w:type="dxa" w:w="90"/>
              <w:bottom w:type="dxa" w:w="70"/>
              <w:right w:type="dxa" w:w="90"/>
            </w:tcMar>
          </w:tcPr>
          <w:p>
            <w:r>
              <w:rPr>
                <w:b/>
                <w:bCs/>
                <w:color w:val="FFFFFF"/>
                <w:sz w:val="19"/>
                <w:szCs w:val="19"/>
              </w:rPr>
              <w:t xml:space="preserve">Parameter</w:t>
            </w:r>
          </w:p>
        </w:tc>
        <w:tc>
          <w:tcPr>
            <w:tcW w:type="dxa" w:w="3200"/>
            <w:shd w:fill="3E5C2E" w:color="auto" w:val="clear"/>
            <w:tcMar>
              <w:top w:type="dxa" w:w="70"/>
              <w:left w:type="dxa" w:w="90"/>
              <w:bottom w:type="dxa" w:w="70"/>
              <w:right w:type="dxa" w:w="90"/>
            </w:tcMar>
          </w:tcPr>
          <w:p>
            <w:r>
              <w:rPr>
                <w:b/>
                <w:bCs/>
                <w:color w:val="FFFFFF"/>
                <w:sz w:val="19"/>
                <w:szCs w:val="19"/>
              </w:rPr>
              <w:t xml:space="preserve">Pre-Restructuring</w:t>
            </w:r>
          </w:p>
        </w:tc>
        <w:tc>
          <w:tcPr>
            <w:tcW w:type="dxa" w:w="4000"/>
            <w:shd w:fill="3E5C2E" w:color="auto" w:val="clear"/>
            <w:tcMar>
              <w:top w:type="dxa" w:w="70"/>
              <w:left w:type="dxa" w:w="90"/>
              <w:bottom w:type="dxa" w:w="70"/>
              <w:right w:type="dxa" w:w="90"/>
            </w:tcMar>
          </w:tcPr>
          <w:p>
            <w:r>
              <w:rPr>
                <w:b/>
                <w:bCs/>
                <w:color w:val="FFFFFF"/>
                <w:sz w:val="19"/>
                <w:szCs w:val="19"/>
              </w:rPr>
              <w:t xml:space="preserve">Post-Restructuring</w:t>
            </w:r>
          </w:p>
        </w:tc>
      </w:tr>
      <w:tr>
        <w:tc>
          <w:tcPr>
            <w:tcW w:type="dxa" w:w="2600"/>
            <w:tcMar>
              <w:top w:type="dxa" w:w="70"/>
              <w:left w:type="dxa" w:w="90"/>
              <w:bottom w:type="dxa" w:w="70"/>
              <w:right w:type="dxa" w:w="90"/>
            </w:tcMar>
          </w:tcPr>
          <w:p>
            <w:r>
              <w:rPr>
                <w:b w:val="false"/>
                <w:bCs w:val="false"/>
                <w:color w:val="000000"/>
                <w:sz w:val="19"/>
                <w:szCs w:val="19"/>
              </w:rPr>
              <w:t xml:space="preserve">Outstanding tenor remaining</w:t>
            </w:r>
          </w:p>
        </w:tc>
        <w:tc>
          <w:tcPr>
            <w:tcW w:type="dxa" w:w="3200"/>
            <w:tcMar>
              <w:top w:type="dxa" w:w="70"/>
              <w:left w:type="dxa" w:w="90"/>
              <w:bottom w:type="dxa" w:w="70"/>
              <w:right w:type="dxa" w:w="90"/>
            </w:tcMar>
          </w:tcPr>
          <w:p>
            <w:r>
              <w:rPr>
                <w:b w:val="false"/>
                <w:bCs w:val="false"/>
                <w:color w:val="000000"/>
                <w:sz w:val="19"/>
                <w:szCs w:val="19"/>
              </w:rPr>
              <w:t xml:space="preserve">38 months</w:t>
            </w:r>
          </w:p>
        </w:tc>
        <w:tc>
          <w:tcPr>
            <w:tcW w:type="dxa" w:w="4000"/>
            <w:tcMar>
              <w:top w:type="dxa" w:w="70"/>
              <w:left w:type="dxa" w:w="90"/>
              <w:bottom w:type="dxa" w:w="70"/>
              <w:right w:type="dxa" w:w="90"/>
            </w:tcMar>
          </w:tcPr>
          <w:p>
            <w:r>
              <w:rPr>
                <w:b w:val="false"/>
                <w:bCs w:val="false"/>
                <w:color w:val="000000"/>
                <w:sz w:val="19"/>
                <w:szCs w:val="19"/>
              </w:rPr>
              <w:t xml:space="preserve">62 months (24-month extension)</w:t>
            </w:r>
          </w:p>
        </w:tc>
      </w:tr>
      <w:tr>
        <w:tc>
          <w:tcPr>
            <w:tcW w:type="dxa" w:w="2600"/>
            <w:tcMar>
              <w:top w:type="dxa" w:w="70"/>
              <w:left w:type="dxa" w:w="90"/>
              <w:bottom w:type="dxa" w:w="70"/>
              <w:right w:type="dxa" w:w="90"/>
            </w:tcMar>
          </w:tcPr>
          <w:p>
            <w:r>
              <w:rPr>
                <w:b w:val="false"/>
                <w:bCs w:val="false"/>
                <w:color w:val="000000"/>
                <w:sz w:val="19"/>
                <w:szCs w:val="19"/>
              </w:rPr>
              <w:t xml:space="preserve">Moratorium</w:t>
            </w:r>
          </w:p>
        </w:tc>
        <w:tc>
          <w:tcPr>
            <w:tcW w:type="dxa" w:w="3200"/>
            <w:tcMar>
              <w:top w:type="dxa" w:w="70"/>
              <w:left w:type="dxa" w:w="90"/>
              <w:bottom w:type="dxa" w:w="70"/>
              <w:right w:type="dxa" w:w="90"/>
            </w:tcMar>
          </w:tcPr>
          <w:p>
            <w:r>
              <w:rPr>
                <w:b w:val="false"/>
                <w:bCs w:val="false"/>
                <w:color w:val="000000"/>
                <w:sz w:val="19"/>
                <w:szCs w:val="19"/>
              </w:rPr>
              <w:t xml:space="preserve">None</w:t>
            </w:r>
          </w:p>
        </w:tc>
        <w:tc>
          <w:tcPr>
            <w:tcW w:type="dxa" w:w="4000"/>
            <w:tcMar>
              <w:top w:type="dxa" w:w="70"/>
              <w:left w:type="dxa" w:w="90"/>
              <w:bottom w:type="dxa" w:w="70"/>
              <w:right w:type="dxa" w:w="90"/>
            </w:tcMar>
          </w:tcPr>
          <w:p>
            <w:r>
              <w:rPr>
                <w:b w:val="false"/>
                <w:bCs w:val="false"/>
                <w:color w:val="000000"/>
                <w:sz w:val="19"/>
                <w:szCs w:val="19"/>
              </w:rPr>
              <w:t xml:space="preserve">6-month moratorium on principal, effective 1 Apr 2025</w:t>
            </w:r>
          </w:p>
        </w:tc>
      </w:tr>
      <w:tr>
        <w:tc>
          <w:tcPr>
            <w:tcW w:type="dxa" w:w="2600"/>
            <w:tcMar>
              <w:top w:type="dxa" w:w="70"/>
              <w:left w:type="dxa" w:w="90"/>
              <w:bottom w:type="dxa" w:w="70"/>
              <w:right w:type="dxa" w:w="90"/>
            </w:tcMar>
          </w:tcPr>
          <w:p>
            <w:r>
              <w:rPr>
                <w:b w:val="false"/>
                <w:bCs w:val="false"/>
                <w:color w:val="000000"/>
                <w:sz w:val="19"/>
                <w:szCs w:val="19"/>
              </w:rPr>
              <w:t xml:space="preserve">Rate of Interest</w:t>
            </w:r>
          </w:p>
        </w:tc>
        <w:tc>
          <w:tcPr>
            <w:tcW w:type="dxa" w:w="3200"/>
            <w:tcMar>
              <w:top w:type="dxa" w:w="70"/>
              <w:left w:type="dxa" w:w="90"/>
              <w:bottom w:type="dxa" w:w="70"/>
              <w:right w:type="dxa" w:w="90"/>
            </w:tcMar>
          </w:tcPr>
          <w:p>
            <w:r>
              <w:rPr>
                <w:b w:val="false"/>
                <w:bCs w:val="false"/>
                <w:color w:val="000000"/>
                <w:sz w:val="19"/>
                <w:szCs w:val="19"/>
              </w:rPr>
              <w:t xml:space="preserve">RLLR + 3.25%</w:t>
            </w:r>
          </w:p>
        </w:tc>
        <w:tc>
          <w:tcPr>
            <w:tcW w:type="dxa" w:w="4000"/>
            <w:tcMar>
              <w:top w:type="dxa" w:w="70"/>
              <w:left w:type="dxa" w:w="90"/>
              <w:bottom w:type="dxa" w:w="70"/>
              <w:right w:type="dxa" w:w="90"/>
            </w:tcMar>
          </w:tcPr>
          <w:p>
            <w:r>
              <w:rPr>
                <w:b w:val="false"/>
                <w:bCs w:val="false"/>
                <w:color w:val="000000"/>
                <w:sz w:val="19"/>
                <w:szCs w:val="19"/>
              </w:rPr>
              <w:t xml:space="preserve">RLLR + 3.50% (revised for restructured risk profile)</w:t>
            </w:r>
          </w:p>
        </w:tc>
      </w:tr>
      <w:tr>
        <w:tc>
          <w:tcPr>
            <w:tcW w:type="dxa" w:w="2600"/>
            <w:tcMar>
              <w:top w:type="dxa" w:w="70"/>
              <w:left w:type="dxa" w:w="90"/>
              <w:bottom w:type="dxa" w:w="70"/>
              <w:right w:type="dxa" w:w="90"/>
            </w:tcMar>
          </w:tcPr>
          <w:p>
            <w:r>
              <w:rPr>
                <w:b w:val="false"/>
                <w:bCs w:val="false"/>
                <w:color w:val="000000"/>
                <w:sz w:val="19"/>
                <w:szCs w:val="19"/>
              </w:rPr>
              <w:t xml:space="preserve">Additional security</w:t>
            </w:r>
          </w:p>
        </w:tc>
        <w:tc>
          <w:tcPr>
            <w:tcW w:type="dxa" w:w="3200"/>
            <w:tcMar>
              <w:top w:type="dxa" w:w="70"/>
              <w:left w:type="dxa" w:w="90"/>
              <w:bottom w:type="dxa" w:w="70"/>
              <w:right w:type="dxa" w:w="90"/>
            </w:tcMar>
          </w:tcPr>
          <w:p>
            <w:r>
              <w:rPr>
                <w:b w:val="false"/>
                <w:bCs w:val="false"/>
                <w:color w:val="000000"/>
                <w:sz w:val="19"/>
                <w:szCs w:val="19"/>
              </w:rPr>
              <w:t xml:space="preserve">Equitable mortgage of hotel properties</w:t>
            </w:r>
          </w:p>
        </w:tc>
        <w:tc>
          <w:tcPr>
            <w:tcW w:type="dxa" w:w="4000"/>
            <w:tcMar>
              <w:top w:type="dxa" w:w="70"/>
              <w:left w:type="dxa" w:w="90"/>
              <w:bottom w:type="dxa" w:w="70"/>
              <w:right w:type="dxa" w:w="90"/>
            </w:tcMar>
          </w:tcPr>
          <w:p>
            <w:r>
              <w:rPr>
                <w:b w:val="false"/>
                <w:bCs w:val="false"/>
                <w:color w:val="000000"/>
                <w:sz w:val="19"/>
                <w:szCs w:val="19"/>
              </w:rPr>
              <w:t xml:space="preserve">Existing mortgage retained; additional pledge of promoter's shares in the borrower company</w:t>
            </w:r>
          </w:p>
        </w:tc>
      </w:tr>
      <w:tr>
        <w:tc>
          <w:tcPr>
            <w:tcW w:type="dxa" w:w="2600"/>
            <w:tcMar>
              <w:top w:type="dxa" w:w="70"/>
              <w:left w:type="dxa" w:w="90"/>
              <w:bottom w:type="dxa" w:w="70"/>
              <w:right w:type="dxa" w:w="90"/>
            </w:tcMar>
          </w:tcPr>
          <w:p>
            <w:r>
              <w:rPr>
                <w:b w:val="false"/>
                <w:bCs w:val="false"/>
                <w:color w:val="000000"/>
                <w:sz w:val="19"/>
                <w:szCs w:val="19"/>
              </w:rPr>
              <w:t xml:space="preserve">Reporting covenant</w:t>
            </w:r>
          </w:p>
        </w:tc>
        <w:tc>
          <w:tcPr>
            <w:tcW w:type="dxa" w:w="3200"/>
            <w:tcMar>
              <w:top w:type="dxa" w:w="70"/>
              <w:left w:type="dxa" w:w="90"/>
              <w:bottom w:type="dxa" w:w="70"/>
              <w:right w:type="dxa" w:w="90"/>
            </w:tcMar>
          </w:tcPr>
          <w:p>
            <w:r>
              <w:rPr>
                <w:b w:val="false"/>
                <w:bCs w:val="false"/>
                <w:color w:val="000000"/>
                <w:sz w:val="19"/>
                <w:szCs w:val="19"/>
              </w:rPr>
              <w:t xml:space="preserve">Quarterly financials</w:t>
            </w:r>
          </w:p>
        </w:tc>
        <w:tc>
          <w:tcPr>
            <w:tcW w:type="dxa" w:w="4000"/>
            <w:tcMar>
              <w:top w:type="dxa" w:w="70"/>
              <w:left w:type="dxa" w:w="90"/>
              <w:bottom w:type="dxa" w:w="70"/>
              <w:right w:type="dxa" w:w="90"/>
            </w:tcMar>
          </w:tcPr>
          <w:p>
            <w:r>
              <w:rPr>
                <w:b w:val="false"/>
                <w:bCs w:val="false"/>
                <w:color w:val="000000"/>
                <w:sz w:val="19"/>
                <w:szCs w:val="19"/>
              </w:rPr>
              <w:t xml:space="preserve">Monthly occupancy and revenue reporting added for first 12 months post-restructuring</w:t>
            </w:r>
          </w:p>
        </w:tc>
      </w:tr>
    </w:tbl>
    <w:p>
      <w:pPr>
        <w:pStyle w:val="Heading1"/>
        <w:spacing w:after="120" w:before="240"/>
      </w:pPr>
      <w:r>
        <w:t xml:space="preserve">5. Documents on Record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3E5C2E" w:color="auto" w:val="clear"/>
            <w:tcMar>
              <w:top w:type="dxa" w:w="70"/>
              <w:left w:type="dxa" w:w="90"/>
              <w:bottom w:type="dxa" w:w="70"/>
              <w:right w:type="dxa" w:w="90"/>
            </w:tcMar>
          </w:tcPr>
          <w:p>
            <w:r>
              <w:rPr>
                <w:b/>
                <w:bCs/>
                <w:color w:val="FFFFFF"/>
                <w:sz w:val="19"/>
                <w:szCs w:val="19"/>
              </w:rPr>
              <w:t xml:space="preserve">Document</w:t>
            </w:r>
          </w:p>
        </w:tc>
        <w:tc>
          <w:tcPr>
            <w:tcW w:type="dxa" w:w="3600"/>
            <w:shd w:fill="3E5C2E" w:color="auto" w:val="clear"/>
            <w:tcMar>
              <w:top w:type="dxa" w:w="70"/>
              <w:left w:type="dxa" w:w="90"/>
              <w:bottom w:type="dxa" w:w="70"/>
              <w:right w:type="dxa" w:w="90"/>
            </w:tcMar>
          </w:tcPr>
          <w:p>
            <w:r>
              <w:rPr>
                <w:b/>
                <w:bCs/>
                <w:color w:val="FFFFFF"/>
                <w:sz w:val="19"/>
                <w:szCs w:val="19"/>
              </w:rPr>
              <w:t xml:space="preserve">Description</w:t>
            </w:r>
          </w:p>
        </w:tc>
        <w:tc>
          <w:tcPr>
            <w:tcW w:type="dxa" w:w="4800"/>
            <w:shd w:fill="3E5C2E" w:color="auto" w:val="clear"/>
            <w:tcMar>
              <w:top w:type="dxa" w:w="70"/>
              <w:left w:type="dxa" w:w="90"/>
              <w:bottom w:type="dxa" w:w="70"/>
              <w:right w:type="dxa" w:w="90"/>
            </w:tcMar>
          </w:tcPr>
          <w:p>
            <w:r>
              <w:rPr>
                <w:b/>
                <w:bCs/>
                <w:color w:val="FFFFFF"/>
                <w:sz w:val="19"/>
                <w:szCs w:val="19"/>
              </w:rPr>
              <w:t xml:space="preserve">Status</w:t>
            </w:r>
          </w:p>
        </w:tc>
      </w:tr>
      <w:tr>
        <w:tc>
          <w:tcPr>
            <w:tcW w:type="dxa" w:w="1400"/>
            <w:tcMar>
              <w:top w:type="dxa" w:w="70"/>
              <w:left w:type="dxa" w:w="90"/>
              <w:bottom w:type="dxa" w:w="70"/>
              <w:right w:type="dxa" w:w="90"/>
            </w:tcMar>
          </w:tcPr>
          <w:p>
            <w:r>
              <w:rPr>
                <w:b w:val="false"/>
                <w:bCs w:val="false"/>
                <w:color w:val="000000"/>
                <w:sz w:val="19"/>
                <w:szCs w:val="19"/>
              </w:rPr>
              <w:t xml:space="preserve">Restructuring request letter</w:t>
            </w:r>
          </w:p>
        </w:tc>
        <w:tc>
          <w:tcPr>
            <w:tcW w:type="dxa" w:w="3600"/>
            <w:tcMar>
              <w:top w:type="dxa" w:w="70"/>
              <w:left w:type="dxa" w:w="90"/>
              <w:bottom w:type="dxa" w:w="70"/>
              <w:right w:type="dxa" w:w="90"/>
            </w:tcMar>
          </w:tcPr>
          <w:p>
            <w:r>
              <w:rPr>
                <w:b w:val="false"/>
                <w:bCs w:val="false"/>
                <w:color w:val="000000"/>
                <w:sz w:val="19"/>
                <w:szCs w:val="19"/>
              </w:rPr>
              <w:t xml:space="preserve">Dated 14 Nov 2024, with revised business plan</w:t>
            </w:r>
          </w:p>
        </w:tc>
        <w:tc>
          <w:tcPr>
            <w:tcW w:type="dxa" w:w="4800"/>
            <w:tcMar>
              <w:top w:type="dxa" w:w="70"/>
              <w:left w:type="dxa" w:w="90"/>
              <w:bottom w:type="dxa" w:w="70"/>
              <w:right w:type="dxa" w:w="90"/>
            </w:tcMar>
          </w:tcPr>
          <w:p>
            <w:r>
              <w:rPr>
                <w:b w:val="false"/>
                <w:bCs w:val="false"/>
                <w:color w:val="000000"/>
                <w:sz w:val="19"/>
                <w:szCs w:val="19"/>
              </w:rPr>
              <w:t xml:space="preserve">On file</w:t>
            </w:r>
          </w:p>
        </w:tc>
      </w:tr>
      <w:tr>
        <w:tc>
          <w:tcPr>
            <w:tcW w:type="dxa" w:w="1400"/>
            <w:tcMar>
              <w:top w:type="dxa" w:w="70"/>
              <w:left w:type="dxa" w:w="90"/>
              <w:bottom w:type="dxa" w:w="70"/>
              <w:right w:type="dxa" w:w="90"/>
            </w:tcMar>
          </w:tcPr>
          <w:p>
            <w:r>
              <w:rPr>
                <w:b w:val="false"/>
                <w:bCs w:val="false"/>
                <w:color w:val="000000"/>
                <w:sz w:val="19"/>
                <w:szCs w:val="19"/>
              </w:rPr>
              <w:t xml:space="preserve">Independent viability assessment report</w:t>
            </w:r>
          </w:p>
        </w:tc>
        <w:tc>
          <w:tcPr>
            <w:tcW w:type="dxa" w:w="3600"/>
            <w:tcMar>
              <w:top w:type="dxa" w:w="70"/>
              <w:left w:type="dxa" w:w="90"/>
              <w:bottom w:type="dxa" w:w="70"/>
              <w:right w:type="dxa" w:w="90"/>
            </w:tcMar>
          </w:tcPr>
          <w:p>
            <w:r>
              <w:rPr>
                <w:b w:val="false"/>
                <w:bCs w:val="false"/>
                <w:color w:val="000000"/>
                <w:sz w:val="19"/>
                <w:szCs w:val="19"/>
              </w:rPr>
              <w:t xml:space="preserve">Dated 18 Jan 2025</w:t>
            </w:r>
          </w:p>
        </w:tc>
        <w:tc>
          <w:tcPr>
            <w:tcW w:type="dxa" w:w="4800"/>
            <w:tcMar>
              <w:top w:type="dxa" w:w="70"/>
              <w:left w:type="dxa" w:w="90"/>
              <w:bottom w:type="dxa" w:w="70"/>
              <w:right w:type="dxa" w:w="90"/>
            </w:tcMar>
          </w:tcPr>
          <w:p>
            <w:r>
              <w:rPr>
                <w:b w:val="false"/>
                <w:bCs w:val="false"/>
                <w:color w:val="000000"/>
                <w:sz w:val="19"/>
                <w:szCs w:val="19"/>
              </w:rPr>
              <w:t xml:space="preserve">On file; basis for credit committee approval</w:t>
            </w:r>
          </w:p>
        </w:tc>
      </w:tr>
      <w:tr>
        <w:tc>
          <w:tcPr>
            <w:tcW w:type="dxa" w:w="1400"/>
            <w:tcMar>
              <w:top w:type="dxa" w:w="70"/>
              <w:left w:type="dxa" w:w="90"/>
              <w:bottom w:type="dxa" w:w="70"/>
              <w:right w:type="dxa" w:w="90"/>
            </w:tcMar>
          </w:tcPr>
          <w:p>
            <w:r>
              <w:rPr>
                <w:b w:val="false"/>
                <w:bCs w:val="false"/>
                <w:color w:val="000000"/>
                <w:sz w:val="19"/>
                <w:szCs w:val="19"/>
              </w:rPr>
              <w:t xml:space="preserve">Credit committee approval note</w:t>
            </w:r>
          </w:p>
        </w:tc>
        <w:tc>
          <w:tcPr>
            <w:tcW w:type="dxa" w:w="3600"/>
            <w:tcMar>
              <w:top w:type="dxa" w:w="70"/>
              <w:left w:type="dxa" w:w="90"/>
              <w:bottom w:type="dxa" w:w="70"/>
              <w:right w:type="dxa" w:w="90"/>
            </w:tcMar>
          </w:tcPr>
          <w:p>
            <w:r>
              <w:rPr>
                <w:b w:val="false"/>
                <w:bCs w:val="false"/>
                <w:color w:val="000000"/>
                <w:sz w:val="19"/>
                <w:szCs w:val="19"/>
              </w:rPr>
              <w:t xml:space="preserve">Dated 14 Feb 2025</w:t>
            </w:r>
          </w:p>
        </w:tc>
        <w:tc>
          <w:tcPr>
            <w:tcW w:type="dxa" w:w="4800"/>
            <w:tcMar>
              <w:top w:type="dxa" w:w="70"/>
              <w:left w:type="dxa" w:w="90"/>
              <w:bottom w:type="dxa" w:w="70"/>
              <w:right w:type="dxa" w:w="90"/>
            </w:tcMar>
          </w:tcPr>
          <w:p>
            <w:r>
              <w:rPr>
                <w:b w:val="false"/>
                <w:bCs w:val="false"/>
                <w:color w:val="000000"/>
                <w:sz w:val="19"/>
                <w:szCs w:val="19"/>
              </w:rPr>
              <w:t xml:space="preserve">On file</w:t>
            </w:r>
          </w:p>
        </w:tc>
      </w:tr>
      <w:tr>
        <w:tc>
          <w:tcPr>
            <w:tcW w:type="dxa" w:w="1400"/>
            <w:tcMar>
              <w:top w:type="dxa" w:w="70"/>
              <w:left w:type="dxa" w:w="90"/>
              <w:bottom w:type="dxa" w:w="70"/>
              <w:right w:type="dxa" w:w="90"/>
            </w:tcMar>
          </w:tcPr>
          <w:p>
            <w:r>
              <w:rPr>
                <w:b w:val="false"/>
                <w:bCs w:val="false"/>
                <w:color w:val="000000"/>
                <w:sz w:val="19"/>
                <w:szCs w:val="19"/>
              </w:rPr>
              <w:t xml:space="preserve">Restructuring agreement</w:t>
            </w:r>
          </w:p>
        </w:tc>
        <w:tc>
          <w:tcPr>
            <w:tcW w:type="dxa" w:w="3600"/>
            <w:tcMar>
              <w:top w:type="dxa" w:w="70"/>
              <w:left w:type="dxa" w:w="90"/>
              <w:bottom w:type="dxa" w:w="70"/>
              <w:right w:type="dxa" w:w="90"/>
            </w:tcMar>
          </w:tcPr>
          <w:p>
            <w:r>
              <w:rPr>
                <w:b w:val="false"/>
                <w:bCs w:val="false"/>
                <w:color w:val="000000"/>
                <w:sz w:val="19"/>
                <w:szCs w:val="19"/>
              </w:rPr>
              <w:t xml:space="preserve">Executed 10 Mar 2025; revised repayment schedule and covenants</w:t>
            </w:r>
          </w:p>
        </w:tc>
        <w:tc>
          <w:tcPr>
            <w:tcW w:type="dxa" w:w="4800"/>
            <w:tcMar>
              <w:top w:type="dxa" w:w="70"/>
              <w:left w:type="dxa" w:w="90"/>
              <w:bottom w:type="dxa" w:w="70"/>
              <w:right w:type="dxa" w:w="90"/>
            </w:tcMar>
          </w:tcPr>
          <w:p>
            <w:r>
              <w:rPr>
                <w:b w:val="false"/>
                <w:bCs w:val="false"/>
                <w:color w:val="000000"/>
                <w:sz w:val="19"/>
                <w:szCs w:val="19"/>
              </w:rPr>
              <w:t xml:space="preserve">Executed and on file</w:t>
            </w:r>
          </w:p>
        </w:tc>
      </w:tr>
      <w:tr>
        <w:tc>
          <w:tcPr>
            <w:tcW w:type="dxa" w:w="1400"/>
            <w:tcMar>
              <w:top w:type="dxa" w:w="70"/>
              <w:left w:type="dxa" w:w="90"/>
              <w:bottom w:type="dxa" w:w="70"/>
              <w:right w:type="dxa" w:w="90"/>
            </w:tcMar>
          </w:tcPr>
          <w:p>
            <w:r>
              <w:rPr>
                <w:b w:val="false"/>
                <w:bCs w:val="false"/>
                <w:color w:val="000000"/>
                <w:sz w:val="19"/>
                <w:szCs w:val="19"/>
              </w:rPr>
              <w:t xml:space="preserve">Share pledge agreement</w:t>
            </w:r>
          </w:p>
        </w:tc>
        <w:tc>
          <w:tcPr>
            <w:tcW w:type="dxa" w:w="3600"/>
            <w:tcMar>
              <w:top w:type="dxa" w:w="70"/>
              <w:left w:type="dxa" w:w="90"/>
              <w:bottom w:type="dxa" w:w="70"/>
              <w:right w:type="dxa" w:w="90"/>
            </w:tcMar>
          </w:tcPr>
          <w:p>
            <w:r>
              <w:rPr>
                <w:b w:val="false"/>
                <w:bCs w:val="false"/>
                <w:color w:val="000000"/>
                <w:sz w:val="19"/>
                <w:szCs w:val="19"/>
              </w:rPr>
              <w:t xml:space="preserve">Promoter's shares in borrower company</w:t>
            </w:r>
          </w:p>
        </w:tc>
        <w:tc>
          <w:tcPr>
            <w:tcW w:type="dxa" w:w="4800"/>
            <w:tcMar>
              <w:top w:type="dxa" w:w="70"/>
              <w:left w:type="dxa" w:w="90"/>
              <w:bottom w:type="dxa" w:w="70"/>
              <w:right w:type="dxa" w:w="90"/>
            </w:tcMar>
          </w:tcPr>
          <w:p>
            <w:r>
              <w:rPr>
                <w:b w:val="false"/>
                <w:bCs w:val="false"/>
                <w:color w:val="000000"/>
                <w:sz w:val="19"/>
                <w:szCs w:val="19"/>
              </w:rPr>
              <w:t xml:space="preserve">Executed 10 Mar 2025</w:t>
            </w:r>
          </w:p>
        </w:tc>
      </w:tr>
      <w:tr>
        <w:tc>
          <w:tcPr>
            <w:tcW w:type="dxa" w:w="1400"/>
            <w:tcMar>
              <w:top w:type="dxa" w:w="70"/>
              <w:left w:type="dxa" w:w="90"/>
              <w:bottom w:type="dxa" w:w="70"/>
              <w:right w:type="dxa" w:w="90"/>
            </w:tcMar>
          </w:tcPr>
          <w:p>
            <w:r>
              <w:rPr>
                <w:b w:val="false"/>
                <w:bCs w:val="false"/>
                <w:color w:val="000000"/>
                <w:sz w:val="19"/>
                <w:szCs w:val="19"/>
              </w:rPr>
              <w:t xml:space="preserve">Proof of promoter capital infusion</w:t>
            </w:r>
          </w:p>
        </w:tc>
        <w:tc>
          <w:tcPr>
            <w:tcW w:type="dxa" w:w="3600"/>
            <w:tcMar>
              <w:top w:type="dxa" w:w="70"/>
              <w:left w:type="dxa" w:w="90"/>
              <w:bottom w:type="dxa" w:w="70"/>
              <w:right w:type="dxa" w:w="90"/>
            </w:tcMar>
          </w:tcPr>
          <w:p>
            <w:r>
              <w:rPr>
                <w:b w:val="false"/>
                <w:bCs w:val="false"/>
                <w:color w:val="000000"/>
                <w:sz w:val="19"/>
                <w:szCs w:val="19"/>
              </w:rPr>
              <w:t xml:space="preserve">Bank statement evidencing ₹1,50,00,000 credit dated 28 Feb 2025</w:t>
            </w:r>
          </w:p>
        </w:tc>
        <w:tc>
          <w:tcPr>
            <w:tcW w:type="dxa" w:w="4800"/>
            <w:tcMar>
              <w:top w:type="dxa" w:w="70"/>
              <w:left w:type="dxa" w:w="90"/>
              <w:bottom w:type="dxa" w:w="70"/>
              <w:right w:type="dxa" w:w="90"/>
            </w:tcMar>
          </w:tcPr>
          <w:p>
            <w:r>
              <w:rPr>
                <w:b w:val="false"/>
                <w:bCs w:val="false"/>
                <w:color w:val="000000"/>
                <w:sz w:val="19"/>
                <w:szCs w:val="19"/>
              </w:rPr>
              <w:t xml:space="preserve">On file</w:t>
            </w:r>
          </w:p>
        </w:tc>
      </w:tr>
    </w:tbl>
    <w:p>
      <w:pPr>
        <w:pStyle w:val="Heading1"/>
        <w:spacing w:after="120" w:before="240"/>
      </w:pPr>
      <w:r>
        <w:t xml:space="preserve">6. Asset Classification Post-Restructuring</w:t>
      </w:r>
    </w:p>
    <w:p>
      <w:pPr>
        <w:spacing w:after="160"/>
      </w:pPr>
      <w:r>
        <w:t xml:space="preserve">Per applicable regulatory guidelines on restructuring of stressed assets, the account has been classified as a Special Mention Account under the restructured category for a monitoring period of 12 months from the date of implementation (10 March 2025), notwithstanding timely payment of restructured installments. Upgrade to Standard classification (unqualified) will be considered only if all restructured obligations are serviced on time throughout this monitoring period, per applicable prudential norms.</w:t>
      </w:r>
    </w:p>
    <w:p>
      <w:pPr>
        <w:pStyle w:val="Heading1"/>
        <w:spacing w:after="120" w:before="240"/>
      </w:pPr>
      <w:r>
        <w:t xml:space="preserve">7. Risk Assessment</w:t>
      </w:r>
    </w:p>
    <w:p>
      <w:pPr>
        <w:spacing w:after="160"/>
      </w:pPr>
      <w:r>
        <w:t xml:space="preserve">The restructuring is assessed as adequately supported by the independent viability report and the confirmed promoter capital infusion. The primary residual risk is continued softness in corporate travel demand in the borrower's segment beyond current projections; the added monthly occupancy and revenue reporting covenant is intended to provide early warning if the recovery assumed in the revised business plan does not materialize.</w:t>
      </w:r>
    </w:p>
    <w:p>
      <w:pPr>
        <w:pStyle w:val="Heading1"/>
        <w:spacing w:after="120" w:before="240"/>
      </w:pPr>
      <w:r>
        <w:t xml:space="preserve">8. Current Status</w:t>
      </w:r>
    </w:p>
    <w:p>
      <w:pPr>
        <w:spacing w:after="160"/>
      </w:pPr>
      <w:r>
        <w:t xml:space="preserve">The first two quarterly installments under the restructured schedule have been paid on time. The account remains under close monitoring per the restructured-account classification, with monthly occupancy and revenue reports being reviewed by the Stressed Assets Group.</w:t>
      </w:r>
    </w:p>
    <w:p>
      <w:pPr>
        <w:pStyle w:val="Heading1"/>
        <w:spacing w:after="120" w:before="240"/>
      </w:pPr>
      <w:r>
        <w:t xml:space="preserve">9. Next Steps</w:t>
      </w:r>
    </w:p>
    <w:p>
      <w:pPr>
        <w:pStyle w:val="ListParagraph"/>
        <w:numPr>
          <w:ilvl w:val="0"/>
          <w:numId w:val="2"/>
        </w:numPr>
        <w:spacing w:after="80"/>
      </w:pPr>
      <w:r>
        <w:t xml:space="preserve">Continue monthly review of occupancy and revenue reports against the revised business plan assumptions through Q1 FY27</w:t>
      </w:r>
    </w:p>
    <w:p>
      <w:pPr>
        <w:pStyle w:val="ListParagraph"/>
        <w:numPr>
          <w:ilvl w:val="0"/>
          <w:numId w:val="2"/>
        </w:numPr>
        <w:spacing w:after="80"/>
      </w:pPr>
      <w:r>
        <w:t xml:space="preserve">Formal review of classification upgrade eligibility at completion of the 12-month monitoring period (10 March 2026)</w:t>
      </w:r>
    </w:p>
    <w:p>
      <w:pPr>
        <w:pStyle w:val="ListParagraph"/>
        <w:numPr>
          <w:ilvl w:val="0"/>
          <w:numId w:val="2"/>
        </w:numPr>
        <w:spacing w:after="80"/>
      </w:pPr>
      <w:r>
        <w:t xml:space="preserve">Verify continued adequacy of hotel property valuations via a fresh valuation report before the 12-month review</w:t>
      </w:r>
    </w:p>
    <w:p>
      <w:pPr>
        <w:pStyle w:val="Heading1"/>
        <w:spacing w:after="120" w:before="240"/>
      </w:pPr>
      <w:r>
        <w:t xml:space="preserve">10. Internal Notes (Confidential)</w:t>
      </w:r>
    </w:p>
    <w:p>
      <w:pPr>
        <w:spacing w:after="160"/>
      </w:pPr>
      <w:r>
        <w:t xml:space="preserve">Stressed Assets Group notes that two of the borrower's three properties are performing ahead of the revised business plan, while the third (older, city-center property) continues to lag; this should be a specific focus area in monthly monitoring rather than relying solely on consolidated occupancy figures.</w:t>
      </w:r>
    </w:p>
    <w:p>
      <w:pPr>
        <w:pStyle w:val="Heading1"/>
        <w:spacing w:after="120" w:before="240"/>
      </w:pPr>
      <w:r>
        <w:t xml:space="preserve">11. Key Contacts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shd w:fill="3E5C2E" w:color="auto" w:val="clear"/>
            <w:tcMar>
              <w:top w:type="dxa" w:w="70"/>
              <w:left w:type="dxa" w:w="90"/>
              <w:bottom w:type="dxa" w:w="70"/>
              <w:right w:type="dxa" w:w="90"/>
            </w:tcMar>
          </w:tcPr>
          <w:p>
            <w:r>
              <w:rPr>
                <w:b/>
                <w:bCs/>
                <w:color w:val="FFFFFF"/>
                <w:sz w:val="19"/>
                <w:szCs w:val="19"/>
              </w:rPr>
              <w:t xml:space="preserve">Name</w:t>
            </w:r>
          </w:p>
        </w:tc>
        <w:tc>
          <w:tcPr>
            <w:tcW w:type="dxa" w:w="3200"/>
            <w:shd w:fill="3E5C2E" w:color="auto" w:val="clear"/>
            <w:tcMar>
              <w:top w:type="dxa" w:w="70"/>
              <w:left w:type="dxa" w:w="90"/>
              <w:bottom w:type="dxa" w:w="70"/>
              <w:right w:type="dxa" w:w="90"/>
            </w:tcMar>
          </w:tcPr>
          <w:p>
            <w:r>
              <w:rPr>
                <w:b/>
                <w:bCs/>
                <w:color w:val="FFFFFF"/>
                <w:sz w:val="19"/>
                <w:szCs w:val="19"/>
              </w:rPr>
              <w:t xml:space="preserve">Role</w:t>
            </w:r>
          </w:p>
        </w:tc>
        <w:tc>
          <w:tcPr>
            <w:tcW w:type="dxa" w:w="4000"/>
            <w:shd w:fill="3E5C2E" w:color="auto" w:val="clear"/>
            <w:tcMar>
              <w:top w:type="dxa" w:w="70"/>
              <w:left w:type="dxa" w:w="90"/>
              <w:bottom w:type="dxa" w:w="70"/>
              <w:right w:type="dxa" w:w="90"/>
            </w:tcMar>
          </w:tcPr>
          <w:p>
            <w:r>
              <w:rPr>
                <w:b/>
                <w:bCs/>
                <w:color w:val="FFFFFF"/>
                <w:sz w:val="19"/>
                <w:szCs w:val="19"/>
              </w:rPr>
              <w:t xml:space="preserve">Organization</w:t>
            </w:r>
          </w:p>
        </w:tc>
      </w:tr>
      <w:tr>
        <w:tc>
          <w:tcPr>
            <w:tcW w:type="dxa" w:w="2600"/>
            <w:tcMar>
              <w:top w:type="dxa" w:w="70"/>
              <w:left w:type="dxa" w:w="90"/>
              <w:bottom w:type="dxa" w:w="70"/>
              <w:right w:type="dxa" w:w="90"/>
            </w:tcMar>
          </w:tcPr>
          <w:p>
            <w:r>
              <w:rPr>
                <w:b w:val="false"/>
                <w:bCs w:val="false"/>
                <w:color w:val="000000"/>
                <w:sz w:val="19"/>
                <w:szCs w:val="19"/>
              </w:rPr>
              <w:t xml:space="preserve">Mr. Vishal Mehta</w:t>
            </w:r>
          </w:p>
        </w:tc>
        <w:tc>
          <w:tcPr>
            <w:tcW w:type="dxa" w:w="3200"/>
            <w:tcMar>
              <w:top w:type="dxa" w:w="70"/>
              <w:left w:type="dxa" w:w="90"/>
              <w:bottom w:type="dxa" w:w="70"/>
              <w:right w:type="dxa" w:w="90"/>
            </w:tcMar>
          </w:tcPr>
          <w:p>
            <w:r>
              <w:rPr>
                <w:b w:val="false"/>
                <w:bCs w:val="false"/>
                <w:color w:val="000000"/>
                <w:sz w:val="19"/>
                <w:szCs w:val="19"/>
              </w:rPr>
              <w:t xml:space="preserve">Managing Director</w:t>
            </w:r>
          </w:p>
        </w:tc>
        <w:tc>
          <w:tcPr>
            <w:tcW w:type="dxa" w:w="4000"/>
            <w:tcMar>
              <w:top w:type="dxa" w:w="70"/>
              <w:left w:type="dxa" w:w="90"/>
              <w:bottom w:type="dxa" w:w="70"/>
              <w:right w:type="dxa" w:w="90"/>
            </w:tcMar>
          </w:tcPr>
          <w:p>
            <w:r>
              <w:rPr>
                <w:b w:val="false"/>
                <w:bCs w:val="false"/>
                <w:color w:val="000000"/>
                <w:sz w:val="19"/>
                <w:szCs w:val="19"/>
              </w:rPr>
              <w:t xml:space="preserve">Metro Hospitality Ventures Pvt. Ltd.</w:t>
            </w:r>
          </w:p>
        </w:tc>
      </w:tr>
      <w:tr>
        <w:tc>
          <w:tcPr>
            <w:tcW w:type="dxa" w:w="2600"/>
            <w:tcMar>
              <w:top w:type="dxa" w:w="70"/>
              <w:left w:type="dxa" w:w="90"/>
              <w:bottom w:type="dxa" w:w="70"/>
              <w:right w:type="dxa" w:w="90"/>
            </w:tcMar>
          </w:tcPr>
          <w:p>
            <w:r>
              <w:rPr>
                <w:b w:val="false"/>
                <w:bCs w:val="false"/>
                <w:color w:val="000000"/>
                <w:sz w:val="19"/>
                <w:szCs w:val="19"/>
              </w:rPr>
              <w:t xml:space="preserve">Mr. Sandeep Rathi</w:t>
            </w:r>
          </w:p>
        </w:tc>
        <w:tc>
          <w:tcPr>
            <w:tcW w:type="dxa" w:w="3200"/>
            <w:tcMar>
              <w:top w:type="dxa" w:w="70"/>
              <w:left w:type="dxa" w:w="90"/>
              <w:bottom w:type="dxa" w:w="70"/>
              <w:right w:type="dxa" w:w="90"/>
            </w:tcMar>
          </w:tcPr>
          <w:p>
            <w:r>
              <w:rPr>
                <w:b w:val="false"/>
                <w:bCs w:val="false"/>
                <w:color w:val="000000"/>
                <w:sz w:val="19"/>
                <w:szCs w:val="19"/>
              </w:rPr>
              <w:t xml:space="preserve">Manager, Stressed Assets Group</w:t>
            </w:r>
          </w:p>
        </w:tc>
        <w:tc>
          <w:tcPr>
            <w:tcW w:type="dxa" w:w="4000"/>
            <w:tcMar>
              <w:top w:type="dxa" w:w="70"/>
              <w:left w:type="dxa" w:w="90"/>
              <w:bottom w:type="dxa" w:w="70"/>
              <w:right w:type="dxa" w:w="90"/>
            </w:tcMar>
          </w:tcPr>
          <w:p>
            <w:r>
              <w:rPr>
                <w:b w:val="false"/>
                <w:bCs w:val="false"/>
                <w:color w:val="000000"/>
                <w:sz w:val="19"/>
                <w:szCs w:val="19"/>
              </w:rPr>
              <w:t xml:space="preserve">Continental Merchant Bank Ltd.</w:t>
            </w:r>
          </w:p>
        </w:tc>
      </w:tr>
      <w:tr>
        <w:tc>
          <w:tcPr>
            <w:tcW w:type="dxa" w:w="2600"/>
            <w:tcMar>
              <w:top w:type="dxa" w:w="70"/>
              <w:left w:type="dxa" w:w="90"/>
              <w:bottom w:type="dxa" w:w="70"/>
              <w:right w:type="dxa" w:w="90"/>
            </w:tcMar>
          </w:tcPr>
          <w:p>
            <w:r>
              <w:rPr>
                <w:b w:val="false"/>
                <w:bCs w:val="false"/>
                <w:color w:val="000000"/>
                <w:sz w:val="19"/>
                <w:szCs w:val="19"/>
              </w:rPr>
              <w:t xml:space="preserve">M/s. Anand Consulting Group</w:t>
            </w:r>
          </w:p>
        </w:tc>
        <w:tc>
          <w:tcPr>
            <w:tcW w:type="dxa" w:w="3200"/>
            <w:tcMar>
              <w:top w:type="dxa" w:w="70"/>
              <w:left w:type="dxa" w:w="90"/>
              <w:bottom w:type="dxa" w:w="70"/>
              <w:right w:type="dxa" w:w="90"/>
            </w:tcMar>
          </w:tcPr>
          <w:p>
            <w:r>
              <w:rPr>
                <w:b w:val="false"/>
                <w:bCs w:val="false"/>
                <w:color w:val="000000"/>
                <w:sz w:val="19"/>
                <w:szCs w:val="19"/>
              </w:rPr>
              <w:t xml:space="preserve">Independent Viability Assessor</w:t>
            </w:r>
          </w:p>
        </w:tc>
        <w:tc>
          <w:tcPr>
            <w:tcW w:type="dxa" w:w="4000"/>
            <w:tcMar>
              <w:top w:type="dxa" w:w="70"/>
              <w:left w:type="dxa" w:w="90"/>
              <w:bottom w:type="dxa" w:w="70"/>
              <w:right w:type="dxa" w:w="90"/>
            </w:tcMar>
          </w:tcPr>
          <w:p>
            <w:r>
              <w:rPr>
                <w:b w:val="false"/>
                <w:bCs w:val="false"/>
                <w:color w:val="000000"/>
                <w:sz w:val="19"/>
                <w:szCs w:val="19"/>
              </w:rPr>
              <w:t xml:space="preserve">External consultant engaged by bank</w:t>
            </w:r>
          </w:p>
        </w:tc>
      </w:tr>
    </w:tbl>
    <w:p>
      <w:pPr>
        <w:pStyle w:val="Heading1"/>
        <w:spacing w:after="120" w:before="240"/>
      </w:pPr>
      <w:r>
        <w:t xml:space="preserve">12. Correspondence 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3E5C2E" w:color="auto" w:val="clear"/>
            <w:tcMar>
              <w:top w:type="dxa" w:w="70"/>
              <w:left w:type="dxa" w:w="90"/>
              <w:bottom w:type="dxa" w:w="70"/>
              <w:right w:type="dxa" w:w="90"/>
            </w:tcMar>
          </w:tcPr>
          <w:p>
            <w:r>
              <w:rPr>
                <w:b/>
                <w:bCs/>
                <w:color w:val="FFFFFF"/>
                <w:sz w:val="19"/>
                <w:szCs w:val="19"/>
              </w:rPr>
              <w:t xml:space="preserve">Date</w:t>
            </w:r>
          </w:p>
        </w:tc>
        <w:tc>
          <w:tcPr>
            <w:tcW w:type="dxa" w:w="3600"/>
            <w:shd w:fill="3E5C2E" w:color="auto" w:val="clear"/>
            <w:tcMar>
              <w:top w:type="dxa" w:w="70"/>
              <w:left w:type="dxa" w:w="90"/>
              <w:bottom w:type="dxa" w:w="70"/>
              <w:right w:type="dxa" w:w="90"/>
            </w:tcMar>
          </w:tcPr>
          <w:p>
            <w:r>
              <w:rPr>
                <w:b/>
                <w:bCs/>
                <w:color w:val="FFFFFF"/>
                <w:sz w:val="19"/>
                <w:szCs w:val="19"/>
              </w:rPr>
              <w:t xml:space="preserve">Correspondence</w:t>
            </w:r>
          </w:p>
        </w:tc>
        <w:tc>
          <w:tcPr>
            <w:tcW w:type="dxa" w:w="4800"/>
            <w:shd w:fill="3E5C2E" w:color="auto" w:val="clear"/>
            <w:tcMar>
              <w:top w:type="dxa" w:w="70"/>
              <w:left w:type="dxa" w:w="90"/>
              <w:bottom w:type="dxa" w:w="70"/>
              <w:right w:type="dxa" w:w="90"/>
            </w:tcMar>
          </w:tcPr>
          <w:p>
            <w:r>
              <w:rPr>
                <w:b/>
                <w:bCs/>
                <w:color w:val="FFFFFF"/>
                <w:sz w:val="19"/>
                <w:szCs w:val="19"/>
              </w:rPr>
              <w:t xml:space="preserve">Summary</w:t>
            </w:r>
          </w:p>
        </w:tc>
      </w:tr>
      <w:tr>
        <w:tc>
          <w:tcPr>
            <w:tcW w:type="dxa" w:w="1400"/>
            <w:tcMar>
              <w:top w:type="dxa" w:w="70"/>
              <w:left w:type="dxa" w:w="90"/>
              <w:bottom w:type="dxa" w:w="70"/>
              <w:right w:type="dxa" w:w="90"/>
            </w:tcMar>
          </w:tcPr>
          <w:p>
            <w:r>
              <w:rPr>
                <w:b w:val="false"/>
                <w:bCs w:val="false"/>
                <w:color w:val="000000"/>
                <w:sz w:val="19"/>
                <w:szCs w:val="19"/>
              </w:rPr>
              <w:t xml:space="preserve">14 Nov 2024</w:t>
            </w:r>
          </w:p>
        </w:tc>
        <w:tc>
          <w:tcPr>
            <w:tcW w:type="dxa" w:w="3600"/>
            <w:tcMar>
              <w:top w:type="dxa" w:w="70"/>
              <w:left w:type="dxa" w:w="90"/>
              <w:bottom w:type="dxa" w:w="70"/>
              <w:right w:type="dxa" w:w="90"/>
            </w:tcMar>
          </w:tcPr>
          <w:p>
            <w:r>
              <w:rPr>
                <w:b w:val="false"/>
                <w:bCs w:val="false"/>
                <w:color w:val="000000"/>
                <w:sz w:val="19"/>
                <w:szCs w:val="19"/>
              </w:rPr>
              <w:t xml:space="preserve">Borrower's restructuring request letter</w:t>
            </w:r>
          </w:p>
        </w:tc>
        <w:tc>
          <w:tcPr>
            <w:tcW w:type="dxa" w:w="4800"/>
            <w:tcMar>
              <w:top w:type="dxa" w:w="70"/>
              <w:left w:type="dxa" w:w="90"/>
              <w:bottom w:type="dxa" w:w="70"/>
              <w:right w:type="dxa" w:w="90"/>
            </w:tcMar>
          </w:tcPr>
          <w:p>
            <w:r>
              <w:rPr>
                <w:b w:val="false"/>
                <w:bCs w:val="false"/>
                <w:color w:val="000000"/>
                <w:sz w:val="19"/>
                <w:szCs w:val="19"/>
              </w:rPr>
              <w:t xml:space="preserve">Included revised business plan and cash flow projections</w:t>
            </w:r>
          </w:p>
        </w:tc>
      </w:tr>
      <w:tr>
        <w:tc>
          <w:tcPr>
            <w:tcW w:type="dxa" w:w="1400"/>
            <w:tcMar>
              <w:top w:type="dxa" w:w="70"/>
              <w:left w:type="dxa" w:w="90"/>
              <w:bottom w:type="dxa" w:w="70"/>
              <w:right w:type="dxa" w:w="90"/>
            </w:tcMar>
          </w:tcPr>
          <w:p>
            <w:r>
              <w:rPr>
                <w:b w:val="false"/>
                <w:bCs w:val="false"/>
                <w:color w:val="000000"/>
                <w:sz w:val="19"/>
                <w:szCs w:val="19"/>
              </w:rPr>
              <w:t xml:space="preserve">22 Feb 2025</w:t>
            </w:r>
          </w:p>
        </w:tc>
        <w:tc>
          <w:tcPr>
            <w:tcW w:type="dxa" w:w="3600"/>
            <w:tcMar>
              <w:top w:type="dxa" w:w="70"/>
              <w:left w:type="dxa" w:w="90"/>
              <w:bottom w:type="dxa" w:w="70"/>
              <w:right w:type="dxa" w:w="90"/>
            </w:tcMar>
          </w:tcPr>
          <w:p>
            <w:r>
              <w:rPr>
                <w:b w:val="false"/>
                <w:bCs w:val="false"/>
                <w:color w:val="000000"/>
                <w:sz w:val="19"/>
                <w:szCs w:val="19"/>
              </w:rPr>
              <w:t xml:space="preserve">Bank's sanction letter for restructuring</w:t>
            </w:r>
          </w:p>
        </w:tc>
        <w:tc>
          <w:tcPr>
            <w:tcW w:type="dxa" w:w="4800"/>
            <w:tcMar>
              <w:top w:type="dxa" w:w="70"/>
              <w:left w:type="dxa" w:w="90"/>
              <w:bottom w:type="dxa" w:w="70"/>
              <w:right w:type="dxa" w:w="90"/>
            </w:tcMar>
          </w:tcPr>
          <w:p>
            <w:r>
              <w:rPr>
                <w:b w:val="false"/>
                <w:bCs w:val="false"/>
                <w:color w:val="000000"/>
                <w:sz w:val="19"/>
                <w:szCs w:val="19"/>
              </w:rPr>
              <w:t xml:space="preserve">Communicated approved terms ahead of formal agreement execution</w:t>
            </w:r>
          </w:p>
        </w:tc>
      </w:tr>
      <w:tr>
        <w:tc>
          <w:tcPr>
            <w:tcW w:type="dxa" w:w="1400"/>
            <w:tcMar>
              <w:top w:type="dxa" w:w="70"/>
              <w:left w:type="dxa" w:w="90"/>
              <w:bottom w:type="dxa" w:w="70"/>
              <w:right w:type="dxa" w:w="90"/>
            </w:tcMar>
          </w:tcPr>
          <w:p>
            <w:r>
              <w:rPr>
                <w:b w:val="false"/>
                <w:bCs w:val="false"/>
                <w:color w:val="000000"/>
                <w:sz w:val="19"/>
                <w:szCs w:val="19"/>
              </w:rPr>
              <w:t xml:space="preserve">18 Jul 2025</w:t>
            </w:r>
          </w:p>
        </w:tc>
        <w:tc>
          <w:tcPr>
            <w:tcW w:type="dxa" w:w="3600"/>
            <w:tcMar>
              <w:top w:type="dxa" w:w="70"/>
              <w:left w:type="dxa" w:w="90"/>
              <w:bottom w:type="dxa" w:w="70"/>
              <w:right w:type="dxa" w:w="90"/>
            </w:tcMar>
          </w:tcPr>
          <w:p>
            <w:r>
              <w:rPr>
                <w:b w:val="false"/>
                <w:bCs w:val="false"/>
                <w:color w:val="000000"/>
                <w:sz w:val="19"/>
                <w:szCs w:val="19"/>
              </w:rPr>
              <w:t xml:space="preserve">Borrower's Q1 FY26 occupancy report submission</w:t>
            </w:r>
          </w:p>
        </w:tc>
        <w:tc>
          <w:tcPr>
            <w:tcW w:type="dxa" w:w="4800"/>
            <w:tcMar>
              <w:top w:type="dxa" w:w="70"/>
              <w:left w:type="dxa" w:w="90"/>
              <w:bottom w:type="dxa" w:w="70"/>
              <w:right w:type="dxa" w:w="90"/>
            </w:tcMar>
          </w:tcPr>
          <w:p>
            <w:r>
              <w:rPr>
                <w:b w:val="false"/>
                <w:bCs w:val="false"/>
                <w:color w:val="000000"/>
                <w:sz w:val="19"/>
                <w:szCs w:val="19"/>
              </w:rPr>
              <w:t xml:space="preserve">First monthly report under revised reporting covenant; reviewed without concerns</w:t>
            </w:r>
          </w:p>
        </w:tc>
      </w:tr>
    </w:tbl>
    <w:p>
      <w:pPr>
        <w:pStyle w:val="Heading1"/>
        <w:spacing w:after="120" w:before="240"/>
      </w:pPr>
      <w:r>
        <w:t xml:space="preserve">13. Regulatory and Internal Policy References</w:t>
      </w:r>
    </w:p>
    <w:p>
      <w:pPr>
        <w:pStyle w:val="ListParagraph"/>
        <w:numPr>
          <w:ilvl w:val="0"/>
          <w:numId w:val="2"/>
        </w:numPr>
        <w:spacing w:after="80"/>
      </w:pPr>
      <w:r>
        <w:t xml:space="preserve">Reserve Bank of India Master Circular/Framework on Resolution of Stressed Assets — governs the restructuring process, independent viability assessment requirement, and post-restructuring asset classification followed in this file</w:t>
      </w:r>
    </w:p>
    <w:p>
      <w:pPr>
        <w:pStyle w:val="ListParagraph"/>
        <w:numPr>
          <w:ilvl w:val="0"/>
          <w:numId w:val="2"/>
        </w:numPr>
        <w:spacing w:after="80"/>
      </w:pPr>
      <w:r>
        <w:t xml:space="preserve">Bank's Internal Stressed Assets Policy, Section 4 (Restructuring Eligibility and Process) — governs the viability assessment and credit committee approval process documented in Section 3</w:t>
      </w:r>
    </w:p>
    <w:p>
      <w:pPr>
        <w:pStyle w:val="ListParagraph"/>
        <w:numPr>
          <w:ilvl w:val="0"/>
          <w:numId w:val="2"/>
        </w:numPr>
        <w:spacing w:after="80"/>
      </w:pPr>
      <w:r>
        <w:t xml:space="preserve">Bank's Internal Stressed Assets Policy, Section 9 (Post-Restructuring Monitoring) — governs the 12-month monitoring period and upgrade criteria described in Section 6</w:t>
      </w:r>
    </w:p>
    <w:p>
      <w:pPr>
        <w:pStyle w:val="Heading1"/>
        <w:spacing w:after="120" w:before="240"/>
      </w:pPr>
      <w:r>
        <w:t xml:space="preserve">14. Glossary of Terms Used in This File</w:t>
      </w:r>
    </w:p>
    <w:p>
      <w:pPr>
        <w:pStyle w:val="ListParagraph"/>
        <w:numPr>
          <w:ilvl w:val="0"/>
          <w:numId w:val="2"/>
        </w:numPr>
        <w:spacing w:after="80"/>
      </w:pPr>
      <w:r>
        <w:t xml:space="preserve">Restructuring: a modification of the original loan terms (tenor, rate, moratorium) to align repayment obligations with a borrower's revised cash flow capacity, typically applied where the underlying business is assessed as viable</w:t>
      </w:r>
    </w:p>
    <w:p>
      <w:pPr>
        <w:pStyle w:val="ListParagraph"/>
        <w:numPr>
          <w:ilvl w:val="0"/>
          <w:numId w:val="2"/>
        </w:numPr>
        <w:spacing w:after="80"/>
      </w:pPr>
      <w:r>
        <w:t xml:space="preserve">Cut-off date: the reference date as of which outstanding dues are computed for the purpose of structuring a restructuring package</w:t>
      </w:r>
    </w:p>
    <w:p>
      <w:pPr>
        <w:pStyle w:val="ListParagraph"/>
        <w:numPr>
          <w:ilvl w:val="0"/>
          <w:numId w:val="2"/>
        </w:numPr>
        <w:spacing w:after="80"/>
      </w:pPr>
      <w:r>
        <w:t xml:space="preserve">Viability assessment: an independent evaluation of whether a stressed borrower's business, under a revised plan, can generate sufficient cash flow to service restructured debt obligations</w:t>
      </w:r>
    </w:p>
    <w:p>
      <w:pPr>
        <w:pStyle w:val="ListParagraph"/>
        <w:numPr>
          <w:ilvl w:val="0"/>
          <w:numId w:val="2"/>
        </w:numPr>
        <w:spacing w:after="80"/>
      </w:pPr>
      <w:r>
        <w:t xml:space="preserve">SMA (restructured category): a classification applied to restructured accounts for a defined monitoring period, regardless of timely payment, before consideration for upgrade to unqualified Standard status</w:t>
      </w:r>
    </w:p>
    <w:p>
      <w:pPr>
        <w:spacing w:after="200"/>
      </w:pPr>
      <w:r>
        <w:rPr>
          <w:i/>
          <w:iCs/>
          <w:color w:val="666666"/>
          <w:sz w:val="20"/>
          <w:szCs w:val="20"/>
        </w:rPr>
        <w:t xml:space="preserve">End of document. Internal reference: CMB-RST-2025-0033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5"/>
        <w:szCs w:val="15"/>
      </w:rPr>
      <w:t xml:space="preserve">Continental Merchant Bank Ltd. — Corporate Banking Branch, Hyderabad — Internal Credit File — RST/2025/0033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2026-08-23T14:10:32.734Z</dcterms:created>
  <dcterms:modified xsi:type="dcterms:W3CDTF">2026-08-23T14:10:32.734Z</dcterms:modified>
</cp:coreProperties>
</file>

<file path=docProps/custom.xml><?xml version="1.0" encoding="utf-8"?>
<Properties xmlns="http://schemas.openxmlformats.org/officeDocument/2006/custom-properties" xmlns:vt="http://schemas.openxmlformats.org/officeDocument/2006/docPropsVTypes"/>
</file>