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1F1F"/>
          <w:sz w:val="22"/>
          <w:szCs w:val="22"/>
        </w:rPr>
        <w:t xml:space="preserve">Continental Merchant Bank Ltd. — Corporate Banking Branch, Hyderabad</w:t>
      </w:r>
    </w:p>
    <w:p>
      <w:pPr>
        <w:spacing w:after="200"/>
      </w:pPr>
      <w:r>
        <w:rPr>
          <w:i/>
          <w:iCs/>
          <w:color w:val="888888"/>
          <w:sz w:val="18"/>
          <w:szCs w:val="18"/>
        </w:rPr>
        <w:t xml:space="preserve">Internal Recovery File — Confidential</w:t>
      </w:r>
    </w:p>
    <w:p>
      <w:pPr>
        <w:spacing w:after="80"/>
      </w:pPr>
      <w:r>
        <w:rPr>
          <w:b/>
          <w:bCs/>
          <w:color w:val="6B1F1F"/>
          <w:sz w:val="34"/>
          <w:szCs w:val="34"/>
        </w:rPr>
        <w:t xml:space="preserve">Apex Textile Mills Pvt. Ltd.</w:t>
      </w:r>
    </w:p>
    <w:p>
      <w:pPr>
        <w:spacing w:after="200"/>
      </w:pPr>
      <w:r>
        <w:rPr>
          <w:i/>
          <w:iCs/>
          <w:color w:val="444444"/>
          <w:sz w:val="24"/>
          <w:szCs w:val="24"/>
        </w:rPr>
        <w:t xml:space="preserve">NPA and Recovery Case File — Reference No. NPA/2024/0071</w:t>
      </w:r>
    </w:p>
    <w:p>
      <w:pPr>
        <w:spacing w:after="200"/>
      </w:pPr>
      <w:r>
        <w:rPr>
          <w:i/>
          <w:iCs/>
          <w:color w:val="666666"/>
          <w:sz w:val="20"/>
          <w:szCs w:val="20"/>
        </w:rPr>
        <w:t xml:space="preserve">Illustrative / synthetic recovery file created for training and demonstration purposes (e.g., testing retrieval-augmented generation systems). All names, figures, and details are fictional and do not correspond to any real borrower, bank, or transaction.</w:t>
      </w:r>
    </w:p>
    <w:p>
      <w:pPr>
        <w:pStyle w:val="Heading1"/>
        <w:spacing w:after="120" w:before="240"/>
      </w:pPr>
      <w:r>
        <w:t xml:space="preserve">1. Facility Overview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shd w:fill="6B1F1F" w:color="auto" w:val="clear"/>
            <w:tcMar>
              <w:top w:type="dxa" w:w="70"/>
              <w:left w:type="dxa" w:w="90"/>
              <w:bottom w:type="dxa" w:w="70"/>
              <w:right w:type="dxa" w:w="90"/>
            </w:tcMar>
          </w:tcPr>
          <w:p>
            <w:r>
              <w:rPr>
                <w:b/>
                <w:bCs/>
                <w:color w:val="FFFFFF"/>
                <w:sz w:val="19"/>
                <w:szCs w:val="19"/>
              </w:rPr>
              <w:t xml:space="preserve">Borrower</w:t>
            </w:r>
          </w:p>
        </w:tc>
        <w:tc>
          <w:tcPr>
            <w:tcW w:type="dxa" w:w="7000"/>
            <w:tcMar>
              <w:top w:type="dxa" w:w="70"/>
              <w:left w:type="dxa" w:w="90"/>
              <w:bottom w:type="dxa" w:w="70"/>
              <w:right w:type="dxa" w:w="90"/>
            </w:tcMar>
          </w:tcPr>
          <w:p>
            <w:r>
              <w:rPr>
                <w:b w:val="false"/>
                <w:bCs w:val="false"/>
                <w:color w:val="000000"/>
                <w:sz w:val="19"/>
                <w:szCs w:val="19"/>
              </w:rPr>
              <w:t xml:space="preserve">Apex Textile Mills Pvt. Ltd., Sircilla, Rajanna Sircilla District, Telangana</w:t>
            </w:r>
          </w:p>
        </w:tc>
      </w:tr>
      <w:tr>
        <w:tc>
          <w:tcPr>
            <w:tcW w:type="dxa" w:w="2800"/>
            <w:shd w:fill="6B1F1F" w:color="auto" w:val="clear"/>
            <w:tcMar>
              <w:top w:type="dxa" w:w="70"/>
              <w:left w:type="dxa" w:w="90"/>
              <w:bottom w:type="dxa" w:w="70"/>
              <w:right w:type="dxa" w:w="90"/>
            </w:tcMar>
          </w:tcPr>
          <w:p>
            <w:r>
              <w:rPr>
                <w:b/>
                <w:bCs/>
                <w:color w:val="FFFFFF"/>
                <w:sz w:val="19"/>
                <w:szCs w:val="19"/>
              </w:rPr>
              <w:t xml:space="preserve">Facility Type</w:t>
            </w:r>
          </w:p>
        </w:tc>
        <w:tc>
          <w:tcPr>
            <w:tcW w:type="dxa" w:w="7000"/>
            <w:tcMar>
              <w:top w:type="dxa" w:w="70"/>
              <w:left w:type="dxa" w:w="90"/>
              <w:bottom w:type="dxa" w:w="70"/>
              <w:right w:type="dxa" w:w="90"/>
            </w:tcMar>
          </w:tcPr>
          <w:p>
            <w:r>
              <w:rPr>
                <w:b w:val="false"/>
                <w:bCs w:val="false"/>
                <w:color w:val="000000"/>
                <w:sz w:val="19"/>
                <w:szCs w:val="19"/>
              </w:rPr>
              <w:t xml:space="preserve">Term Loan (weaving unit expansion) and Cash Credit facility, combined exposure</w:t>
            </w:r>
          </w:p>
        </w:tc>
      </w:tr>
      <w:tr>
        <w:tc>
          <w:tcPr>
            <w:tcW w:type="dxa" w:w="2800"/>
            <w:shd w:fill="6B1F1F" w:color="auto" w:val="clear"/>
            <w:tcMar>
              <w:top w:type="dxa" w:w="70"/>
              <w:left w:type="dxa" w:w="90"/>
              <w:bottom w:type="dxa" w:w="70"/>
              <w:right w:type="dxa" w:w="90"/>
            </w:tcMar>
          </w:tcPr>
          <w:p>
            <w:r>
              <w:rPr>
                <w:b/>
                <w:bCs/>
                <w:color w:val="FFFFFF"/>
                <w:sz w:val="19"/>
                <w:szCs w:val="19"/>
              </w:rPr>
              <w:t xml:space="preserve">Account Nos.</w:t>
            </w:r>
          </w:p>
        </w:tc>
        <w:tc>
          <w:tcPr>
            <w:tcW w:type="dxa" w:w="7000"/>
            <w:tcMar>
              <w:top w:type="dxa" w:w="70"/>
              <w:left w:type="dxa" w:w="90"/>
              <w:bottom w:type="dxa" w:w="70"/>
              <w:right w:type="dxa" w:w="90"/>
            </w:tcMar>
          </w:tcPr>
          <w:p>
            <w:r>
              <w:rPr>
                <w:b w:val="false"/>
                <w:bCs w:val="false"/>
                <w:color w:val="000000"/>
                <w:sz w:val="19"/>
                <w:szCs w:val="19"/>
              </w:rPr>
              <w:t xml:space="preserve">TL/2019/0281 and CC/2019/0282</w:t>
            </w:r>
          </w:p>
        </w:tc>
      </w:tr>
      <w:tr>
        <w:tc>
          <w:tcPr>
            <w:tcW w:type="dxa" w:w="2800"/>
            <w:shd w:fill="6B1F1F" w:color="auto" w:val="clear"/>
            <w:tcMar>
              <w:top w:type="dxa" w:w="70"/>
              <w:left w:type="dxa" w:w="90"/>
              <w:bottom w:type="dxa" w:w="70"/>
              <w:right w:type="dxa" w:w="90"/>
            </w:tcMar>
          </w:tcPr>
          <w:p>
            <w:r>
              <w:rPr>
                <w:b/>
                <w:bCs/>
                <w:color w:val="FFFFFF"/>
                <w:sz w:val="19"/>
                <w:szCs w:val="19"/>
              </w:rPr>
              <w:t xml:space="preserve">Total Sanctioned Exposure</w:t>
            </w:r>
          </w:p>
        </w:tc>
        <w:tc>
          <w:tcPr>
            <w:tcW w:type="dxa" w:w="7000"/>
            <w:tcMar>
              <w:top w:type="dxa" w:w="70"/>
              <w:left w:type="dxa" w:w="90"/>
              <w:bottom w:type="dxa" w:w="70"/>
              <w:right w:type="dxa" w:w="90"/>
            </w:tcMar>
          </w:tcPr>
          <w:p>
            <w:r>
              <w:rPr>
                <w:b w:val="false"/>
                <w:bCs w:val="false"/>
                <w:color w:val="000000"/>
                <w:sz w:val="19"/>
                <w:szCs w:val="19"/>
              </w:rPr>
              <w:t xml:space="preserve">₹11,80,00,000 (₹7,80,00,000 Term Loan + ₹4,00,00,000 Cash Credit)</w:t>
            </w:r>
          </w:p>
        </w:tc>
      </w:tr>
      <w:tr>
        <w:tc>
          <w:tcPr>
            <w:tcW w:type="dxa" w:w="2800"/>
            <w:shd w:fill="6B1F1F" w:color="auto" w:val="clear"/>
            <w:tcMar>
              <w:top w:type="dxa" w:w="70"/>
              <w:left w:type="dxa" w:w="90"/>
              <w:bottom w:type="dxa" w:w="70"/>
              <w:right w:type="dxa" w:w="90"/>
            </w:tcMar>
          </w:tcPr>
          <w:p>
            <w:r>
              <w:rPr>
                <w:b/>
                <w:bCs/>
                <w:color w:val="FFFFFF"/>
                <w:sz w:val="19"/>
                <w:szCs w:val="19"/>
              </w:rPr>
              <w:t xml:space="preserve">Gross Outstanding (as of NPA date)</w:t>
            </w:r>
          </w:p>
        </w:tc>
        <w:tc>
          <w:tcPr>
            <w:tcW w:type="dxa" w:w="7000"/>
            <w:tcMar>
              <w:top w:type="dxa" w:w="70"/>
              <w:left w:type="dxa" w:w="90"/>
              <w:bottom w:type="dxa" w:w="70"/>
              <w:right w:type="dxa" w:w="90"/>
            </w:tcMar>
          </w:tcPr>
          <w:p>
            <w:r>
              <w:rPr>
                <w:b w:val="false"/>
                <w:bCs w:val="false"/>
                <w:color w:val="000000"/>
                <w:sz w:val="19"/>
                <w:szCs w:val="19"/>
              </w:rPr>
              <w:t xml:space="preserve">₹9,42,00,000</w:t>
            </w:r>
          </w:p>
        </w:tc>
      </w:tr>
      <w:tr>
        <w:tc>
          <w:tcPr>
            <w:tcW w:type="dxa" w:w="2800"/>
            <w:shd w:fill="6B1F1F" w:color="auto" w:val="clear"/>
            <w:tcMar>
              <w:top w:type="dxa" w:w="70"/>
              <w:left w:type="dxa" w:w="90"/>
              <w:bottom w:type="dxa" w:w="70"/>
              <w:right w:type="dxa" w:w="90"/>
            </w:tcMar>
          </w:tcPr>
          <w:p>
            <w:r>
              <w:rPr>
                <w:b/>
                <w:bCs/>
                <w:color w:val="FFFFFF"/>
                <w:sz w:val="19"/>
                <w:szCs w:val="19"/>
              </w:rPr>
              <w:t xml:space="preserve">NPA Classification Date</w:t>
            </w:r>
          </w:p>
        </w:tc>
        <w:tc>
          <w:tcPr>
            <w:tcW w:type="dxa" w:w="7000"/>
            <w:tcMar>
              <w:top w:type="dxa" w:w="70"/>
              <w:left w:type="dxa" w:w="90"/>
              <w:bottom w:type="dxa" w:w="70"/>
              <w:right w:type="dxa" w:w="90"/>
            </w:tcMar>
          </w:tcPr>
          <w:p>
            <w:r>
              <w:rPr>
                <w:b w:val="false"/>
                <w:bCs w:val="false"/>
                <w:color w:val="000000"/>
                <w:sz w:val="19"/>
                <w:szCs w:val="19"/>
              </w:rPr>
              <w:t xml:space="preserve">31 October 2024 (90+ days past due on Term Loan installment)</w:t>
            </w:r>
          </w:p>
        </w:tc>
      </w:tr>
      <w:tr>
        <w:tc>
          <w:tcPr>
            <w:tcW w:type="dxa" w:w="2800"/>
            <w:shd w:fill="6B1F1F" w:color="auto" w:val="clear"/>
            <w:tcMar>
              <w:top w:type="dxa" w:w="70"/>
              <w:left w:type="dxa" w:w="90"/>
              <w:bottom w:type="dxa" w:w="70"/>
              <w:right w:type="dxa" w:w="90"/>
            </w:tcMar>
          </w:tcPr>
          <w:p>
            <w:r>
              <w:rPr>
                <w:b/>
                <w:bCs/>
                <w:color w:val="FFFFFF"/>
                <w:sz w:val="19"/>
                <w:szCs w:val="19"/>
              </w:rPr>
              <w:t xml:space="preserve">Provisioning (as of latest quarter)</w:t>
            </w:r>
          </w:p>
        </w:tc>
        <w:tc>
          <w:tcPr>
            <w:tcW w:type="dxa" w:w="7000"/>
            <w:tcMar>
              <w:top w:type="dxa" w:w="70"/>
              <w:left w:type="dxa" w:w="90"/>
              <w:bottom w:type="dxa" w:w="70"/>
              <w:right w:type="dxa" w:w="90"/>
            </w:tcMar>
          </w:tcPr>
          <w:p>
            <w:r>
              <w:rPr>
                <w:b w:val="false"/>
                <w:bCs w:val="false"/>
                <w:color w:val="000000"/>
                <w:sz w:val="19"/>
                <w:szCs w:val="19"/>
              </w:rPr>
              <w:t xml:space="preserve">₹2,35,50,000 (25% of outstanding, per applicable norms for sub-standard assets)</w:t>
            </w:r>
          </w:p>
        </w:tc>
      </w:tr>
      <w:tr>
        <w:tc>
          <w:tcPr>
            <w:tcW w:type="dxa" w:w="2800"/>
            <w:shd w:fill="6B1F1F" w:color="auto" w:val="clear"/>
            <w:tcMar>
              <w:top w:type="dxa" w:w="70"/>
              <w:left w:type="dxa" w:w="90"/>
              <w:bottom w:type="dxa" w:w="70"/>
              <w:right w:type="dxa" w:w="90"/>
            </w:tcMar>
          </w:tcPr>
          <w:p>
            <w:r>
              <w:rPr>
                <w:b/>
                <w:bCs/>
                <w:color w:val="FFFFFF"/>
                <w:sz w:val="19"/>
                <w:szCs w:val="19"/>
              </w:rPr>
              <w:t xml:space="preserve">Security</w:t>
            </w:r>
          </w:p>
        </w:tc>
        <w:tc>
          <w:tcPr>
            <w:tcW w:type="dxa" w:w="7000"/>
            <w:tcMar>
              <w:top w:type="dxa" w:w="70"/>
              <w:left w:type="dxa" w:w="90"/>
              <w:bottom w:type="dxa" w:w="70"/>
              <w:right w:type="dxa" w:w="90"/>
            </w:tcMar>
          </w:tcPr>
          <w:p>
            <w:r>
              <w:rPr>
                <w:b w:val="false"/>
                <w:bCs w:val="false"/>
                <w:color w:val="000000"/>
                <w:sz w:val="19"/>
                <w:szCs w:val="19"/>
              </w:rPr>
              <w:t xml:space="preserve">Equitable mortgage of factory land and building, Sircilla; hypothecation of plant and machinery, stock, and book debts; personal guarantees of three promoter-directors</w:t>
            </w:r>
          </w:p>
        </w:tc>
      </w:tr>
      <w:tr>
        <w:tc>
          <w:tcPr>
            <w:tcW w:type="dxa" w:w="2800"/>
            <w:shd w:fill="6B1F1F" w:color="auto" w:val="clear"/>
            <w:tcMar>
              <w:top w:type="dxa" w:w="70"/>
              <w:left w:type="dxa" w:w="90"/>
              <w:bottom w:type="dxa" w:w="70"/>
              <w:right w:type="dxa" w:w="90"/>
            </w:tcMar>
          </w:tcPr>
          <w:p>
            <w:r>
              <w:rPr>
                <w:b/>
                <w:bCs/>
                <w:color w:val="FFFFFF"/>
                <w:sz w:val="19"/>
                <w:szCs w:val="19"/>
              </w:rPr>
              <w:t xml:space="preserve">Recovery Officer</w:t>
            </w:r>
          </w:p>
        </w:tc>
        <w:tc>
          <w:tcPr>
            <w:tcW w:type="dxa" w:w="7000"/>
            <w:tcMar>
              <w:top w:type="dxa" w:w="70"/>
              <w:left w:type="dxa" w:w="90"/>
              <w:bottom w:type="dxa" w:w="70"/>
              <w:right w:type="dxa" w:w="90"/>
            </w:tcMar>
          </w:tcPr>
          <w:p>
            <w:r>
              <w:rPr>
                <w:b w:val="false"/>
                <w:bCs w:val="false"/>
                <w:color w:val="000000"/>
                <w:sz w:val="19"/>
                <w:szCs w:val="19"/>
              </w:rPr>
              <w:t xml:space="preserve">Mr. Naveen Bhaskar, Deputy Manager — Stressed Assets Recovery Group</w:t>
            </w:r>
          </w:p>
        </w:tc>
      </w:tr>
    </w:tbl>
    <w:p>
      <w:pPr>
        <w:pStyle w:val="Heading1"/>
        <w:spacing w:after="120" w:before="240"/>
      </w:pPr>
      <w:r>
        <w:t xml:space="preserve">2. Borrower Profile and Background to Default</w:t>
      </w:r>
    </w:p>
    <w:p>
      <w:pPr>
        <w:spacing w:after="160"/>
      </w:pPr>
      <w:r>
        <w:t xml:space="preserve">Apex Textile Mills Pvt. Ltd. operates a power-loom weaving unit in Sircilla, a traditional textile hub in Telangana. The term loan financed a weaving capacity expansion completed in 2020. The borrower experienced sustained stress beginning in 2023 due to a combination of rising yarn input costs and reduced order volumes from key institutional buyers, leading to progressive deterioration in repayment capacity through 2024.</w:t>
      </w:r>
    </w:p>
    <w:p>
      <w:pPr>
        <w:pStyle w:val="Heading1"/>
        <w:spacing w:after="120" w:before="240"/>
      </w:pPr>
      <w:r>
        <w:t xml:space="preserve">3. Chronology of Stress and Recovery Action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800"/>
      </w:tblGrid>
      <w:tr>
        <w:tc>
          <w:tcPr>
            <w:tcW w:type="dxa" w:w="1500"/>
            <w:shd w:fill="6B1F1F" w:color="auto" w:val="clear"/>
            <w:tcMar>
              <w:top w:type="dxa" w:w="70"/>
              <w:left w:type="dxa" w:w="90"/>
              <w:bottom w:type="dxa" w:w="70"/>
              <w:right w:type="dxa" w:w="90"/>
            </w:tcMar>
          </w:tcPr>
          <w:p>
            <w:r>
              <w:rPr>
                <w:b/>
                <w:bCs/>
                <w:color w:val="FFFFFF"/>
                <w:sz w:val="19"/>
                <w:szCs w:val="19"/>
              </w:rPr>
              <w:t xml:space="preserve">Date</w:t>
            </w:r>
          </w:p>
        </w:tc>
        <w:tc>
          <w:tcPr>
            <w:tcW w:type="dxa" w:w="2600"/>
            <w:shd w:fill="6B1F1F" w:color="auto" w:val="clear"/>
            <w:tcMar>
              <w:top w:type="dxa" w:w="70"/>
              <w:left w:type="dxa" w:w="90"/>
              <w:bottom w:type="dxa" w:w="70"/>
              <w:right w:type="dxa" w:w="90"/>
            </w:tcMar>
          </w:tcPr>
          <w:p>
            <w:r>
              <w:rPr>
                <w:b/>
                <w:bCs/>
                <w:color w:val="FFFFFF"/>
                <w:sz w:val="19"/>
                <w:szCs w:val="19"/>
              </w:rPr>
              <w:t xml:space="preserve">Event</w:t>
            </w:r>
          </w:p>
        </w:tc>
        <w:tc>
          <w:tcPr>
            <w:tcW w:type="dxa" w:w="5800"/>
            <w:shd w:fill="6B1F1F" w:color="auto" w:val="clear"/>
            <w:tcMar>
              <w:top w:type="dxa" w:w="70"/>
              <w:left w:type="dxa" w:w="90"/>
              <w:bottom w:type="dxa" w:w="70"/>
              <w:right w:type="dxa" w:w="90"/>
            </w:tcMar>
          </w:tcPr>
          <w:p>
            <w:r>
              <w:rPr>
                <w:b/>
                <w:bCs/>
                <w:color w:val="FFFFFF"/>
                <w:sz w:val="19"/>
                <w:szCs w:val="19"/>
              </w:rPr>
              <w:t xml:space="preserve">Notes</w:t>
            </w:r>
          </w:p>
        </w:tc>
      </w:tr>
      <w:tr>
        <w:tc>
          <w:tcPr>
            <w:tcW w:type="dxa" w:w="1500"/>
            <w:tcMar>
              <w:top w:type="dxa" w:w="70"/>
              <w:left w:type="dxa" w:w="90"/>
              <w:bottom w:type="dxa" w:w="70"/>
              <w:right w:type="dxa" w:w="90"/>
            </w:tcMar>
          </w:tcPr>
          <w:p>
            <w:r>
              <w:rPr>
                <w:b w:val="false"/>
                <w:bCs w:val="false"/>
                <w:color w:val="000000"/>
                <w:sz w:val="19"/>
                <w:szCs w:val="19"/>
              </w:rPr>
              <w:t xml:space="preserve">15 Feb 2024</w:t>
            </w:r>
          </w:p>
        </w:tc>
        <w:tc>
          <w:tcPr>
            <w:tcW w:type="dxa" w:w="2600"/>
            <w:tcMar>
              <w:top w:type="dxa" w:w="70"/>
              <w:left w:type="dxa" w:w="90"/>
              <w:bottom w:type="dxa" w:w="70"/>
              <w:right w:type="dxa" w:w="90"/>
            </w:tcMar>
          </w:tcPr>
          <w:p>
            <w:r>
              <w:rPr>
                <w:b w:val="false"/>
                <w:bCs w:val="false"/>
                <w:color w:val="000000"/>
                <w:sz w:val="19"/>
                <w:szCs w:val="19"/>
              </w:rPr>
              <w:t xml:space="preserve">First missed term loan installment</w:t>
            </w:r>
          </w:p>
        </w:tc>
        <w:tc>
          <w:tcPr>
            <w:tcW w:type="dxa" w:w="5800"/>
            <w:tcMar>
              <w:top w:type="dxa" w:w="70"/>
              <w:left w:type="dxa" w:w="90"/>
              <w:bottom w:type="dxa" w:w="70"/>
              <w:right w:type="dxa" w:w="90"/>
            </w:tcMar>
          </w:tcPr>
          <w:p>
            <w:r>
              <w:rPr>
                <w:b w:val="false"/>
                <w:bCs w:val="false"/>
                <w:color w:val="000000"/>
                <w:sz w:val="19"/>
                <w:szCs w:val="19"/>
              </w:rPr>
              <w:t xml:space="preserve">Account slips to SMA-0; borrower cites yarn cost inflation</w:t>
            </w:r>
          </w:p>
        </w:tc>
      </w:tr>
      <w:tr>
        <w:tc>
          <w:tcPr>
            <w:tcW w:type="dxa" w:w="1500"/>
            <w:tcMar>
              <w:top w:type="dxa" w:w="70"/>
              <w:left w:type="dxa" w:w="90"/>
              <w:bottom w:type="dxa" w:w="70"/>
              <w:right w:type="dxa" w:w="90"/>
            </w:tcMar>
          </w:tcPr>
          <w:p>
            <w:r>
              <w:rPr>
                <w:b w:val="false"/>
                <w:bCs w:val="false"/>
                <w:color w:val="000000"/>
                <w:sz w:val="19"/>
                <w:szCs w:val="19"/>
              </w:rPr>
              <w:t xml:space="preserve">20 Apr 2024</w:t>
            </w:r>
          </w:p>
        </w:tc>
        <w:tc>
          <w:tcPr>
            <w:tcW w:type="dxa" w:w="2600"/>
            <w:tcMar>
              <w:top w:type="dxa" w:w="70"/>
              <w:left w:type="dxa" w:w="90"/>
              <w:bottom w:type="dxa" w:w="70"/>
              <w:right w:type="dxa" w:w="90"/>
            </w:tcMar>
          </w:tcPr>
          <w:p>
            <w:r>
              <w:rPr>
                <w:b w:val="false"/>
                <w:bCs w:val="false"/>
                <w:color w:val="000000"/>
                <w:sz w:val="19"/>
                <w:szCs w:val="19"/>
              </w:rPr>
              <w:t xml:space="preserve">Second consecutive missed installment</w:t>
            </w:r>
          </w:p>
        </w:tc>
        <w:tc>
          <w:tcPr>
            <w:tcW w:type="dxa" w:w="5800"/>
            <w:tcMar>
              <w:top w:type="dxa" w:w="70"/>
              <w:left w:type="dxa" w:w="90"/>
              <w:bottom w:type="dxa" w:w="70"/>
              <w:right w:type="dxa" w:w="90"/>
            </w:tcMar>
          </w:tcPr>
          <w:p>
            <w:r>
              <w:rPr>
                <w:b w:val="false"/>
                <w:bCs w:val="false"/>
                <w:color w:val="000000"/>
                <w:sz w:val="19"/>
                <w:szCs w:val="19"/>
              </w:rPr>
              <w:t xml:space="preserve">Account slips to SMA-1 (31–60 days overdue)</w:t>
            </w:r>
          </w:p>
        </w:tc>
      </w:tr>
      <w:tr>
        <w:tc>
          <w:tcPr>
            <w:tcW w:type="dxa" w:w="1500"/>
            <w:tcMar>
              <w:top w:type="dxa" w:w="70"/>
              <w:left w:type="dxa" w:w="90"/>
              <w:bottom w:type="dxa" w:w="70"/>
              <w:right w:type="dxa" w:w="90"/>
            </w:tcMar>
          </w:tcPr>
          <w:p>
            <w:r>
              <w:rPr>
                <w:b w:val="false"/>
                <w:bCs w:val="false"/>
                <w:color w:val="000000"/>
                <w:sz w:val="19"/>
                <w:szCs w:val="19"/>
              </w:rPr>
              <w:t xml:space="preserve">18 Jun 2024</w:t>
            </w:r>
          </w:p>
        </w:tc>
        <w:tc>
          <w:tcPr>
            <w:tcW w:type="dxa" w:w="2600"/>
            <w:tcMar>
              <w:top w:type="dxa" w:w="70"/>
              <w:left w:type="dxa" w:w="90"/>
              <w:bottom w:type="dxa" w:w="70"/>
              <w:right w:type="dxa" w:w="90"/>
            </w:tcMar>
          </w:tcPr>
          <w:p>
            <w:r>
              <w:rPr>
                <w:b w:val="false"/>
                <w:bCs w:val="false"/>
                <w:color w:val="000000"/>
                <w:sz w:val="19"/>
                <w:szCs w:val="19"/>
              </w:rPr>
              <w:t xml:space="preserve">Account slips to SMA-2</w:t>
            </w:r>
          </w:p>
        </w:tc>
        <w:tc>
          <w:tcPr>
            <w:tcW w:type="dxa" w:w="5800"/>
            <w:tcMar>
              <w:top w:type="dxa" w:w="70"/>
              <w:left w:type="dxa" w:w="90"/>
              <w:bottom w:type="dxa" w:w="70"/>
              <w:right w:type="dxa" w:w="90"/>
            </w:tcMar>
          </w:tcPr>
          <w:p>
            <w:r>
              <w:rPr>
                <w:b w:val="false"/>
                <w:bCs w:val="false"/>
                <w:color w:val="000000"/>
                <w:sz w:val="19"/>
                <w:szCs w:val="19"/>
              </w:rPr>
              <w:t xml:space="preserve">61–90 days overdue; borrower proposes informal moratorium, not accepted pending formal restructuring application</w:t>
            </w:r>
          </w:p>
        </w:tc>
      </w:tr>
      <w:tr>
        <w:tc>
          <w:tcPr>
            <w:tcW w:type="dxa" w:w="1500"/>
            <w:tcMar>
              <w:top w:type="dxa" w:w="70"/>
              <w:left w:type="dxa" w:w="90"/>
              <w:bottom w:type="dxa" w:w="70"/>
              <w:right w:type="dxa" w:w="90"/>
            </w:tcMar>
          </w:tcPr>
          <w:p>
            <w:r>
              <w:rPr>
                <w:b w:val="false"/>
                <w:bCs w:val="false"/>
                <w:color w:val="000000"/>
                <w:sz w:val="19"/>
                <w:szCs w:val="19"/>
              </w:rPr>
              <w:t xml:space="preserve">31 Oct 2024</w:t>
            </w:r>
          </w:p>
        </w:tc>
        <w:tc>
          <w:tcPr>
            <w:tcW w:type="dxa" w:w="2600"/>
            <w:tcMar>
              <w:top w:type="dxa" w:w="70"/>
              <w:left w:type="dxa" w:w="90"/>
              <w:bottom w:type="dxa" w:w="70"/>
              <w:right w:type="dxa" w:w="90"/>
            </w:tcMar>
          </w:tcPr>
          <w:p>
            <w:r>
              <w:rPr>
                <w:b w:val="false"/>
                <w:bCs w:val="false"/>
                <w:color w:val="000000"/>
                <w:sz w:val="19"/>
                <w:szCs w:val="19"/>
              </w:rPr>
              <w:t xml:space="preserve">Account classified as Non-Performing Asset (NPA)</w:t>
            </w:r>
          </w:p>
        </w:tc>
        <w:tc>
          <w:tcPr>
            <w:tcW w:type="dxa" w:w="5800"/>
            <w:tcMar>
              <w:top w:type="dxa" w:w="70"/>
              <w:left w:type="dxa" w:w="90"/>
              <w:bottom w:type="dxa" w:w="70"/>
              <w:right w:type="dxa" w:w="90"/>
            </w:tcMar>
          </w:tcPr>
          <w:p>
            <w:r>
              <w:rPr>
                <w:b w:val="false"/>
                <w:bCs w:val="false"/>
                <w:color w:val="000000"/>
                <w:sz w:val="19"/>
                <w:szCs w:val="19"/>
              </w:rPr>
              <w:t xml:space="preserve">90+ days overdue on term loan installment, per applicable prudential norms</w:t>
            </w:r>
          </w:p>
        </w:tc>
      </w:tr>
      <w:tr>
        <w:tc>
          <w:tcPr>
            <w:tcW w:type="dxa" w:w="1500"/>
            <w:tcMar>
              <w:top w:type="dxa" w:w="70"/>
              <w:left w:type="dxa" w:w="90"/>
              <w:bottom w:type="dxa" w:w="70"/>
              <w:right w:type="dxa" w:w="90"/>
            </w:tcMar>
          </w:tcPr>
          <w:p>
            <w:r>
              <w:rPr>
                <w:b w:val="false"/>
                <w:bCs w:val="false"/>
                <w:color w:val="000000"/>
                <w:sz w:val="19"/>
                <w:szCs w:val="19"/>
              </w:rPr>
              <w:t xml:space="preserve">15 Nov 2024</w:t>
            </w:r>
          </w:p>
        </w:tc>
        <w:tc>
          <w:tcPr>
            <w:tcW w:type="dxa" w:w="2600"/>
            <w:tcMar>
              <w:top w:type="dxa" w:w="70"/>
              <w:left w:type="dxa" w:w="90"/>
              <w:bottom w:type="dxa" w:w="70"/>
              <w:right w:type="dxa" w:w="90"/>
            </w:tcMar>
          </w:tcPr>
          <w:p>
            <w:r>
              <w:rPr>
                <w:b w:val="false"/>
                <w:bCs w:val="false"/>
                <w:color w:val="000000"/>
                <w:sz w:val="19"/>
                <w:szCs w:val="19"/>
              </w:rPr>
              <w:t xml:space="preserve">Demand notice issued under Section 13(2), SARFAESI Act, 2002</w:t>
            </w:r>
          </w:p>
        </w:tc>
        <w:tc>
          <w:tcPr>
            <w:tcW w:type="dxa" w:w="5800"/>
            <w:tcMar>
              <w:top w:type="dxa" w:w="70"/>
              <w:left w:type="dxa" w:w="90"/>
              <w:bottom w:type="dxa" w:w="70"/>
              <w:right w:type="dxa" w:w="90"/>
            </w:tcMar>
          </w:tcPr>
          <w:p>
            <w:r>
              <w:rPr>
                <w:b w:val="false"/>
                <w:bCs w:val="false"/>
                <w:color w:val="000000"/>
                <w:sz w:val="19"/>
                <w:szCs w:val="19"/>
              </w:rPr>
              <w:t xml:space="preserve">60-day notice period calling upon borrower to discharge liability of ₹9,42,00,000</w:t>
            </w:r>
          </w:p>
        </w:tc>
      </w:tr>
      <w:tr>
        <w:tc>
          <w:tcPr>
            <w:tcW w:type="dxa" w:w="1500"/>
            <w:tcMar>
              <w:top w:type="dxa" w:w="70"/>
              <w:left w:type="dxa" w:w="90"/>
              <w:bottom w:type="dxa" w:w="70"/>
              <w:right w:type="dxa" w:w="90"/>
            </w:tcMar>
          </w:tcPr>
          <w:p>
            <w:r>
              <w:rPr>
                <w:b w:val="false"/>
                <w:bCs w:val="false"/>
                <w:color w:val="000000"/>
                <w:sz w:val="19"/>
                <w:szCs w:val="19"/>
              </w:rPr>
              <w:t xml:space="preserve">20 Dec 2024</w:t>
            </w:r>
          </w:p>
        </w:tc>
        <w:tc>
          <w:tcPr>
            <w:tcW w:type="dxa" w:w="2600"/>
            <w:tcMar>
              <w:top w:type="dxa" w:w="70"/>
              <w:left w:type="dxa" w:w="90"/>
              <w:bottom w:type="dxa" w:w="70"/>
              <w:right w:type="dxa" w:w="90"/>
            </w:tcMar>
          </w:tcPr>
          <w:p>
            <w:r>
              <w:rPr>
                <w:b w:val="false"/>
                <w:bCs w:val="false"/>
                <w:color w:val="000000"/>
                <w:sz w:val="19"/>
                <w:szCs w:val="19"/>
              </w:rPr>
              <w:t xml:space="preserve">Borrower's representation received</w:t>
            </w:r>
          </w:p>
        </w:tc>
        <w:tc>
          <w:tcPr>
            <w:tcW w:type="dxa" w:w="5800"/>
            <w:tcMar>
              <w:top w:type="dxa" w:w="70"/>
              <w:left w:type="dxa" w:w="90"/>
              <w:bottom w:type="dxa" w:w="70"/>
              <w:right w:type="dxa" w:w="90"/>
            </w:tcMar>
          </w:tcPr>
          <w:p>
            <w:r>
              <w:rPr>
                <w:b w:val="false"/>
                <w:bCs w:val="false"/>
                <w:color w:val="000000"/>
                <w:sz w:val="19"/>
                <w:szCs w:val="19"/>
              </w:rPr>
              <w:t xml:space="preserve">Objected to notice; proposed a One-Time Settlement (OTS) at ₹6,80,00,000</w:t>
            </w:r>
          </w:p>
        </w:tc>
      </w:tr>
      <w:tr>
        <w:tc>
          <w:tcPr>
            <w:tcW w:type="dxa" w:w="1500"/>
            <w:tcMar>
              <w:top w:type="dxa" w:w="70"/>
              <w:left w:type="dxa" w:w="90"/>
              <w:bottom w:type="dxa" w:w="70"/>
              <w:right w:type="dxa" w:w="90"/>
            </w:tcMar>
          </w:tcPr>
          <w:p>
            <w:r>
              <w:rPr>
                <w:b w:val="false"/>
                <w:bCs w:val="false"/>
                <w:color w:val="000000"/>
                <w:sz w:val="19"/>
                <w:szCs w:val="19"/>
              </w:rPr>
              <w:t xml:space="preserve">10 Jan 2025</w:t>
            </w:r>
          </w:p>
        </w:tc>
        <w:tc>
          <w:tcPr>
            <w:tcW w:type="dxa" w:w="2600"/>
            <w:tcMar>
              <w:top w:type="dxa" w:w="70"/>
              <w:left w:type="dxa" w:w="90"/>
              <w:bottom w:type="dxa" w:w="70"/>
              <w:right w:type="dxa" w:w="90"/>
            </w:tcMar>
          </w:tcPr>
          <w:p>
            <w:r>
              <w:rPr>
                <w:b w:val="false"/>
                <w:bCs w:val="false"/>
                <w:color w:val="000000"/>
                <w:sz w:val="19"/>
                <w:szCs w:val="19"/>
              </w:rPr>
              <w:t xml:space="preserve">Bank's reply to representation</w:t>
            </w:r>
          </w:p>
        </w:tc>
        <w:tc>
          <w:tcPr>
            <w:tcW w:type="dxa" w:w="5800"/>
            <w:tcMar>
              <w:top w:type="dxa" w:w="70"/>
              <w:left w:type="dxa" w:w="90"/>
              <w:bottom w:type="dxa" w:w="70"/>
              <w:right w:type="dxa" w:w="90"/>
            </w:tcMar>
          </w:tcPr>
          <w:p>
            <w:r>
              <w:rPr>
                <w:b w:val="false"/>
                <w:bCs w:val="false"/>
                <w:color w:val="000000"/>
                <w:sz w:val="19"/>
                <w:szCs w:val="19"/>
              </w:rPr>
              <w:t xml:space="preserve">OTS proposal rejected as inadequate; bank proceeds with SARFAESI action</w:t>
            </w:r>
          </w:p>
        </w:tc>
      </w:tr>
      <w:tr>
        <w:tc>
          <w:tcPr>
            <w:tcW w:type="dxa" w:w="1500"/>
            <w:tcMar>
              <w:top w:type="dxa" w:w="70"/>
              <w:left w:type="dxa" w:w="90"/>
              <w:bottom w:type="dxa" w:w="70"/>
              <w:right w:type="dxa" w:w="90"/>
            </w:tcMar>
          </w:tcPr>
          <w:p>
            <w:r>
              <w:rPr>
                <w:b w:val="false"/>
                <w:bCs w:val="false"/>
                <w:color w:val="000000"/>
                <w:sz w:val="19"/>
                <w:szCs w:val="19"/>
              </w:rPr>
              <w:t xml:space="preserve">18 Feb 2025</w:t>
            </w:r>
          </w:p>
        </w:tc>
        <w:tc>
          <w:tcPr>
            <w:tcW w:type="dxa" w:w="2600"/>
            <w:tcMar>
              <w:top w:type="dxa" w:w="70"/>
              <w:left w:type="dxa" w:w="90"/>
              <w:bottom w:type="dxa" w:w="70"/>
              <w:right w:type="dxa" w:w="90"/>
            </w:tcMar>
          </w:tcPr>
          <w:p>
            <w:r>
              <w:rPr>
                <w:b w:val="false"/>
                <w:bCs w:val="false"/>
                <w:color w:val="000000"/>
                <w:sz w:val="19"/>
                <w:szCs w:val="19"/>
              </w:rPr>
              <w:t xml:space="preserve">Possession notice issued under Section 13(4), SARFAESI Act</w:t>
            </w:r>
          </w:p>
        </w:tc>
        <w:tc>
          <w:tcPr>
            <w:tcW w:type="dxa" w:w="5800"/>
            <w:tcMar>
              <w:top w:type="dxa" w:w="70"/>
              <w:left w:type="dxa" w:w="90"/>
              <w:bottom w:type="dxa" w:w="70"/>
              <w:right w:type="dxa" w:w="90"/>
            </w:tcMar>
          </w:tcPr>
          <w:p>
            <w:r>
              <w:rPr>
                <w:b w:val="false"/>
                <w:bCs w:val="false"/>
                <w:color w:val="000000"/>
                <w:sz w:val="19"/>
                <w:szCs w:val="19"/>
              </w:rPr>
              <w:t xml:space="preserve">Symbolic possession of mortgaged factory premises taken</w:t>
            </w:r>
          </w:p>
        </w:tc>
      </w:tr>
      <w:tr>
        <w:tc>
          <w:tcPr>
            <w:tcW w:type="dxa" w:w="1500"/>
            <w:tcMar>
              <w:top w:type="dxa" w:w="70"/>
              <w:left w:type="dxa" w:w="90"/>
              <w:bottom w:type="dxa" w:w="70"/>
              <w:right w:type="dxa" w:w="90"/>
            </w:tcMar>
          </w:tcPr>
          <w:p>
            <w:r>
              <w:rPr>
                <w:b w:val="false"/>
                <w:bCs w:val="false"/>
                <w:color w:val="000000"/>
                <w:sz w:val="19"/>
                <w:szCs w:val="19"/>
              </w:rPr>
              <w:t xml:space="preserve">25 Apr 2025</w:t>
            </w:r>
          </w:p>
        </w:tc>
        <w:tc>
          <w:tcPr>
            <w:tcW w:type="dxa" w:w="2600"/>
            <w:tcMar>
              <w:top w:type="dxa" w:w="70"/>
              <w:left w:type="dxa" w:w="90"/>
              <w:bottom w:type="dxa" w:w="70"/>
              <w:right w:type="dxa" w:w="90"/>
            </w:tcMar>
          </w:tcPr>
          <w:p>
            <w:r>
              <w:rPr>
                <w:b w:val="false"/>
                <w:bCs w:val="false"/>
                <w:color w:val="000000"/>
                <w:sz w:val="19"/>
                <w:szCs w:val="19"/>
              </w:rPr>
              <w:t xml:space="preserve">Application filed before Debts Recovery Tribunal (DRT)</w:t>
            </w:r>
          </w:p>
        </w:tc>
        <w:tc>
          <w:tcPr>
            <w:tcW w:type="dxa" w:w="5800"/>
            <w:tcMar>
              <w:top w:type="dxa" w:w="70"/>
              <w:left w:type="dxa" w:w="90"/>
              <w:bottom w:type="dxa" w:w="70"/>
              <w:right w:type="dxa" w:w="90"/>
            </w:tcMar>
          </w:tcPr>
          <w:p>
            <w:r>
              <w:rPr>
                <w:b w:val="false"/>
                <w:bCs w:val="false"/>
                <w:color w:val="000000"/>
                <w:sz w:val="19"/>
                <w:szCs w:val="19"/>
              </w:rPr>
              <w:t xml:space="preserve">Filed under Section 14, SARFAESI Act, seeking assistance for physical possession</w:t>
            </w:r>
          </w:p>
        </w:tc>
      </w:tr>
      <w:tr>
        <w:tc>
          <w:tcPr>
            <w:tcW w:type="dxa" w:w="1500"/>
            <w:tcMar>
              <w:top w:type="dxa" w:w="70"/>
              <w:left w:type="dxa" w:w="90"/>
              <w:bottom w:type="dxa" w:w="70"/>
              <w:right w:type="dxa" w:w="90"/>
            </w:tcMar>
          </w:tcPr>
          <w:p>
            <w:r>
              <w:rPr>
                <w:b w:val="false"/>
                <w:bCs w:val="false"/>
                <w:color w:val="000000"/>
                <w:sz w:val="19"/>
                <w:szCs w:val="19"/>
              </w:rPr>
              <w:t xml:space="preserve">12 Jun 2025</w:t>
            </w:r>
          </w:p>
        </w:tc>
        <w:tc>
          <w:tcPr>
            <w:tcW w:type="dxa" w:w="2600"/>
            <w:tcMar>
              <w:top w:type="dxa" w:w="70"/>
              <w:left w:type="dxa" w:w="90"/>
              <w:bottom w:type="dxa" w:w="70"/>
              <w:right w:type="dxa" w:w="90"/>
            </w:tcMar>
          </w:tcPr>
          <w:p>
            <w:r>
              <w:rPr>
                <w:b w:val="false"/>
                <w:bCs w:val="false"/>
                <w:color w:val="000000"/>
                <w:sz w:val="19"/>
                <w:szCs w:val="19"/>
              </w:rPr>
              <w:t xml:space="preserve">Revised OTS proposal received from borrower</w:t>
            </w:r>
          </w:p>
        </w:tc>
        <w:tc>
          <w:tcPr>
            <w:tcW w:type="dxa" w:w="5800"/>
            <w:tcMar>
              <w:top w:type="dxa" w:w="70"/>
              <w:left w:type="dxa" w:w="90"/>
              <w:bottom w:type="dxa" w:w="70"/>
              <w:right w:type="dxa" w:w="90"/>
            </w:tcMar>
          </w:tcPr>
          <w:p>
            <w:r>
              <w:rPr>
                <w:b w:val="false"/>
                <w:bCs w:val="false"/>
                <w:color w:val="000000"/>
                <w:sz w:val="19"/>
                <w:szCs w:val="19"/>
              </w:rPr>
              <w:t xml:space="preserve">₹7,60,00,000, payable over 6 months; currently under internal evaluation</w:t>
            </w:r>
          </w:p>
        </w:tc>
      </w:tr>
    </w:tbl>
    <w:p>
      <w:pPr>
        <w:pStyle w:val="Heading1"/>
        <w:spacing w:after="120" w:before="240"/>
      </w:pPr>
      <w:r>
        <w:t xml:space="preserve">4. Documents on Record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6B1F1F" w:color="auto" w:val="clear"/>
            <w:tcMar>
              <w:top w:type="dxa" w:w="70"/>
              <w:left w:type="dxa" w:w="90"/>
              <w:bottom w:type="dxa" w:w="70"/>
              <w:right w:type="dxa" w:w="90"/>
            </w:tcMar>
          </w:tcPr>
          <w:p>
            <w:r>
              <w:rPr>
                <w:b/>
                <w:bCs/>
                <w:color w:val="FFFFFF"/>
                <w:sz w:val="19"/>
                <w:szCs w:val="19"/>
              </w:rPr>
              <w:t xml:space="preserve">Document</w:t>
            </w:r>
          </w:p>
        </w:tc>
        <w:tc>
          <w:tcPr>
            <w:tcW w:type="dxa" w:w="3600"/>
            <w:shd w:fill="6B1F1F" w:color="auto" w:val="clear"/>
            <w:tcMar>
              <w:top w:type="dxa" w:w="70"/>
              <w:left w:type="dxa" w:w="90"/>
              <w:bottom w:type="dxa" w:w="70"/>
              <w:right w:type="dxa" w:w="90"/>
            </w:tcMar>
          </w:tcPr>
          <w:p>
            <w:r>
              <w:rPr>
                <w:b/>
                <w:bCs/>
                <w:color w:val="FFFFFF"/>
                <w:sz w:val="19"/>
                <w:szCs w:val="19"/>
              </w:rPr>
              <w:t xml:space="preserve">Description</w:t>
            </w:r>
          </w:p>
        </w:tc>
        <w:tc>
          <w:tcPr>
            <w:tcW w:type="dxa" w:w="4800"/>
            <w:shd w:fill="6B1F1F" w:color="auto" w:val="clear"/>
            <w:tcMar>
              <w:top w:type="dxa" w:w="70"/>
              <w:left w:type="dxa" w:w="90"/>
              <w:bottom w:type="dxa" w:w="70"/>
              <w:right w:type="dxa" w:w="90"/>
            </w:tcMar>
          </w:tcPr>
          <w:p>
            <w:r>
              <w:rPr>
                <w:b/>
                <w:bCs/>
                <w:color w:val="FFFFFF"/>
                <w:sz w:val="19"/>
                <w:szCs w:val="19"/>
              </w:rPr>
              <w:t xml:space="preserve">Status</w:t>
            </w:r>
          </w:p>
        </w:tc>
      </w:tr>
      <w:tr>
        <w:tc>
          <w:tcPr>
            <w:tcW w:type="dxa" w:w="1400"/>
            <w:tcMar>
              <w:top w:type="dxa" w:w="70"/>
              <w:left w:type="dxa" w:w="90"/>
              <w:bottom w:type="dxa" w:w="70"/>
              <w:right w:type="dxa" w:w="90"/>
            </w:tcMar>
          </w:tcPr>
          <w:p>
            <w:r>
              <w:rPr>
                <w:b w:val="false"/>
                <w:bCs w:val="false"/>
                <w:color w:val="000000"/>
                <w:sz w:val="19"/>
                <w:szCs w:val="19"/>
              </w:rPr>
              <w:t xml:space="preserve">Section 13(2) demand notice</w:t>
            </w:r>
          </w:p>
        </w:tc>
        <w:tc>
          <w:tcPr>
            <w:tcW w:type="dxa" w:w="3600"/>
            <w:tcMar>
              <w:top w:type="dxa" w:w="70"/>
              <w:left w:type="dxa" w:w="90"/>
              <w:bottom w:type="dxa" w:w="70"/>
              <w:right w:type="dxa" w:w="90"/>
            </w:tcMar>
          </w:tcPr>
          <w:p>
            <w:r>
              <w:rPr>
                <w:b w:val="false"/>
                <w:bCs w:val="false"/>
                <w:color w:val="000000"/>
                <w:sz w:val="19"/>
                <w:szCs w:val="19"/>
              </w:rPr>
              <w:t xml:space="preserve">Dated 15 Nov 2024</w:t>
            </w:r>
          </w:p>
        </w:tc>
        <w:tc>
          <w:tcPr>
            <w:tcW w:type="dxa" w:w="4800"/>
            <w:tcMar>
              <w:top w:type="dxa" w:w="70"/>
              <w:left w:type="dxa" w:w="90"/>
              <w:bottom w:type="dxa" w:w="70"/>
              <w:right w:type="dxa" w:w="90"/>
            </w:tcMar>
          </w:tcPr>
          <w:p>
            <w:r>
              <w:rPr>
                <w:b w:val="false"/>
                <w:bCs w:val="false"/>
                <w:color w:val="000000"/>
                <w:sz w:val="19"/>
                <w:szCs w:val="19"/>
              </w:rPr>
              <w:t xml:space="preserve">Issued and delivered; acknowledgment on file</w:t>
            </w:r>
          </w:p>
        </w:tc>
      </w:tr>
      <w:tr>
        <w:tc>
          <w:tcPr>
            <w:tcW w:type="dxa" w:w="1400"/>
            <w:tcMar>
              <w:top w:type="dxa" w:w="70"/>
              <w:left w:type="dxa" w:w="90"/>
              <w:bottom w:type="dxa" w:w="70"/>
              <w:right w:type="dxa" w:w="90"/>
            </w:tcMar>
          </w:tcPr>
          <w:p>
            <w:r>
              <w:rPr>
                <w:b w:val="false"/>
                <w:bCs w:val="false"/>
                <w:color w:val="000000"/>
                <w:sz w:val="19"/>
                <w:szCs w:val="19"/>
              </w:rPr>
              <w:t xml:space="preserve">Borrower's representation</w:t>
            </w:r>
          </w:p>
        </w:tc>
        <w:tc>
          <w:tcPr>
            <w:tcW w:type="dxa" w:w="3600"/>
            <w:tcMar>
              <w:top w:type="dxa" w:w="70"/>
              <w:left w:type="dxa" w:w="90"/>
              <w:bottom w:type="dxa" w:w="70"/>
              <w:right w:type="dxa" w:w="90"/>
            </w:tcMar>
          </w:tcPr>
          <w:p>
            <w:r>
              <w:rPr>
                <w:b w:val="false"/>
                <w:bCs w:val="false"/>
                <w:color w:val="000000"/>
                <w:sz w:val="19"/>
                <w:szCs w:val="19"/>
              </w:rPr>
              <w:t xml:space="preserve">Dated 20 Dec 2024, with first OTS proposal</w:t>
            </w:r>
          </w:p>
        </w:tc>
        <w:tc>
          <w:tcPr>
            <w:tcW w:type="dxa" w:w="4800"/>
            <w:tcMar>
              <w:top w:type="dxa" w:w="70"/>
              <w:left w:type="dxa" w:w="90"/>
              <w:bottom w:type="dxa" w:w="70"/>
              <w:right w:type="dxa" w:w="90"/>
            </w:tcMar>
          </w:tcPr>
          <w:p>
            <w:r>
              <w:rPr>
                <w:b w:val="false"/>
                <w:bCs w:val="false"/>
                <w:color w:val="000000"/>
                <w:sz w:val="19"/>
                <w:szCs w:val="19"/>
              </w:rPr>
              <w:t xml:space="preserve">On file; rejected</w:t>
            </w:r>
          </w:p>
        </w:tc>
      </w:tr>
      <w:tr>
        <w:tc>
          <w:tcPr>
            <w:tcW w:type="dxa" w:w="1400"/>
            <w:tcMar>
              <w:top w:type="dxa" w:w="70"/>
              <w:left w:type="dxa" w:w="90"/>
              <w:bottom w:type="dxa" w:w="70"/>
              <w:right w:type="dxa" w:w="90"/>
            </w:tcMar>
          </w:tcPr>
          <w:p>
            <w:r>
              <w:rPr>
                <w:b w:val="false"/>
                <w:bCs w:val="false"/>
                <w:color w:val="000000"/>
                <w:sz w:val="19"/>
                <w:szCs w:val="19"/>
              </w:rPr>
              <w:t xml:space="preserve">Bank's reply to representation</w:t>
            </w:r>
          </w:p>
        </w:tc>
        <w:tc>
          <w:tcPr>
            <w:tcW w:type="dxa" w:w="3600"/>
            <w:tcMar>
              <w:top w:type="dxa" w:w="70"/>
              <w:left w:type="dxa" w:w="90"/>
              <w:bottom w:type="dxa" w:w="70"/>
              <w:right w:type="dxa" w:w="90"/>
            </w:tcMar>
          </w:tcPr>
          <w:p>
            <w:r>
              <w:rPr>
                <w:b w:val="false"/>
                <w:bCs w:val="false"/>
                <w:color w:val="000000"/>
                <w:sz w:val="19"/>
                <w:szCs w:val="19"/>
              </w:rPr>
              <w:t xml:space="preserve">Dated 10 Jan 2025</w:t>
            </w:r>
          </w:p>
        </w:tc>
        <w:tc>
          <w:tcPr>
            <w:tcW w:type="dxa" w:w="4800"/>
            <w:tcMar>
              <w:top w:type="dxa" w:w="70"/>
              <w:left w:type="dxa" w:w="90"/>
              <w:bottom w:type="dxa" w:w="70"/>
              <w:right w:type="dxa" w:w="90"/>
            </w:tcMar>
          </w:tcPr>
          <w:p>
            <w:r>
              <w:rPr>
                <w:b w:val="false"/>
                <w:bCs w:val="false"/>
                <w:color w:val="000000"/>
                <w:sz w:val="19"/>
                <w:szCs w:val="19"/>
              </w:rPr>
              <w:t xml:space="preserve">Issued per Section 13(3-A) requirement</w:t>
            </w:r>
          </w:p>
        </w:tc>
      </w:tr>
      <w:tr>
        <w:tc>
          <w:tcPr>
            <w:tcW w:type="dxa" w:w="1400"/>
            <w:tcMar>
              <w:top w:type="dxa" w:w="70"/>
              <w:left w:type="dxa" w:w="90"/>
              <w:bottom w:type="dxa" w:w="70"/>
              <w:right w:type="dxa" w:w="90"/>
            </w:tcMar>
          </w:tcPr>
          <w:p>
            <w:r>
              <w:rPr>
                <w:b w:val="false"/>
                <w:bCs w:val="false"/>
                <w:color w:val="000000"/>
                <w:sz w:val="19"/>
                <w:szCs w:val="19"/>
              </w:rPr>
              <w:t xml:space="preserve">Section 13(4) possession notice</w:t>
            </w:r>
          </w:p>
        </w:tc>
        <w:tc>
          <w:tcPr>
            <w:tcW w:type="dxa" w:w="3600"/>
            <w:tcMar>
              <w:top w:type="dxa" w:w="70"/>
              <w:left w:type="dxa" w:w="90"/>
              <w:bottom w:type="dxa" w:w="70"/>
              <w:right w:type="dxa" w:w="90"/>
            </w:tcMar>
          </w:tcPr>
          <w:p>
            <w:r>
              <w:rPr>
                <w:b w:val="false"/>
                <w:bCs w:val="false"/>
                <w:color w:val="000000"/>
                <w:sz w:val="19"/>
                <w:szCs w:val="19"/>
              </w:rPr>
              <w:t xml:space="preserve">Dated 18 Feb 2025</w:t>
            </w:r>
          </w:p>
        </w:tc>
        <w:tc>
          <w:tcPr>
            <w:tcW w:type="dxa" w:w="4800"/>
            <w:tcMar>
              <w:top w:type="dxa" w:w="70"/>
              <w:left w:type="dxa" w:w="90"/>
              <w:bottom w:type="dxa" w:w="70"/>
              <w:right w:type="dxa" w:w="90"/>
            </w:tcMar>
          </w:tcPr>
          <w:p>
            <w:r>
              <w:rPr>
                <w:b w:val="false"/>
                <w:bCs w:val="false"/>
                <w:color w:val="000000"/>
                <w:sz w:val="19"/>
                <w:szCs w:val="19"/>
              </w:rPr>
              <w:t xml:space="preserve">Symbolic possession taken; notice published in two newspapers per rules</w:t>
            </w:r>
          </w:p>
        </w:tc>
      </w:tr>
      <w:tr>
        <w:tc>
          <w:tcPr>
            <w:tcW w:type="dxa" w:w="1400"/>
            <w:tcMar>
              <w:top w:type="dxa" w:w="70"/>
              <w:left w:type="dxa" w:w="90"/>
              <w:bottom w:type="dxa" w:w="70"/>
              <w:right w:type="dxa" w:w="90"/>
            </w:tcMar>
          </w:tcPr>
          <w:p>
            <w:r>
              <w:rPr>
                <w:b w:val="false"/>
                <w:bCs w:val="false"/>
                <w:color w:val="000000"/>
                <w:sz w:val="19"/>
                <w:szCs w:val="19"/>
              </w:rPr>
              <w:t xml:space="preserve">DRT application</w:t>
            </w:r>
          </w:p>
        </w:tc>
        <w:tc>
          <w:tcPr>
            <w:tcW w:type="dxa" w:w="3600"/>
            <w:tcMar>
              <w:top w:type="dxa" w:w="70"/>
              <w:left w:type="dxa" w:w="90"/>
              <w:bottom w:type="dxa" w:w="70"/>
              <w:right w:type="dxa" w:w="90"/>
            </w:tcMar>
          </w:tcPr>
          <w:p>
            <w:r>
              <w:rPr>
                <w:b w:val="false"/>
                <w:bCs w:val="false"/>
                <w:color w:val="000000"/>
                <w:sz w:val="19"/>
                <w:szCs w:val="19"/>
              </w:rPr>
              <w:t xml:space="preserve">Filed 25 Apr 2025 under Section 14</w:t>
            </w:r>
          </w:p>
        </w:tc>
        <w:tc>
          <w:tcPr>
            <w:tcW w:type="dxa" w:w="4800"/>
            <w:tcMar>
              <w:top w:type="dxa" w:w="70"/>
              <w:left w:type="dxa" w:w="90"/>
              <w:bottom w:type="dxa" w:w="70"/>
              <w:right w:type="dxa" w:w="90"/>
            </w:tcMar>
          </w:tcPr>
          <w:p>
            <w:r>
              <w:rPr>
                <w:b w:val="false"/>
                <w:bCs w:val="false"/>
                <w:color w:val="000000"/>
                <w:sz w:val="19"/>
                <w:szCs w:val="19"/>
              </w:rPr>
              <w:t xml:space="preserve">Pending before DRT; next hearing awaited</w:t>
            </w:r>
          </w:p>
        </w:tc>
      </w:tr>
      <w:tr>
        <w:tc>
          <w:tcPr>
            <w:tcW w:type="dxa" w:w="1400"/>
            <w:tcMar>
              <w:top w:type="dxa" w:w="70"/>
              <w:left w:type="dxa" w:w="90"/>
              <w:bottom w:type="dxa" w:w="70"/>
              <w:right w:type="dxa" w:w="90"/>
            </w:tcMar>
          </w:tcPr>
          <w:p>
            <w:r>
              <w:rPr>
                <w:b w:val="false"/>
                <w:bCs w:val="false"/>
                <w:color w:val="000000"/>
                <w:sz w:val="19"/>
                <w:szCs w:val="19"/>
              </w:rPr>
              <w:t xml:space="preserve">Asset valuation report</w:t>
            </w:r>
          </w:p>
        </w:tc>
        <w:tc>
          <w:tcPr>
            <w:tcW w:type="dxa" w:w="3600"/>
            <w:tcMar>
              <w:top w:type="dxa" w:w="70"/>
              <w:left w:type="dxa" w:w="90"/>
              <w:bottom w:type="dxa" w:w="70"/>
              <w:right w:type="dxa" w:w="90"/>
            </w:tcMar>
          </w:tcPr>
          <w:p>
            <w:r>
              <w:rPr>
                <w:b w:val="false"/>
                <w:bCs w:val="false"/>
                <w:color w:val="000000"/>
                <w:sz w:val="19"/>
                <w:szCs w:val="19"/>
              </w:rPr>
              <w:t xml:space="preserve">Updated valuation of factory land, building, and machinery</w:t>
            </w:r>
          </w:p>
        </w:tc>
        <w:tc>
          <w:tcPr>
            <w:tcW w:type="dxa" w:w="4800"/>
            <w:tcMar>
              <w:top w:type="dxa" w:w="70"/>
              <w:left w:type="dxa" w:w="90"/>
              <w:bottom w:type="dxa" w:w="70"/>
              <w:right w:type="dxa" w:w="90"/>
            </w:tcMar>
          </w:tcPr>
          <w:p>
            <w:r>
              <w:rPr>
                <w:b w:val="false"/>
                <w:bCs w:val="false"/>
                <w:color w:val="000000"/>
                <w:sz w:val="19"/>
                <w:szCs w:val="19"/>
              </w:rPr>
              <w:t xml:space="preserve">Dated 5 Mar 2025; estimated realizable value ₹8,20,00,000</w:t>
            </w:r>
          </w:p>
        </w:tc>
      </w:tr>
      <w:tr>
        <w:tc>
          <w:tcPr>
            <w:tcW w:type="dxa" w:w="1400"/>
            <w:tcMar>
              <w:top w:type="dxa" w:w="70"/>
              <w:left w:type="dxa" w:w="90"/>
              <w:bottom w:type="dxa" w:w="70"/>
              <w:right w:type="dxa" w:w="90"/>
            </w:tcMar>
          </w:tcPr>
          <w:p>
            <w:r>
              <w:rPr>
                <w:b w:val="false"/>
                <w:bCs w:val="false"/>
                <w:color w:val="000000"/>
                <w:sz w:val="19"/>
                <w:szCs w:val="19"/>
              </w:rPr>
              <w:t xml:space="preserve">Revised OTS proposal</w:t>
            </w:r>
          </w:p>
        </w:tc>
        <w:tc>
          <w:tcPr>
            <w:tcW w:type="dxa" w:w="3600"/>
            <w:tcMar>
              <w:top w:type="dxa" w:w="70"/>
              <w:left w:type="dxa" w:w="90"/>
              <w:bottom w:type="dxa" w:w="70"/>
              <w:right w:type="dxa" w:w="90"/>
            </w:tcMar>
          </w:tcPr>
          <w:p>
            <w:r>
              <w:rPr>
                <w:b w:val="false"/>
                <w:bCs w:val="false"/>
                <w:color w:val="000000"/>
                <w:sz w:val="19"/>
                <w:szCs w:val="19"/>
              </w:rPr>
              <w:t xml:space="preserve">Dated 12 Jun 2025, ₹7,60,00,000 over 6 months</w:t>
            </w:r>
          </w:p>
        </w:tc>
        <w:tc>
          <w:tcPr>
            <w:tcW w:type="dxa" w:w="4800"/>
            <w:tcMar>
              <w:top w:type="dxa" w:w="70"/>
              <w:left w:type="dxa" w:w="90"/>
              <w:bottom w:type="dxa" w:w="70"/>
              <w:right w:type="dxa" w:w="90"/>
            </w:tcMar>
          </w:tcPr>
          <w:p>
            <w:r>
              <w:rPr>
                <w:b w:val="false"/>
                <w:bCs w:val="false"/>
                <w:color w:val="000000"/>
                <w:sz w:val="19"/>
                <w:szCs w:val="19"/>
              </w:rPr>
              <w:t xml:space="preserve">Under internal evaluation by recovery committee</w:t>
            </w:r>
          </w:p>
        </w:tc>
      </w:tr>
    </w:tbl>
    <w:p>
      <w:pPr>
        <w:pStyle w:val="Heading1"/>
        <w:spacing w:after="120" w:before="240"/>
      </w:pPr>
      <w:r>
        <w:t xml:space="preserve">5. Provisioning and Exposure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00"/>
      </w:tblGrid>
      <w:tr>
        <w:tc>
          <w:tcPr>
            <w:tcW w:type="dxa" w:w="2600"/>
            <w:shd w:fill="6B1F1F" w:color="auto" w:val="clear"/>
            <w:tcMar>
              <w:top w:type="dxa" w:w="70"/>
              <w:left w:type="dxa" w:w="90"/>
              <w:bottom w:type="dxa" w:w="70"/>
              <w:right w:type="dxa" w:w="90"/>
            </w:tcMar>
          </w:tcPr>
          <w:p>
            <w:r>
              <w:rPr>
                <w:b/>
                <w:bCs/>
                <w:color w:val="FFFFFF"/>
                <w:sz w:val="19"/>
                <w:szCs w:val="19"/>
              </w:rPr>
              <w:t xml:space="preserve">Item</w:t>
            </w:r>
          </w:p>
        </w:tc>
        <w:tc>
          <w:tcPr>
            <w:tcW w:type="dxa" w:w="3200"/>
            <w:shd w:fill="6B1F1F" w:color="auto" w:val="clear"/>
            <w:tcMar>
              <w:top w:type="dxa" w:w="70"/>
              <w:left w:type="dxa" w:w="90"/>
              <w:bottom w:type="dxa" w:w="70"/>
              <w:right w:type="dxa" w:w="90"/>
            </w:tcMar>
          </w:tcPr>
          <w:p>
            <w:r>
              <w:rPr>
                <w:b/>
                <w:bCs/>
                <w:color w:val="FFFFFF"/>
                <w:sz w:val="19"/>
                <w:szCs w:val="19"/>
              </w:rPr>
              <w:t xml:space="preserve">Amount</w:t>
            </w:r>
          </w:p>
        </w:tc>
        <w:tc>
          <w:tcPr>
            <w:tcW w:type="dxa" w:w="4000"/>
            <w:shd w:fill="6B1F1F" w:color="auto" w:val="clear"/>
            <w:tcMar>
              <w:top w:type="dxa" w:w="70"/>
              <w:left w:type="dxa" w:w="90"/>
              <w:bottom w:type="dxa" w:w="70"/>
              <w:right w:type="dxa" w:w="90"/>
            </w:tcMar>
          </w:tcPr>
          <w:p>
            <w:r>
              <w:rPr>
                <w:b/>
                <w:bCs/>
                <w:color w:val="FFFFFF"/>
                <w:sz w:val="19"/>
                <w:szCs w:val="19"/>
              </w:rPr>
              <w:t xml:space="preserve">Notes</w:t>
            </w:r>
          </w:p>
        </w:tc>
      </w:tr>
      <w:tr>
        <w:tc>
          <w:tcPr>
            <w:tcW w:type="dxa" w:w="2600"/>
            <w:tcMar>
              <w:top w:type="dxa" w:w="70"/>
              <w:left w:type="dxa" w:w="90"/>
              <w:bottom w:type="dxa" w:w="70"/>
              <w:right w:type="dxa" w:w="90"/>
            </w:tcMar>
          </w:tcPr>
          <w:p>
            <w:r>
              <w:rPr>
                <w:b w:val="false"/>
                <w:bCs w:val="false"/>
                <w:color w:val="000000"/>
                <w:sz w:val="19"/>
                <w:szCs w:val="19"/>
              </w:rPr>
              <w:t xml:space="preserve">Gross outstanding at NPA date</w:t>
            </w:r>
          </w:p>
        </w:tc>
        <w:tc>
          <w:tcPr>
            <w:tcW w:type="dxa" w:w="3200"/>
            <w:tcMar>
              <w:top w:type="dxa" w:w="70"/>
              <w:left w:type="dxa" w:w="90"/>
              <w:bottom w:type="dxa" w:w="70"/>
              <w:right w:type="dxa" w:w="90"/>
            </w:tcMar>
          </w:tcPr>
          <w:p>
            <w:r>
              <w:rPr>
                <w:b w:val="false"/>
                <w:bCs w:val="false"/>
                <w:color w:val="000000"/>
                <w:sz w:val="19"/>
                <w:szCs w:val="19"/>
              </w:rPr>
              <w:t xml:space="preserve">₹9,42,00,000</w:t>
            </w:r>
          </w:p>
        </w:tc>
        <w:tc>
          <w:tcPr>
            <w:tcW w:type="dxa" w:w="4000"/>
            <w:tcMar>
              <w:top w:type="dxa" w:w="70"/>
              <w:left w:type="dxa" w:w="90"/>
              <w:bottom w:type="dxa" w:w="70"/>
              <w:right w:type="dxa" w:w="90"/>
            </w:tcMar>
          </w:tcPr>
          <w:p>
            <w:r>
              <w:rPr>
                <w:b w:val="false"/>
                <w:bCs w:val="false"/>
                <w:color w:val="000000"/>
                <w:sz w:val="19"/>
                <w:szCs w:val="19"/>
              </w:rPr>
              <w:t xml:space="preserve">As of 31 Oct 2024</w:t>
            </w:r>
          </w:p>
        </w:tc>
      </w:tr>
      <w:tr>
        <w:tc>
          <w:tcPr>
            <w:tcW w:type="dxa" w:w="2600"/>
            <w:tcMar>
              <w:top w:type="dxa" w:w="70"/>
              <w:left w:type="dxa" w:w="90"/>
              <w:bottom w:type="dxa" w:w="70"/>
              <w:right w:type="dxa" w:w="90"/>
            </w:tcMar>
          </w:tcPr>
          <w:p>
            <w:r>
              <w:rPr>
                <w:b w:val="false"/>
                <w:bCs w:val="false"/>
                <w:color w:val="000000"/>
                <w:sz w:val="19"/>
                <w:szCs w:val="19"/>
              </w:rPr>
              <w:t xml:space="preserve">Provisioning held (latest quarter)</w:t>
            </w:r>
          </w:p>
        </w:tc>
        <w:tc>
          <w:tcPr>
            <w:tcW w:type="dxa" w:w="3200"/>
            <w:tcMar>
              <w:top w:type="dxa" w:w="70"/>
              <w:left w:type="dxa" w:w="90"/>
              <w:bottom w:type="dxa" w:w="70"/>
              <w:right w:type="dxa" w:w="90"/>
            </w:tcMar>
          </w:tcPr>
          <w:p>
            <w:r>
              <w:rPr>
                <w:b w:val="false"/>
                <w:bCs w:val="false"/>
                <w:color w:val="000000"/>
                <w:sz w:val="19"/>
                <w:szCs w:val="19"/>
              </w:rPr>
              <w:t xml:space="preserve">₹2,35,50,000</w:t>
            </w:r>
          </w:p>
        </w:tc>
        <w:tc>
          <w:tcPr>
            <w:tcW w:type="dxa" w:w="4000"/>
            <w:tcMar>
              <w:top w:type="dxa" w:w="70"/>
              <w:left w:type="dxa" w:w="90"/>
              <w:bottom w:type="dxa" w:w="70"/>
              <w:right w:type="dxa" w:w="90"/>
            </w:tcMar>
          </w:tcPr>
          <w:p>
            <w:r>
              <w:rPr>
                <w:b w:val="false"/>
                <w:bCs w:val="false"/>
                <w:color w:val="000000"/>
                <w:sz w:val="19"/>
                <w:szCs w:val="19"/>
              </w:rPr>
              <w:t xml:space="preserve">25% of outstanding, sub-standard asset category</w:t>
            </w:r>
          </w:p>
        </w:tc>
      </w:tr>
      <w:tr>
        <w:tc>
          <w:tcPr>
            <w:tcW w:type="dxa" w:w="2600"/>
            <w:tcMar>
              <w:top w:type="dxa" w:w="70"/>
              <w:left w:type="dxa" w:w="90"/>
              <w:bottom w:type="dxa" w:w="70"/>
              <w:right w:type="dxa" w:w="90"/>
            </w:tcMar>
          </w:tcPr>
          <w:p>
            <w:r>
              <w:rPr>
                <w:b w:val="false"/>
                <w:bCs w:val="false"/>
                <w:color w:val="000000"/>
                <w:sz w:val="19"/>
                <w:szCs w:val="19"/>
              </w:rPr>
              <w:t xml:space="preserve">Estimated realizable security value</w:t>
            </w:r>
          </w:p>
        </w:tc>
        <w:tc>
          <w:tcPr>
            <w:tcW w:type="dxa" w:w="3200"/>
            <w:tcMar>
              <w:top w:type="dxa" w:w="70"/>
              <w:left w:type="dxa" w:w="90"/>
              <w:bottom w:type="dxa" w:w="70"/>
              <w:right w:type="dxa" w:w="90"/>
            </w:tcMar>
          </w:tcPr>
          <w:p>
            <w:r>
              <w:rPr>
                <w:b w:val="false"/>
                <w:bCs w:val="false"/>
                <w:color w:val="000000"/>
                <w:sz w:val="19"/>
                <w:szCs w:val="19"/>
              </w:rPr>
              <w:t xml:space="preserve">₹8,20,00,000</w:t>
            </w:r>
          </w:p>
        </w:tc>
        <w:tc>
          <w:tcPr>
            <w:tcW w:type="dxa" w:w="4000"/>
            <w:tcMar>
              <w:top w:type="dxa" w:w="70"/>
              <w:left w:type="dxa" w:w="90"/>
              <w:bottom w:type="dxa" w:w="70"/>
              <w:right w:type="dxa" w:w="90"/>
            </w:tcMar>
          </w:tcPr>
          <w:p>
            <w:r>
              <w:rPr>
                <w:b w:val="false"/>
                <w:bCs w:val="false"/>
                <w:color w:val="000000"/>
                <w:sz w:val="19"/>
                <w:szCs w:val="19"/>
              </w:rPr>
              <w:t xml:space="preserve">Per valuation report dated 5 Mar 2025</w:t>
            </w:r>
          </w:p>
        </w:tc>
      </w:tr>
      <w:tr>
        <w:tc>
          <w:tcPr>
            <w:tcW w:type="dxa" w:w="2600"/>
            <w:tcMar>
              <w:top w:type="dxa" w:w="70"/>
              <w:left w:type="dxa" w:w="90"/>
              <w:bottom w:type="dxa" w:w="70"/>
              <w:right w:type="dxa" w:w="90"/>
            </w:tcMar>
          </w:tcPr>
          <w:p>
            <w:r>
              <w:rPr>
                <w:b w:val="false"/>
                <w:bCs w:val="false"/>
                <w:color w:val="000000"/>
                <w:sz w:val="19"/>
                <w:szCs w:val="19"/>
              </w:rPr>
              <w:t xml:space="preserve">Latest OTS offer on the table</w:t>
            </w:r>
          </w:p>
        </w:tc>
        <w:tc>
          <w:tcPr>
            <w:tcW w:type="dxa" w:w="3200"/>
            <w:tcMar>
              <w:top w:type="dxa" w:w="70"/>
              <w:left w:type="dxa" w:w="90"/>
              <w:bottom w:type="dxa" w:w="70"/>
              <w:right w:type="dxa" w:w="90"/>
            </w:tcMar>
          </w:tcPr>
          <w:p>
            <w:r>
              <w:rPr>
                <w:b w:val="false"/>
                <w:bCs w:val="false"/>
                <w:color w:val="000000"/>
                <w:sz w:val="19"/>
                <w:szCs w:val="19"/>
              </w:rPr>
              <w:t xml:space="preserve">₹7,60,00,000</w:t>
            </w:r>
          </w:p>
        </w:tc>
        <w:tc>
          <w:tcPr>
            <w:tcW w:type="dxa" w:w="4000"/>
            <w:tcMar>
              <w:top w:type="dxa" w:w="70"/>
              <w:left w:type="dxa" w:w="90"/>
              <w:bottom w:type="dxa" w:w="70"/>
              <w:right w:type="dxa" w:w="90"/>
            </w:tcMar>
          </w:tcPr>
          <w:p>
            <w:r>
              <w:rPr>
                <w:b w:val="false"/>
                <w:bCs w:val="false"/>
                <w:color w:val="000000"/>
                <w:sz w:val="19"/>
                <w:szCs w:val="19"/>
              </w:rPr>
              <w:t xml:space="preserve">Received 12 Jun 2025; under evaluation</w:t>
            </w:r>
          </w:p>
        </w:tc>
      </w:tr>
    </w:tbl>
    <w:p>
      <w:pPr>
        <w:pStyle w:val="Heading1"/>
        <w:spacing w:after="120" w:before="240"/>
      </w:pPr>
      <w:r>
        <w:t xml:space="preserve">6. Risk Assessment and Recovery Strategy</w:t>
      </w:r>
    </w:p>
    <w:p>
      <w:pPr>
        <w:spacing w:after="160"/>
      </w:pPr>
      <w:r>
        <w:t xml:space="preserve">The estimated realizable security value (₹8,20,00,000) exceeds the latest OTS offer (₹7,60,00,000) by a meaningful margin, suggesting the bank may achieve a better recovery outcome through continued SARFAESI enforcement than through the current OTS offer, subject to time value of money and litigation risk considerations. The recovery committee is weighing the certainty and speed of the OTS route against the potentially higher but delayed and uncertain recovery through asset sale following physical possession.</w:t>
      </w:r>
    </w:p>
    <w:p>
      <w:pPr>
        <w:pStyle w:val="Heading1"/>
        <w:spacing w:after="120" w:before="240"/>
      </w:pPr>
      <w:r>
        <w:t xml:space="preserve">7. Current Status</w:t>
      </w:r>
    </w:p>
    <w:p>
      <w:pPr>
        <w:spacing w:after="160"/>
      </w:pPr>
      <w:r>
        <w:t xml:space="preserve">Symbolic possession of the mortgaged factory premises has been taken. The DRT application for assistance in obtaining physical possession is pending. A revised OTS proposal of ₹7,60,00,000 payable over 6 months is under internal evaluation by the recovery committee.</w:t>
      </w:r>
    </w:p>
    <w:p>
      <w:pPr>
        <w:pStyle w:val="Heading1"/>
        <w:spacing w:after="120" w:before="240"/>
      </w:pPr>
      <w:r>
        <w:t xml:space="preserve">8. Next Steps</w:t>
      </w:r>
    </w:p>
    <w:p>
      <w:pPr>
        <w:pStyle w:val="ListParagraph"/>
        <w:numPr>
          <w:ilvl w:val="0"/>
          <w:numId w:val="2"/>
        </w:numPr>
        <w:spacing w:after="80"/>
      </w:pPr>
      <w:r>
        <w:t xml:space="preserve">Recovery committee to complete evaluation of the revised OTS proposal within 30 days and communicate a decision to the borrower</w:t>
      </w:r>
    </w:p>
    <w:p>
      <w:pPr>
        <w:pStyle w:val="ListParagraph"/>
        <w:numPr>
          <w:ilvl w:val="0"/>
          <w:numId w:val="2"/>
        </w:numPr>
        <w:spacing w:after="80"/>
      </w:pPr>
      <w:r>
        <w:t xml:space="preserve">Follow up on DRT application status and next hearing date</w:t>
      </w:r>
    </w:p>
    <w:p>
      <w:pPr>
        <w:pStyle w:val="ListParagraph"/>
        <w:numPr>
          <w:ilvl w:val="0"/>
          <w:numId w:val="2"/>
        </w:numPr>
        <w:spacing w:after="80"/>
      </w:pPr>
      <w:r>
        <w:t xml:space="preserve">If OTS is rejected, proceed with preparation for asset auction, including fresh valuation update if physical possession is delayed beyond 6 months from the DRT filing</w:t>
      </w:r>
    </w:p>
    <w:p>
      <w:pPr>
        <w:pStyle w:val="ListParagraph"/>
        <w:numPr>
          <w:ilvl w:val="0"/>
          <w:numId w:val="2"/>
        </w:numPr>
        <w:spacing w:after="80"/>
      </w:pPr>
      <w:r>
        <w:t xml:space="preserve">Continue tracking machinery condition at the factory premises given symbolic (not physical) possession status, to guard against value erosion</w:t>
      </w:r>
    </w:p>
    <w:p>
      <w:pPr>
        <w:pStyle w:val="Heading1"/>
        <w:spacing w:after="120" w:before="240"/>
      </w:pPr>
      <w:r>
        <w:t xml:space="preserve">9. Internal Notes (Confidential)</w:t>
      </w:r>
    </w:p>
    <w:p>
      <w:pPr>
        <w:spacing w:after="160"/>
      </w:pPr>
      <w:r>
        <w:t xml:space="preserve">Recovery Officer recommends a counter-offer in the range of ₹8,00,00,000, closer to the estimated realizable security value, before accepting or rejecting the borrower's ₹7,60,00,000 proposal outright, given the borrower has shown willingness to negotiate upward twice already (from ₹6,80,00,000 to ₹7,60,00,000). This recommendation is pending recovery committee's decision and has not been communicated to the borrower.</w:t>
      </w:r>
    </w:p>
    <w:p>
      <w:pPr>
        <w:pStyle w:val="Heading1"/>
        <w:spacing w:after="120" w:before="240"/>
      </w:pPr>
      <w:r>
        <w:t xml:space="preserve">10. Key Contacts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00"/>
      </w:tblGrid>
      <w:tr>
        <w:tc>
          <w:tcPr>
            <w:tcW w:type="dxa" w:w="2600"/>
            <w:shd w:fill="6B1F1F" w:color="auto" w:val="clear"/>
            <w:tcMar>
              <w:top w:type="dxa" w:w="70"/>
              <w:left w:type="dxa" w:w="90"/>
              <w:bottom w:type="dxa" w:w="70"/>
              <w:right w:type="dxa" w:w="90"/>
            </w:tcMar>
          </w:tcPr>
          <w:p>
            <w:r>
              <w:rPr>
                <w:b/>
                <w:bCs/>
                <w:color w:val="FFFFFF"/>
                <w:sz w:val="19"/>
                <w:szCs w:val="19"/>
              </w:rPr>
              <w:t xml:space="preserve">Name</w:t>
            </w:r>
          </w:p>
        </w:tc>
        <w:tc>
          <w:tcPr>
            <w:tcW w:type="dxa" w:w="3200"/>
            <w:shd w:fill="6B1F1F" w:color="auto" w:val="clear"/>
            <w:tcMar>
              <w:top w:type="dxa" w:w="70"/>
              <w:left w:type="dxa" w:w="90"/>
              <w:bottom w:type="dxa" w:w="70"/>
              <w:right w:type="dxa" w:w="90"/>
            </w:tcMar>
          </w:tcPr>
          <w:p>
            <w:r>
              <w:rPr>
                <w:b/>
                <w:bCs/>
                <w:color w:val="FFFFFF"/>
                <w:sz w:val="19"/>
                <w:szCs w:val="19"/>
              </w:rPr>
              <w:t xml:space="preserve">Role</w:t>
            </w:r>
          </w:p>
        </w:tc>
        <w:tc>
          <w:tcPr>
            <w:tcW w:type="dxa" w:w="4000"/>
            <w:shd w:fill="6B1F1F" w:color="auto" w:val="clear"/>
            <w:tcMar>
              <w:top w:type="dxa" w:w="70"/>
              <w:left w:type="dxa" w:w="90"/>
              <w:bottom w:type="dxa" w:w="70"/>
              <w:right w:type="dxa" w:w="90"/>
            </w:tcMar>
          </w:tcPr>
          <w:p>
            <w:r>
              <w:rPr>
                <w:b/>
                <w:bCs/>
                <w:color w:val="FFFFFF"/>
                <w:sz w:val="19"/>
                <w:szCs w:val="19"/>
              </w:rPr>
              <w:t xml:space="preserve">Organization</w:t>
            </w:r>
          </w:p>
        </w:tc>
      </w:tr>
      <w:tr>
        <w:tc>
          <w:tcPr>
            <w:tcW w:type="dxa" w:w="2600"/>
            <w:tcMar>
              <w:top w:type="dxa" w:w="70"/>
              <w:left w:type="dxa" w:w="90"/>
              <w:bottom w:type="dxa" w:w="70"/>
              <w:right w:type="dxa" w:w="90"/>
            </w:tcMar>
          </w:tcPr>
          <w:p>
            <w:r>
              <w:rPr>
                <w:b w:val="false"/>
                <w:bCs w:val="false"/>
                <w:color w:val="000000"/>
                <w:sz w:val="19"/>
                <w:szCs w:val="19"/>
              </w:rPr>
              <w:t xml:space="preserve">Mr. Krishna Chaitanya</w:t>
            </w:r>
          </w:p>
        </w:tc>
        <w:tc>
          <w:tcPr>
            <w:tcW w:type="dxa" w:w="3200"/>
            <w:tcMar>
              <w:top w:type="dxa" w:w="70"/>
              <w:left w:type="dxa" w:w="90"/>
              <w:bottom w:type="dxa" w:w="70"/>
              <w:right w:type="dxa" w:w="90"/>
            </w:tcMar>
          </w:tcPr>
          <w:p>
            <w:r>
              <w:rPr>
                <w:b w:val="false"/>
                <w:bCs w:val="false"/>
                <w:color w:val="000000"/>
                <w:sz w:val="19"/>
                <w:szCs w:val="19"/>
              </w:rPr>
              <w:t xml:space="preserve">Managing Director</w:t>
            </w:r>
          </w:p>
        </w:tc>
        <w:tc>
          <w:tcPr>
            <w:tcW w:type="dxa" w:w="4000"/>
            <w:tcMar>
              <w:top w:type="dxa" w:w="70"/>
              <w:left w:type="dxa" w:w="90"/>
              <w:bottom w:type="dxa" w:w="70"/>
              <w:right w:type="dxa" w:w="90"/>
            </w:tcMar>
          </w:tcPr>
          <w:p>
            <w:r>
              <w:rPr>
                <w:b w:val="false"/>
                <w:bCs w:val="false"/>
                <w:color w:val="000000"/>
                <w:sz w:val="19"/>
                <w:szCs w:val="19"/>
              </w:rPr>
              <w:t xml:space="preserve">Apex Textile Mills Pvt. Ltd.</w:t>
            </w:r>
          </w:p>
        </w:tc>
      </w:tr>
      <w:tr>
        <w:tc>
          <w:tcPr>
            <w:tcW w:type="dxa" w:w="2600"/>
            <w:tcMar>
              <w:top w:type="dxa" w:w="70"/>
              <w:left w:type="dxa" w:w="90"/>
              <w:bottom w:type="dxa" w:w="70"/>
              <w:right w:type="dxa" w:w="90"/>
            </w:tcMar>
          </w:tcPr>
          <w:p>
            <w:r>
              <w:rPr>
                <w:b w:val="false"/>
                <w:bCs w:val="false"/>
                <w:color w:val="000000"/>
                <w:sz w:val="19"/>
                <w:szCs w:val="19"/>
              </w:rPr>
              <w:t xml:space="preserve">Mr. Naveen Bhaskar</w:t>
            </w:r>
          </w:p>
        </w:tc>
        <w:tc>
          <w:tcPr>
            <w:tcW w:type="dxa" w:w="3200"/>
            <w:tcMar>
              <w:top w:type="dxa" w:w="70"/>
              <w:left w:type="dxa" w:w="90"/>
              <w:bottom w:type="dxa" w:w="70"/>
              <w:right w:type="dxa" w:w="90"/>
            </w:tcMar>
          </w:tcPr>
          <w:p>
            <w:r>
              <w:rPr>
                <w:b w:val="false"/>
                <w:bCs w:val="false"/>
                <w:color w:val="000000"/>
                <w:sz w:val="19"/>
                <w:szCs w:val="19"/>
              </w:rPr>
              <w:t xml:space="preserve">Deputy Manager, Stressed Assets Recovery Group</w:t>
            </w:r>
          </w:p>
        </w:tc>
        <w:tc>
          <w:tcPr>
            <w:tcW w:type="dxa" w:w="4000"/>
            <w:tcMar>
              <w:top w:type="dxa" w:w="70"/>
              <w:left w:type="dxa" w:w="90"/>
              <w:bottom w:type="dxa" w:w="70"/>
              <w:right w:type="dxa" w:w="90"/>
            </w:tcMar>
          </w:tcPr>
          <w:p>
            <w:r>
              <w:rPr>
                <w:b w:val="false"/>
                <w:bCs w:val="false"/>
                <w:color w:val="000000"/>
                <w:sz w:val="19"/>
                <w:szCs w:val="19"/>
              </w:rPr>
              <w:t xml:space="preserve">Continental Merchant Bank Ltd.</w:t>
            </w:r>
          </w:p>
        </w:tc>
      </w:tr>
      <w:tr>
        <w:tc>
          <w:tcPr>
            <w:tcW w:type="dxa" w:w="2600"/>
            <w:tcMar>
              <w:top w:type="dxa" w:w="70"/>
              <w:left w:type="dxa" w:w="90"/>
              <w:bottom w:type="dxa" w:w="70"/>
              <w:right w:type="dxa" w:w="90"/>
            </w:tcMar>
          </w:tcPr>
          <w:p>
            <w:r>
              <w:rPr>
                <w:b w:val="false"/>
                <w:bCs w:val="false"/>
                <w:color w:val="000000"/>
                <w:sz w:val="19"/>
                <w:szCs w:val="19"/>
              </w:rPr>
              <w:t xml:space="preserve">M/s. Textile Valuers &amp; Associates</w:t>
            </w:r>
          </w:p>
        </w:tc>
        <w:tc>
          <w:tcPr>
            <w:tcW w:type="dxa" w:w="3200"/>
            <w:tcMar>
              <w:top w:type="dxa" w:w="70"/>
              <w:left w:type="dxa" w:w="90"/>
              <w:bottom w:type="dxa" w:w="70"/>
              <w:right w:type="dxa" w:w="90"/>
            </w:tcMar>
          </w:tcPr>
          <w:p>
            <w:r>
              <w:rPr>
                <w:b w:val="false"/>
                <w:bCs w:val="false"/>
                <w:color w:val="000000"/>
                <w:sz w:val="19"/>
                <w:szCs w:val="19"/>
              </w:rPr>
              <w:t xml:space="preserve">Registered Valuer</w:t>
            </w:r>
          </w:p>
        </w:tc>
        <w:tc>
          <w:tcPr>
            <w:tcW w:type="dxa" w:w="4000"/>
            <w:tcMar>
              <w:top w:type="dxa" w:w="70"/>
              <w:left w:type="dxa" w:w="90"/>
              <w:bottom w:type="dxa" w:w="70"/>
              <w:right w:type="dxa" w:w="90"/>
            </w:tcMar>
          </w:tcPr>
          <w:p>
            <w:r>
              <w:rPr>
                <w:b w:val="false"/>
                <w:bCs w:val="false"/>
                <w:color w:val="000000"/>
                <w:sz w:val="19"/>
                <w:szCs w:val="19"/>
              </w:rPr>
              <w:t xml:space="preserve">Prepared valuation report dated 5 Mar 2025</w:t>
            </w:r>
          </w:p>
        </w:tc>
      </w:tr>
      <w:tr>
        <w:tc>
          <w:tcPr>
            <w:tcW w:type="dxa" w:w="2600"/>
            <w:tcMar>
              <w:top w:type="dxa" w:w="70"/>
              <w:left w:type="dxa" w:w="90"/>
              <w:bottom w:type="dxa" w:w="70"/>
              <w:right w:type="dxa" w:w="90"/>
            </w:tcMar>
          </w:tcPr>
          <w:p>
            <w:r>
              <w:rPr>
                <w:b w:val="false"/>
                <w:bCs w:val="false"/>
                <w:color w:val="000000"/>
                <w:sz w:val="19"/>
                <w:szCs w:val="19"/>
              </w:rPr>
              <w:t xml:space="preserve">Adv. Ramya Krishnamurthy</w:t>
            </w:r>
          </w:p>
        </w:tc>
        <w:tc>
          <w:tcPr>
            <w:tcW w:type="dxa" w:w="3200"/>
            <w:tcMar>
              <w:top w:type="dxa" w:w="70"/>
              <w:left w:type="dxa" w:w="90"/>
              <w:bottom w:type="dxa" w:w="70"/>
              <w:right w:type="dxa" w:w="90"/>
            </w:tcMar>
          </w:tcPr>
          <w:p>
            <w:r>
              <w:rPr>
                <w:b w:val="false"/>
                <w:bCs w:val="false"/>
                <w:color w:val="000000"/>
                <w:sz w:val="19"/>
                <w:szCs w:val="19"/>
              </w:rPr>
              <w:t xml:space="preserve">Panel Advocate, SARFAESI/DRT matters</w:t>
            </w:r>
          </w:p>
        </w:tc>
        <w:tc>
          <w:tcPr>
            <w:tcW w:type="dxa" w:w="4000"/>
            <w:tcMar>
              <w:top w:type="dxa" w:w="70"/>
              <w:left w:type="dxa" w:w="90"/>
              <w:bottom w:type="dxa" w:w="70"/>
              <w:right w:type="dxa" w:w="90"/>
            </w:tcMar>
          </w:tcPr>
          <w:p>
            <w:r>
              <w:rPr>
                <w:b w:val="false"/>
                <w:bCs w:val="false"/>
                <w:color w:val="000000"/>
                <w:sz w:val="19"/>
                <w:szCs w:val="19"/>
              </w:rPr>
              <w:t xml:space="preserve">Engaged by bank for DRT proceedings</w:t>
            </w:r>
          </w:p>
        </w:tc>
      </w:tr>
    </w:tbl>
    <w:p>
      <w:pPr>
        <w:pStyle w:val="Heading1"/>
        <w:spacing w:after="120" w:before="240"/>
      </w:pPr>
      <w:r>
        <w:t xml:space="preserve">11. Correspondence Log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6B1F1F" w:color="auto" w:val="clear"/>
            <w:tcMar>
              <w:top w:type="dxa" w:w="70"/>
              <w:left w:type="dxa" w:w="90"/>
              <w:bottom w:type="dxa" w:w="70"/>
              <w:right w:type="dxa" w:w="90"/>
            </w:tcMar>
          </w:tcPr>
          <w:p>
            <w:r>
              <w:rPr>
                <w:b/>
                <w:bCs/>
                <w:color w:val="FFFFFF"/>
                <w:sz w:val="19"/>
                <w:szCs w:val="19"/>
              </w:rPr>
              <w:t xml:space="preserve">Date</w:t>
            </w:r>
          </w:p>
        </w:tc>
        <w:tc>
          <w:tcPr>
            <w:tcW w:type="dxa" w:w="3600"/>
            <w:shd w:fill="6B1F1F" w:color="auto" w:val="clear"/>
            <w:tcMar>
              <w:top w:type="dxa" w:w="70"/>
              <w:left w:type="dxa" w:w="90"/>
              <w:bottom w:type="dxa" w:w="70"/>
              <w:right w:type="dxa" w:w="90"/>
            </w:tcMar>
          </w:tcPr>
          <w:p>
            <w:r>
              <w:rPr>
                <w:b/>
                <w:bCs/>
                <w:color w:val="FFFFFF"/>
                <w:sz w:val="19"/>
                <w:szCs w:val="19"/>
              </w:rPr>
              <w:t xml:space="preserve">Correspondence</w:t>
            </w:r>
          </w:p>
        </w:tc>
        <w:tc>
          <w:tcPr>
            <w:tcW w:type="dxa" w:w="4800"/>
            <w:shd w:fill="6B1F1F" w:color="auto" w:val="clear"/>
            <w:tcMar>
              <w:top w:type="dxa" w:w="70"/>
              <w:left w:type="dxa" w:w="90"/>
              <w:bottom w:type="dxa" w:w="70"/>
              <w:right w:type="dxa" w:w="90"/>
            </w:tcMar>
          </w:tcPr>
          <w:p>
            <w:r>
              <w:rPr>
                <w:b/>
                <w:bCs/>
                <w:color w:val="FFFFFF"/>
                <w:sz w:val="19"/>
                <w:szCs w:val="19"/>
              </w:rPr>
              <w:t xml:space="preserve">Summary</w:t>
            </w:r>
          </w:p>
        </w:tc>
      </w:tr>
      <w:tr>
        <w:tc>
          <w:tcPr>
            <w:tcW w:type="dxa" w:w="1400"/>
            <w:tcMar>
              <w:top w:type="dxa" w:w="70"/>
              <w:left w:type="dxa" w:w="90"/>
              <w:bottom w:type="dxa" w:w="70"/>
              <w:right w:type="dxa" w:w="90"/>
            </w:tcMar>
          </w:tcPr>
          <w:p>
            <w:r>
              <w:rPr>
                <w:b w:val="false"/>
                <w:bCs w:val="false"/>
                <w:color w:val="000000"/>
                <w:sz w:val="19"/>
                <w:szCs w:val="19"/>
              </w:rPr>
              <w:t xml:space="preserve">25 Jun 2024</w:t>
            </w:r>
          </w:p>
        </w:tc>
        <w:tc>
          <w:tcPr>
            <w:tcW w:type="dxa" w:w="3600"/>
            <w:tcMar>
              <w:top w:type="dxa" w:w="70"/>
              <w:left w:type="dxa" w:w="90"/>
              <w:bottom w:type="dxa" w:w="70"/>
              <w:right w:type="dxa" w:w="90"/>
            </w:tcMar>
          </w:tcPr>
          <w:p>
            <w:r>
              <w:rPr>
                <w:b w:val="false"/>
                <w:bCs w:val="false"/>
                <w:color w:val="000000"/>
                <w:sz w:val="19"/>
                <w:szCs w:val="19"/>
              </w:rPr>
              <w:t xml:space="preserve">Borrower's letter proposing informal moratorium</w:t>
            </w:r>
          </w:p>
        </w:tc>
        <w:tc>
          <w:tcPr>
            <w:tcW w:type="dxa" w:w="4800"/>
            <w:tcMar>
              <w:top w:type="dxa" w:w="70"/>
              <w:left w:type="dxa" w:w="90"/>
              <w:bottom w:type="dxa" w:w="70"/>
              <w:right w:type="dxa" w:w="90"/>
            </w:tcMar>
          </w:tcPr>
          <w:p>
            <w:r>
              <w:rPr>
                <w:b w:val="false"/>
                <w:bCs w:val="false"/>
                <w:color w:val="000000"/>
                <w:sz w:val="19"/>
                <w:szCs w:val="19"/>
              </w:rPr>
              <w:t xml:space="preserve">Not accepted; bank required formal restructuring application, which was not subsequently filed</w:t>
            </w:r>
          </w:p>
        </w:tc>
      </w:tr>
      <w:tr>
        <w:tc>
          <w:tcPr>
            <w:tcW w:type="dxa" w:w="1400"/>
            <w:tcMar>
              <w:top w:type="dxa" w:w="70"/>
              <w:left w:type="dxa" w:w="90"/>
              <w:bottom w:type="dxa" w:w="70"/>
              <w:right w:type="dxa" w:w="90"/>
            </w:tcMar>
          </w:tcPr>
          <w:p>
            <w:r>
              <w:rPr>
                <w:b w:val="false"/>
                <w:bCs w:val="false"/>
                <w:color w:val="000000"/>
                <w:sz w:val="19"/>
                <w:szCs w:val="19"/>
              </w:rPr>
              <w:t xml:space="preserve">22 Feb 2025</w:t>
            </w:r>
          </w:p>
        </w:tc>
        <w:tc>
          <w:tcPr>
            <w:tcW w:type="dxa" w:w="3600"/>
            <w:tcMar>
              <w:top w:type="dxa" w:w="70"/>
              <w:left w:type="dxa" w:w="90"/>
              <w:bottom w:type="dxa" w:w="70"/>
              <w:right w:type="dxa" w:w="90"/>
            </w:tcMar>
          </w:tcPr>
          <w:p>
            <w:r>
              <w:rPr>
                <w:b w:val="false"/>
                <w:bCs w:val="false"/>
                <w:color w:val="000000"/>
                <w:sz w:val="19"/>
                <w:szCs w:val="19"/>
              </w:rPr>
              <w:t xml:space="preserve">Public notice of possession published</w:t>
            </w:r>
          </w:p>
        </w:tc>
        <w:tc>
          <w:tcPr>
            <w:tcW w:type="dxa" w:w="4800"/>
            <w:tcMar>
              <w:top w:type="dxa" w:w="70"/>
              <w:left w:type="dxa" w:w="90"/>
              <w:bottom w:type="dxa" w:w="70"/>
              <w:right w:type="dxa" w:w="90"/>
            </w:tcMar>
          </w:tcPr>
          <w:p>
            <w:r>
              <w:rPr>
                <w:b w:val="false"/>
                <w:bCs w:val="false"/>
                <w:color w:val="000000"/>
                <w:sz w:val="19"/>
                <w:szCs w:val="19"/>
              </w:rPr>
              <w:t xml:space="preserve">Published in one English and one Telugu daily newspaper per SARFAESI Rules</w:t>
            </w:r>
          </w:p>
        </w:tc>
      </w:tr>
      <w:tr>
        <w:tc>
          <w:tcPr>
            <w:tcW w:type="dxa" w:w="1400"/>
            <w:tcMar>
              <w:top w:type="dxa" w:w="70"/>
              <w:left w:type="dxa" w:w="90"/>
              <w:bottom w:type="dxa" w:w="70"/>
              <w:right w:type="dxa" w:w="90"/>
            </w:tcMar>
          </w:tcPr>
          <w:p>
            <w:r>
              <w:rPr>
                <w:b w:val="false"/>
                <w:bCs w:val="false"/>
                <w:color w:val="000000"/>
                <w:sz w:val="19"/>
                <w:szCs w:val="19"/>
              </w:rPr>
              <w:t xml:space="preserve">15 Jul 2025</w:t>
            </w:r>
          </w:p>
        </w:tc>
        <w:tc>
          <w:tcPr>
            <w:tcW w:type="dxa" w:w="3600"/>
            <w:tcMar>
              <w:top w:type="dxa" w:w="70"/>
              <w:left w:type="dxa" w:w="90"/>
              <w:bottom w:type="dxa" w:w="70"/>
              <w:right w:type="dxa" w:w="90"/>
            </w:tcMar>
          </w:tcPr>
          <w:p>
            <w:r>
              <w:rPr>
                <w:b w:val="false"/>
                <w:bCs w:val="false"/>
                <w:color w:val="000000"/>
                <w:sz w:val="19"/>
                <w:szCs w:val="19"/>
              </w:rPr>
              <w:t xml:space="preserve">Email from panel advocate</w:t>
            </w:r>
          </w:p>
        </w:tc>
        <w:tc>
          <w:tcPr>
            <w:tcW w:type="dxa" w:w="4800"/>
            <w:tcMar>
              <w:top w:type="dxa" w:w="70"/>
              <w:left w:type="dxa" w:w="90"/>
              <w:bottom w:type="dxa" w:w="70"/>
              <w:right w:type="dxa" w:w="90"/>
            </w:tcMar>
          </w:tcPr>
          <w:p>
            <w:r>
              <w:rPr>
                <w:b w:val="false"/>
                <w:bCs w:val="false"/>
                <w:color w:val="000000"/>
                <w:sz w:val="19"/>
                <w:szCs w:val="19"/>
              </w:rPr>
              <w:t xml:space="preserve">Update on DRT matter listing status; next hearing date awaited from Tribunal registry</w:t>
            </w:r>
          </w:p>
        </w:tc>
      </w:tr>
    </w:tbl>
    <w:p>
      <w:pPr>
        <w:pStyle w:val="Heading1"/>
        <w:spacing w:after="120" w:before="240"/>
      </w:pPr>
      <w:r>
        <w:t xml:space="preserve">12. Regulatory and Internal Policy References</w:t>
      </w:r>
    </w:p>
    <w:p>
      <w:pPr>
        <w:pStyle w:val="ListParagraph"/>
        <w:numPr>
          <w:ilvl w:val="0"/>
          <w:numId w:val="2"/>
        </w:numPr>
        <w:spacing w:after="80"/>
      </w:pPr>
      <w:r>
        <w:t xml:space="preserve">Securitisation and Reconstruction of Financial Assets and Enforcement of Security Interest (SARFAESI) Act, 2002 — governs the demand notice, possession notice, and DRT proceedings documented in Section 3</w:t>
      </w:r>
    </w:p>
    <w:p>
      <w:pPr>
        <w:pStyle w:val="ListParagraph"/>
        <w:numPr>
          <w:ilvl w:val="0"/>
          <w:numId w:val="2"/>
        </w:numPr>
        <w:spacing w:after="80"/>
      </w:pPr>
      <w:r>
        <w:t xml:space="preserve">Reserve Bank of India Master Circular on Prudential Norms on Income Recognition, Asset Classification and Provisioning — governs the sub-standard asset classification and provisioning computation in Section 5</w:t>
      </w:r>
    </w:p>
    <w:p>
      <w:pPr>
        <w:pStyle w:val="ListParagraph"/>
        <w:numPr>
          <w:ilvl w:val="0"/>
          <w:numId w:val="2"/>
        </w:numPr>
        <w:spacing w:after="80"/>
      </w:pPr>
      <w:r>
        <w:t xml:space="preserve">Bank's Internal Recovery Policy, Section 7 (One-Time Settlement Evaluation) — governs the framework for evaluating OTS proposals against estimated realizable security value</w:t>
      </w:r>
    </w:p>
    <w:p>
      <w:pPr>
        <w:pStyle w:val="Heading1"/>
        <w:spacing w:after="120" w:before="240"/>
      </w:pPr>
      <w:r>
        <w:t xml:space="preserve">13. Glossary of Terms Used in This File</w:t>
      </w:r>
    </w:p>
    <w:p>
      <w:pPr>
        <w:pStyle w:val="ListParagraph"/>
        <w:numPr>
          <w:ilvl w:val="0"/>
          <w:numId w:val="2"/>
        </w:numPr>
        <w:spacing w:after="80"/>
      </w:pPr>
      <w:r>
        <w:t xml:space="preserve">NPA: Non-Performing Asset, a loan account where interest or principal has remained overdue for a period exceeding the prescribed threshold (typically 90 days)</w:t>
      </w:r>
    </w:p>
    <w:p>
      <w:pPr>
        <w:pStyle w:val="ListParagraph"/>
        <w:numPr>
          <w:ilvl w:val="0"/>
          <w:numId w:val="2"/>
        </w:numPr>
        <w:spacing w:after="80"/>
      </w:pPr>
      <w:r>
        <w:t xml:space="preserve">SARFAESI Act: legislation enabling banks to enforce security interests without court intervention, subject to prescribed notice and procedural requirements</w:t>
      </w:r>
    </w:p>
    <w:p>
      <w:pPr>
        <w:pStyle w:val="ListParagraph"/>
        <w:numPr>
          <w:ilvl w:val="0"/>
          <w:numId w:val="2"/>
        </w:numPr>
        <w:spacing w:after="80"/>
      </w:pPr>
      <w:r>
        <w:t xml:space="preserve">Symbolic possession: a form of possession taken under SARFAESI where the bank asserts control over secured assets without physically dispossessing the borrower, typically pending DRT assistance for physical possession</w:t>
      </w:r>
    </w:p>
    <w:p>
      <w:pPr>
        <w:pStyle w:val="ListParagraph"/>
        <w:numPr>
          <w:ilvl w:val="0"/>
          <w:numId w:val="2"/>
        </w:numPr>
        <w:spacing w:after="80"/>
      </w:pPr>
      <w:r>
        <w:t xml:space="preserve">One-Time Settlement (OTS): a negotiated settlement in which the borrower pays an agreed amount, generally less than the full outstanding, in full and final discharge of the loan liability</w:t>
      </w:r>
    </w:p>
    <w:p>
      <w:pPr>
        <w:spacing w:after="200"/>
      </w:pPr>
      <w:r>
        <w:rPr>
          <w:i/>
          <w:iCs/>
          <w:color w:val="666666"/>
          <w:sz w:val="20"/>
          <w:szCs w:val="20"/>
        </w:rPr>
        <w:t xml:space="preserve">End of document. Internal reference: CMB-NPA-2024-0071 (synthetic training corpus).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5"/>
        <w:szCs w:val="15"/>
      </w:rPr>
      <w:t xml:space="preserve">Continental Merchant Bank Ltd. — Corporate Banking Branch, Hyderabad — Internal Recovery File — NPA/2024/0071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2026-08-23T14:10:32.920Z</dcterms:created>
  <dcterms:modified xsi:type="dcterms:W3CDTF">2026-08-23T14:10:32.920Z</dcterms:modified>
</cp:coreProperties>
</file>

<file path=docProps/custom.xml><?xml version="1.0" encoding="utf-8"?>
<Properties xmlns="http://schemas.openxmlformats.org/officeDocument/2006/custom-properties" xmlns:vt="http://schemas.openxmlformats.org/officeDocument/2006/docPropsVTypes"/>
</file>