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22"/>
          <w:szCs w:val="22"/>
        </w:rPr>
        <w:t xml:space="preserve">Horizon Skyline Developers</w:t>
      </w:r>
    </w:p>
    <w:p>
      <w:pPr>
        <w:spacing w:after="200"/>
      </w:pPr>
      <w:r>
        <w:rPr>
          <w:i/>
          <w:iCs/>
          <w:color w:val="888888"/>
          <w:sz w:val="18"/>
          <w:szCs w:val="18"/>
        </w:rPr>
        <w:t xml:space="preserve">Internal Sales Document — For Channel Partner Use</w:t>
      </w:r>
    </w:p>
    <w:p>
      <w:pPr>
        <w:spacing w:after="80"/>
      </w:pPr>
      <w:r>
        <w:rPr>
          <w:b/>
          <w:bCs/>
          <w:color w:val="1F4E5F"/>
          <w:sz w:val="36"/>
          <w:szCs w:val="36"/>
        </w:rPr>
        <w:t xml:space="preserve">Sky Meadows Residency</w:t>
      </w:r>
    </w:p>
    <w:p>
      <w:pPr>
        <w:spacing w:after="200"/>
      </w:pPr>
      <w:r>
        <w:rPr>
          <w:i/>
          <w:iCs/>
          <w:color w:val="444444"/>
          <w:sz w:val="24"/>
          <w:szCs w:val="24"/>
        </w:rPr>
        <w:t xml:space="preserve">Price List, Floor Plans &amp; Payment Schedule — Kokapet, Hyderabad</w:t>
      </w:r>
    </w:p>
    <w:p>
      <w:pPr>
        <w:spacing w:after="200"/>
      </w:pPr>
      <w:r>
        <w:rPr>
          <w:i/>
          <w:iCs/>
          <w:color w:val="666666"/>
          <w:sz w:val="20"/>
          <w:szCs w:val="20"/>
        </w:rPr>
        <w:t xml:space="preserve">Illustrative / synthetic real estate document created for training and demonstration purposes (e.g., testing retrieval-augmented generation systems). All project names, prices, and details are fictional and do not correspond to any real project, developer, or transaction.</w:t>
      </w:r>
    </w:p>
    <w:p>
      <w:pPr>
        <w:pStyle w:val="Heading1"/>
        <w:spacing w:after="120" w:before="240"/>
      </w:pPr>
      <w:r>
        <w:t xml:space="preserve">1. Project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1F4E5F" w:color="auto" w:val="clear"/>
            <w:tcMar>
              <w:top w:type="dxa" w:w="70"/>
              <w:left w:type="dxa" w:w="90"/>
              <w:bottom w:type="dxa" w:w="70"/>
              <w:right w:type="dxa" w:w="90"/>
            </w:tcMar>
          </w:tcPr>
          <w:p>
            <w:r>
              <w:rPr>
                <w:b/>
                <w:bCs/>
                <w:color w:val="FFFFFF"/>
                <w:sz w:val="19"/>
                <w:szCs w:val="19"/>
              </w:rPr>
              <w:t xml:space="preserve">Project Name</w:t>
            </w:r>
          </w:p>
        </w:tc>
        <w:tc>
          <w:tcPr>
            <w:tcW w:type="dxa" w:w="7000"/>
            <w:tcMar>
              <w:top w:type="dxa" w:w="70"/>
              <w:left w:type="dxa" w:w="90"/>
              <w:bottom w:type="dxa" w:w="70"/>
              <w:right w:type="dxa" w:w="90"/>
            </w:tcMar>
          </w:tcPr>
          <w:p>
            <w:r>
              <w:rPr>
                <w:b w:val="false"/>
                <w:bCs w:val="false"/>
                <w:color w:val="000000"/>
                <w:sz w:val="19"/>
                <w:szCs w:val="19"/>
              </w:rPr>
              <w:t xml:space="preserve">Sky Meadows Residency</w:t>
            </w:r>
          </w:p>
        </w:tc>
      </w:tr>
      <w:tr>
        <w:tc>
          <w:tcPr>
            <w:tcW w:type="dxa" w:w="2800"/>
            <w:shd w:fill="1F4E5F" w:color="auto" w:val="clear"/>
            <w:tcMar>
              <w:top w:type="dxa" w:w="70"/>
              <w:left w:type="dxa" w:w="90"/>
              <w:bottom w:type="dxa" w:w="70"/>
              <w:right w:type="dxa" w:w="90"/>
            </w:tcMar>
          </w:tcPr>
          <w:p>
            <w:r>
              <w:rPr>
                <w:b/>
                <w:bCs/>
                <w:color w:val="FFFFFF"/>
                <w:sz w:val="19"/>
                <w:szCs w:val="19"/>
              </w:rPr>
              <w:t xml:space="preserve">Location</w:t>
            </w:r>
          </w:p>
        </w:tc>
        <w:tc>
          <w:tcPr>
            <w:tcW w:type="dxa" w:w="7000"/>
            <w:tcMar>
              <w:top w:type="dxa" w:w="70"/>
              <w:left w:type="dxa" w:w="90"/>
              <w:bottom w:type="dxa" w:w="70"/>
              <w:right w:type="dxa" w:w="90"/>
            </w:tcMar>
          </w:tcPr>
          <w:p>
            <w:r>
              <w:rPr>
                <w:b w:val="false"/>
                <w:bCs w:val="false"/>
                <w:color w:val="000000"/>
                <w:sz w:val="19"/>
                <w:szCs w:val="19"/>
              </w:rPr>
              <w:t xml:space="preserve">Survey No. 88, Kokapet, Hyderabad, near Financial District</w:t>
            </w:r>
          </w:p>
        </w:tc>
      </w:tr>
      <w:tr>
        <w:tc>
          <w:tcPr>
            <w:tcW w:type="dxa" w:w="2800"/>
            <w:shd w:fill="1F4E5F" w:color="auto" w:val="clear"/>
            <w:tcMar>
              <w:top w:type="dxa" w:w="70"/>
              <w:left w:type="dxa" w:w="90"/>
              <w:bottom w:type="dxa" w:w="70"/>
              <w:right w:type="dxa" w:w="90"/>
            </w:tcMar>
          </w:tcPr>
          <w:p>
            <w:r>
              <w:rPr>
                <w:b/>
                <w:bCs/>
                <w:color w:val="FFFFFF"/>
                <w:sz w:val="19"/>
                <w:szCs w:val="19"/>
              </w:rPr>
              <w:t xml:space="preserve">Developer</w:t>
            </w:r>
          </w:p>
        </w:tc>
        <w:tc>
          <w:tcPr>
            <w:tcW w:type="dxa" w:w="7000"/>
            <w:tcMar>
              <w:top w:type="dxa" w:w="70"/>
              <w:left w:type="dxa" w:w="90"/>
              <w:bottom w:type="dxa" w:w="70"/>
              <w:right w:type="dxa" w:w="90"/>
            </w:tcMar>
          </w:tcPr>
          <w:p>
            <w:r>
              <w:rPr>
                <w:b w:val="false"/>
                <w:bCs w:val="false"/>
                <w:color w:val="000000"/>
                <w:sz w:val="19"/>
                <w:szCs w:val="19"/>
              </w:rPr>
              <w:t xml:space="preserve">Horizon Skyline Developers Pvt. Ltd.</w:t>
            </w:r>
          </w:p>
        </w:tc>
      </w:tr>
      <w:tr>
        <w:tc>
          <w:tcPr>
            <w:tcW w:type="dxa" w:w="2800"/>
            <w:shd w:fill="1F4E5F" w:color="auto" w:val="clear"/>
            <w:tcMar>
              <w:top w:type="dxa" w:w="70"/>
              <w:left w:type="dxa" w:w="90"/>
              <w:bottom w:type="dxa" w:w="70"/>
              <w:right w:type="dxa" w:w="90"/>
            </w:tcMar>
          </w:tcPr>
          <w:p>
            <w:r>
              <w:rPr>
                <w:b/>
                <w:bCs/>
                <w:color w:val="FFFFFF"/>
                <w:sz w:val="19"/>
                <w:szCs w:val="19"/>
              </w:rPr>
              <w:t xml:space="preserve">RERA Registration No.</w:t>
            </w:r>
          </w:p>
        </w:tc>
        <w:tc>
          <w:tcPr>
            <w:tcW w:type="dxa" w:w="7000"/>
            <w:tcMar>
              <w:top w:type="dxa" w:w="70"/>
              <w:left w:type="dxa" w:w="90"/>
              <w:bottom w:type="dxa" w:w="70"/>
              <w:right w:type="dxa" w:w="90"/>
            </w:tcMar>
          </w:tcPr>
          <w:p>
            <w:r>
              <w:rPr>
                <w:b w:val="false"/>
                <w:bCs w:val="false"/>
                <w:color w:val="000000"/>
                <w:sz w:val="19"/>
                <w:szCs w:val="19"/>
              </w:rPr>
              <w:t xml:space="preserve">P02400009876 (fictional, for illustration only)</w:t>
            </w:r>
          </w:p>
        </w:tc>
      </w:tr>
      <w:tr>
        <w:tc>
          <w:tcPr>
            <w:tcW w:type="dxa" w:w="2800"/>
            <w:shd w:fill="1F4E5F" w:color="auto" w:val="clear"/>
            <w:tcMar>
              <w:top w:type="dxa" w:w="70"/>
              <w:left w:type="dxa" w:w="90"/>
              <w:bottom w:type="dxa" w:w="70"/>
              <w:right w:type="dxa" w:w="90"/>
            </w:tcMar>
          </w:tcPr>
          <w:p>
            <w:r>
              <w:rPr>
                <w:b/>
                <w:bCs/>
                <w:color w:val="FFFFFF"/>
                <w:sz w:val="19"/>
                <w:szCs w:val="19"/>
              </w:rPr>
              <w:t xml:space="preserve">Total Towers / Units</w:t>
            </w:r>
          </w:p>
        </w:tc>
        <w:tc>
          <w:tcPr>
            <w:tcW w:type="dxa" w:w="7000"/>
            <w:tcMar>
              <w:top w:type="dxa" w:w="70"/>
              <w:left w:type="dxa" w:w="90"/>
              <w:bottom w:type="dxa" w:w="70"/>
              <w:right w:type="dxa" w:w="90"/>
            </w:tcMar>
          </w:tcPr>
          <w:p>
            <w:r>
              <w:rPr>
                <w:b w:val="false"/>
                <w:bCs w:val="false"/>
                <w:color w:val="000000"/>
                <w:sz w:val="19"/>
                <w:szCs w:val="19"/>
              </w:rPr>
              <w:t xml:space="preserve">3 towers (Tower A, B, C), G+22 floors, 396 units total</w:t>
            </w:r>
          </w:p>
        </w:tc>
      </w:tr>
      <w:tr>
        <w:tc>
          <w:tcPr>
            <w:tcW w:type="dxa" w:w="2800"/>
            <w:shd w:fill="1F4E5F" w:color="auto" w:val="clear"/>
            <w:tcMar>
              <w:top w:type="dxa" w:w="70"/>
              <w:left w:type="dxa" w:w="90"/>
              <w:bottom w:type="dxa" w:w="70"/>
              <w:right w:type="dxa" w:w="90"/>
            </w:tcMar>
          </w:tcPr>
          <w:p>
            <w:r>
              <w:rPr>
                <w:b/>
                <w:bCs/>
                <w:color w:val="FFFFFF"/>
                <w:sz w:val="19"/>
                <w:szCs w:val="19"/>
              </w:rPr>
              <w:t xml:space="preserve">Total Land Area</w:t>
            </w:r>
          </w:p>
        </w:tc>
        <w:tc>
          <w:tcPr>
            <w:tcW w:type="dxa" w:w="7000"/>
            <w:tcMar>
              <w:top w:type="dxa" w:w="70"/>
              <w:left w:type="dxa" w:w="90"/>
              <w:bottom w:type="dxa" w:w="70"/>
              <w:right w:type="dxa" w:w="90"/>
            </w:tcMar>
          </w:tcPr>
          <w:p>
            <w:r>
              <w:rPr>
                <w:b w:val="false"/>
                <w:bCs w:val="false"/>
                <w:color w:val="000000"/>
                <w:sz w:val="19"/>
                <w:szCs w:val="19"/>
              </w:rPr>
              <w:t xml:space="preserve">6.2 acres</w:t>
            </w:r>
          </w:p>
        </w:tc>
      </w:tr>
      <w:tr>
        <w:tc>
          <w:tcPr>
            <w:tcW w:type="dxa" w:w="2800"/>
            <w:shd w:fill="1F4E5F" w:color="auto" w:val="clear"/>
            <w:tcMar>
              <w:top w:type="dxa" w:w="70"/>
              <w:left w:type="dxa" w:w="90"/>
              <w:bottom w:type="dxa" w:w="70"/>
              <w:right w:type="dxa" w:w="90"/>
            </w:tcMar>
          </w:tcPr>
          <w:p>
            <w:r>
              <w:rPr>
                <w:b/>
                <w:bCs/>
                <w:color w:val="FFFFFF"/>
                <w:sz w:val="19"/>
                <w:szCs w:val="19"/>
              </w:rPr>
              <w:t xml:space="preserve">Launch Date</w:t>
            </w:r>
          </w:p>
        </w:tc>
        <w:tc>
          <w:tcPr>
            <w:tcW w:type="dxa" w:w="7000"/>
            <w:tcMar>
              <w:top w:type="dxa" w:w="70"/>
              <w:left w:type="dxa" w:w="90"/>
              <w:bottom w:type="dxa" w:w="70"/>
              <w:right w:type="dxa" w:w="90"/>
            </w:tcMar>
          </w:tcPr>
          <w:p>
            <w:r>
              <w:rPr>
                <w:b w:val="false"/>
                <w:bCs w:val="false"/>
                <w:color w:val="000000"/>
                <w:sz w:val="19"/>
                <w:szCs w:val="19"/>
              </w:rPr>
              <w:t xml:space="preserve">March 2024</w:t>
            </w:r>
          </w:p>
        </w:tc>
      </w:tr>
      <w:tr>
        <w:tc>
          <w:tcPr>
            <w:tcW w:type="dxa" w:w="2800"/>
            <w:shd w:fill="1F4E5F" w:color="auto" w:val="clear"/>
            <w:tcMar>
              <w:top w:type="dxa" w:w="70"/>
              <w:left w:type="dxa" w:w="90"/>
              <w:bottom w:type="dxa" w:w="70"/>
              <w:right w:type="dxa" w:w="90"/>
            </w:tcMar>
          </w:tcPr>
          <w:p>
            <w:r>
              <w:rPr>
                <w:b/>
                <w:bCs/>
                <w:color w:val="FFFFFF"/>
                <w:sz w:val="19"/>
                <w:szCs w:val="19"/>
              </w:rPr>
              <w:t xml:space="preserve">Expected Possession</w:t>
            </w:r>
          </w:p>
        </w:tc>
        <w:tc>
          <w:tcPr>
            <w:tcW w:type="dxa" w:w="7000"/>
            <w:tcMar>
              <w:top w:type="dxa" w:w="70"/>
              <w:left w:type="dxa" w:w="90"/>
              <w:bottom w:type="dxa" w:w="70"/>
              <w:right w:type="dxa" w:w="90"/>
            </w:tcMar>
          </w:tcPr>
          <w:p>
            <w:r>
              <w:rPr>
                <w:b w:val="false"/>
                <w:bCs w:val="false"/>
                <w:color w:val="000000"/>
                <w:sz w:val="19"/>
                <w:szCs w:val="19"/>
              </w:rPr>
              <w:t xml:space="preserve">December 2027 (Tower A), June 2028 (Towers B &amp; C)</w:t>
            </w:r>
          </w:p>
        </w:tc>
      </w:tr>
    </w:tbl>
    <w:p>
      <w:pPr>
        <w:pStyle w:val="Heading1"/>
        <w:spacing w:after="120" w:before="240"/>
      </w:pPr>
      <w:r>
        <w:t xml:space="preserve">2. Unit Types and Base Pricing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2000"/>
        <w:gridCol w:w="1700"/>
        <w:gridCol w:w="800"/>
      </w:tblGrid>
      <w:tr>
        <w:tc>
          <w:tcPr>
            <w:tcW w:type="dxa" w:w="1800"/>
            <w:shd w:fill="1F4E5F" w:color="auto" w:val="clear"/>
            <w:tcMar>
              <w:top w:type="dxa" w:w="70"/>
              <w:left w:type="dxa" w:w="90"/>
              <w:bottom w:type="dxa" w:w="70"/>
              <w:right w:type="dxa" w:w="90"/>
            </w:tcMar>
          </w:tcPr>
          <w:p>
            <w:r>
              <w:rPr>
                <w:b/>
                <w:bCs/>
                <w:color w:val="FFFFFF"/>
                <w:sz w:val="19"/>
                <w:szCs w:val="19"/>
              </w:rPr>
              <w:t xml:space="preserve">Unit Type</w:t>
            </w:r>
          </w:p>
        </w:tc>
        <w:tc>
          <w:tcPr>
            <w:tcW w:type="dxa" w:w="1600"/>
            <w:shd w:fill="1F4E5F" w:color="auto" w:val="clear"/>
            <w:tcMar>
              <w:top w:type="dxa" w:w="70"/>
              <w:left w:type="dxa" w:w="90"/>
              <w:bottom w:type="dxa" w:w="70"/>
              <w:right w:type="dxa" w:w="90"/>
            </w:tcMar>
          </w:tcPr>
          <w:p>
            <w:r>
              <w:rPr>
                <w:b/>
                <w:bCs/>
                <w:color w:val="FFFFFF"/>
                <w:sz w:val="19"/>
                <w:szCs w:val="19"/>
              </w:rPr>
              <w:t xml:space="preserve">Carpet Area</w:t>
            </w:r>
          </w:p>
        </w:tc>
        <w:tc>
          <w:tcPr>
            <w:tcW w:type="dxa" w:w="1900"/>
            <w:shd w:fill="1F4E5F" w:color="auto" w:val="clear"/>
            <w:tcMar>
              <w:top w:type="dxa" w:w="70"/>
              <w:left w:type="dxa" w:w="90"/>
              <w:bottom w:type="dxa" w:w="70"/>
              <w:right w:type="dxa" w:w="90"/>
            </w:tcMar>
          </w:tcPr>
          <w:p>
            <w:r>
              <w:rPr>
                <w:b/>
                <w:bCs/>
                <w:color w:val="FFFFFF"/>
                <w:sz w:val="19"/>
                <w:szCs w:val="19"/>
              </w:rPr>
              <w:t xml:space="preserve">Super Built-up Area</w:t>
            </w:r>
          </w:p>
        </w:tc>
        <w:tc>
          <w:tcPr>
            <w:tcW w:type="dxa" w:w="2000"/>
            <w:shd w:fill="1F4E5F" w:color="auto" w:val="clear"/>
            <w:tcMar>
              <w:top w:type="dxa" w:w="70"/>
              <w:left w:type="dxa" w:w="90"/>
              <w:bottom w:type="dxa" w:w="70"/>
              <w:right w:type="dxa" w:w="90"/>
            </w:tcMar>
          </w:tcPr>
          <w:p>
            <w:r>
              <w:rPr>
                <w:b/>
                <w:bCs/>
                <w:color w:val="FFFFFF"/>
                <w:sz w:val="19"/>
                <w:szCs w:val="19"/>
              </w:rPr>
              <w:t xml:space="preserve">Base Price</w:t>
            </w:r>
          </w:p>
        </w:tc>
        <w:tc>
          <w:tcPr>
            <w:tcW w:type="dxa" w:w="1700"/>
            <w:shd w:fill="1F4E5F" w:color="auto" w:val="clear"/>
            <w:tcMar>
              <w:top w:type="dxa" w:w="70"/>
              <w:left w:type="dxa" w:w="90"/>
              <w:bottom w:type="dxa" w:w="70"/>
              <w:right w:type="dxa" w:w="90"/>
            </w:tcMar>
          </w:tcPr>
          <w:p>
            <w:r>
              <w:rPr>
                <w:b/>
                <w:bCs/>
                <w:color w:val="FFFFFF"/>
                <w:sz w:val="19"/>
                <w:szCs w:val="19"/>
              </w:rPr>
              <w:t xml:space="preserve">Rate/sq.ft (SBA)</w:t>
            </w:r>
          </w:p>
        </w:tc>
        <w:tc>
          <w:tcPr>
            <w:tcW w:type="dxa" w:w="800"/>
            <w:shd w:fill="1F4E5F" w:color="auto" w:val="clear"/>
            <w:tcMar>
              <w:top w:type="dxa" w:w="70"/>
              <w:left w:type="dxa" w:w="90"/>
              <w:bottom w:type="dxa" w:w="70"/>
              <w:right w:type="dxa" w:w="90"/>
            </w:tcMar>
          </w:tcPr>
          <w:p>
            <w:r>
              <w:rPr>
                <w:b/>
                <w:bCs/>
                <w:color w:val="FFFFFF"/>
                <w:sz w:val="19"/>
                <w:szCs w:val="19"/>
              </w:rPr>
              <w:t xml:space="preserve">Units</w:t>
            </w:r>
          </w:p>
        </w:tc>
      </w:tr>
      <w:tr>
        <w:tc>
          <w:tcPr>
            <w:tcW w:type="dxa" w:w="1800"/>
            <w:tcMar>
              <w:top w:type="dxa" w:w="70"/>
              <w:left w:type="dxa" w:w="90"/>
              <w:bottom w:type="dxa" w:w="70"/>
              <w:right w:type="dxa" w:w="90"/>
            </w:tcMar>
          </w:tcPr>
          <w:p>
            <w:r>
              <w:rPr>
                <w:b w:val="false"/>
                <w:bCs w:val="false"/>
                <w:color w:val="000000"/>
                <w:sz w:val="19"/>
                <w:szCs w:val="19"/>
              </w:rPr>
              <w:t xml:space="preserve">2 BHK</w:t>
            </w:r>
          </w:p>
        </w:tc>
        <w:tc>
          <w:tcPr>
            <w:tcW w:type="dxa" w:w="1600"/>
            <w:tcMar>
              <w:top w:type="dxa" w:w="70"/>
              <w:left w:type="dxa" w:w="90"/>
              <w:bottom w:type="dxa" w:w="70"/>
              <w:right w:type="dxa" w:w="90"/>
            </w:tcMar>
          </w:tcPr>
          <w:p>
            <w:r>
              <w:rPr>
                <w:b w:val="false"/>
                <w:bCs w:val="false"/>
                <w:color w:val="000000"/>
                <w:sz w:val="19"/>
                <w:szCs w:val="19"/>
              </w:rPr>
              <w:t xml:space="preserve">875 sq.ft</w:t>
            </w:r>
          </w:p>
        </w:tc>
        <w:tc>
          <w:tcPr>
            <w:tcW w:type="dxa" w:w="1900"/>
            <w:tcMar>
              <w:top w:type="dxa" w:w="70"/>
              <w:left w:type="dxa" w:w="90"/>
              <w:bottom w:type="dxa" w:w="70"/>
              <w:right w:type="dxa" w:w="90"/>
            </w:tcMar>
          </w:tcPr>
          <w:p>
            <w:r>
              <w:rPr>
                <w:b w:val="false"/>
                <w:bCs w:val="false"/>
                <w:color w:val="000000"/>
                <w:sz w:val="19"/>
                <w:szCs w:val="19"/>
              </w:rPr>
              <w:t xml:space="preserve">1,320 sq.ft</w:t>
            </w:r>
          </w:p>
        </w:tc>
        <w:tc>
          <w:tcPr>
            <w:tcW w:type="dxa" w:w="2000"/>
            <w:tcMar>
              <w:top w:type="dxa" w:w="70"/>
              <w:left w:type="dxa" w:w="90"/>
              <w:bottom w:type="dxa" w:w="70"/>
              <w:right w:type="dxa" w:w="90"/>
            </w:tcMar>
          </w:tcPr>
          <w:p>
            <w:r>
              <w:rPr>
                <w:b w:val="false"/>
                <w:bCs w:val="false"/>
                <w:color w:val="000000"/>
                <w:sz w:val="19"/>
                <w:szCs w:val="19"/>
              </w:rPr>
              <w:t xml:space="preserve">₹92,40,000</w:t>
            </w:r>
          </w:p>
        </w:tc>
        <w:tc>
          <w:tcPr>
            <w:tcW w:type="dxa" w:w="1700"/>
            <w:tcMar>
              <w:top w:type="dxa" w:w="70"/>
              <w:left w:type="dxa" w:w="90"/>
              <w:bottom w:type="dxa" w:w="70"/>
              <w:right w:type="dxa" w:w="90"/>
            </w:tcMar>
          </w:tcPr>
          <w:p>
            <w:r>
              <w:rPr>
                <w:b w:val="false"/>
                <w:bCs w:val="false"/>
                <w:color w:val="000000"/>
                <w:sz w:val="19"/>
                <w:szCs w:val="19"/>
              </w:rPr>
              <w:t xml:space="preserve">₹7,000</w:t>
            </w:r>
          </w:p>
        </w:tc>
        <w:tc>
          <w:tcPr>
            <w:tcW w:type="dxa" w:w="800"/>
            <w:tcMar>
              <w:top w:type="dxa" w:w="70"/>
              <w:left w:type="dxa" w:w="90"/>
              <w:bottom w:type="dxa" w:w="70"/>
              <w:right w:type="dxa" w:w="90"/>
            </w:tcMar>
          </w:tcPr>
          <w:p>
            <w:r>
              <w:rPr>
                <w:b w:val="false"/>
                <w:bCs w:val="false"/>
                <w:color w:val="000000"/>
                <w:sz w:val="19"/>
                <w:szCs w:val="19"/>
              </w:rPr>
              <w:t xml:space="preserve">96</w:t>
            </w:r>
          </w:p>
        </w:tc>
      </w:tr>
      <w:tr>
        <w:tc>
          <w:tcPr>
            <w:tcW w:type="dxa" w:w="1800"/>
            <w:tcMar>
              <w:top w:type="dxa" w:w="70"/>
              <w:left w:type="dxa" w:w="90"/>
              <w:bottom w:type="dxa" w:w="70"/>
              <w:right w:type="dxa" w:w="90"/>
            </w:tcMar>
          </w:tcPr>
          <w:p>
            <w:r>
              <w:rPr>
                <w:b w:val="false"/>
                <w:bCs w:val="false"/>
                <w:color w:val="000000"/>
                <w:sz w:val="19"/>
                <w:szCs w:val="19"/>
              </w:rPr>
              <w:t xml:space="preserve">3 BHK</w:t>
            </w:r>
          </w:p>
        </w:tc>
        <w:tc>
          <w:tcPr>
            <w:tcW w:type="dxa" w:w="1600"/>
            <w:tcMar>
              <w:top w:type="dxa" w:w="70"/>
              <w:left w:type="dxa" w:w="90"/>
              <w:bottom w:type="dxa" w:w="70"/>
              <w:right w:type="dxa" w:w="90"/>
            </w:tcMar>
          </w:tcPr>
          <w:p>
            <w:r>
              <w:rPr>
                <w:b w:val="false"/>
                <w:bCs w:val="false"/>
                <w:color w:val="000000"/>
                <w:sz w:val="19"/>
                <w:szCs w:val="19"/>
              </w:rPr>
              <w:t xml:space="preserve">1,180 sq.ft</w:t>
            </w:r>
          </w:p>
        </w:tc>
        <w:tc>
          <w:tcPr>
            <w:tcW w:type="dxa" w:w="1900"/>
            <w:tcMar>
              <w:top w:type="dxa" w:w="70"/>
              <w:left w:type="dxa" w:w="90"/>
              <w:bottom w:type="dxa" w:w="70"/>
              <w:right w:type="dxa" w:w="90"/>
            </w:tcMar>
          </w:tcPr>
          <w:p>
            <w:r>
              <w:rPr>
                <w:b w:val="false"/>
                <w:bCs w:val="false"/>
                <w:color w:val="000000"/>
                <w:sz w:val="19"/>
                <w:szCs w:val="19"/>
              </w:rPr>
              <w:t xml:space="preserve">1,780 sq.ft</w:t>
            </w:r>
          </w:p>
        </w:tc>
        <w:tc>
          <w:tcPr>
            <w:tcW w:type="dxa" w:w="2000"/>
            <w:tcMar>
              <w:top w:type="dxa" w:w="70"/>
              <w:left w:type="dxa" w:w="90"/>
              <w:bottom w:type="dxa" w:w="70"/>
              <w:right w:type="dxa" w:w="90"/>
            </w:tcMar>
          </w:tcPr>
          <w:p>
            <w:r>
              <w:rPr>
                <w:b w:val="false"/>
                <w:bCs w:val="false"/>
                <w:color w:val="000000"/>
                <w:sz w:val="19"/>
                <w:szCs w:val="19"/>
              </w:rPr>
              <w:t xml:space="preserve">₹1,24,60,000</w:t>
            </w:r>
          </w:p>
        </w:tc>
        <w:tc>
          <w:tcPr>
            <w:tcW w:type="dxa" w:w="1700"/>
            <w:tcMar>
              <w:top w:type="dxa" w:w="70"/>
              <w:left w:type="dxa" w:w="90"/>
              <w:bottom w:type="dxa" w:w="70"/>
              <w:right w:type="dxa" w:w="90"/>
            </w:tcMar>
          </w:tcPr>
          <w:p>
            <w:r>
              <w:rPr>
                <w:b w:val="false"/>
                <w:bCs w:val="false"/>
                <w:color w:val="000000"/>
                <w:sz w:val="19"/>
                <w:szCs w:val="19"/>
              </w:rPr>
              <w:t xml:space="preserve">₹7,000</w:t>
            </w:r>
          </w:p>
        </w:tc>
        <w:tc>
          <w:tcPr>
            <w:tcW w:type="dxa" w:w="800"/>
            <w:tcMar>
              <w:top w:type="dxa" w:w="70"/>
              <w:left w:type="dxa" w:w="90"/>
              <w:bottom w:type="dxa" w:w="70"/>
              <w:right w:type="dxa" w:w="90"/>
            </w:tcMar>
          </w:tcPr>
          <w:p>
            <w:r>
              <w:rPr>
                <w:b w:val="false"/>
                <w:bCs w:val="false"/>
                <w:color w:val="000000"/>
                <w:sz w:val="19"/>
                <w:szCs w:val="19"/>
              </w:rPr>
              <w:t xml:space="preserve">168</w:t>
            </w:r>
          </w:p>
        </w:tc>
      </w:tr>
      <w:tr>
        <w:tc>
          <w:tcPr>
            <w:tcW w:type="dxa" w:w="1800"/>
            <w:tcMar>
              <w:top w:type="dxa" w:w="70"/>
              <w:left w:type="dxa" w:w="90"/>
              <w:bottom w:type="dxa" w:w="70"/>
              <w:right w:type="dxa" w:w="90"/>
            </w:tcMar>
          </w:tcPr>
          <w:p>
            <w:r>
              <w:rPr>
                <w:b w:val="false"/>
                <w:bCs w:val="false"/>
                <w:color w:val="000000"/>
                <w:sz w:val="19"/>
                <w:szCs w:val="19"/>
              </w:rPr>
              <w:t xml:space="preserve">3 BHK + Study</w:t>
            </w:r>
          </w:p>
        </w:tc>
        <w:tc>
          <w:tcPr>
            <w:tcW w:type="dxa" w:w="1600"/>
            <w:tcMar>
              <w:top w:type="dxa" w:w="70"/>
              <w:left w:type="dxa" w:w="90"/>
              <w:bottom w:type="dxa" w:w="70"/>
              <w:right w:type="dxa" w:w="90"/>
            </w:tcMar>
          </w:tcPr>
          <w:p>
            <w:r>
              <w:rPr>
                <w:b w:val="false"/>
                <w:bCs w:val="false"/>
                <w:color w:val="000000"/>
                <w:sz w:val="19"/>
                <w:szCs w:val="19"/>
              </w:rPr>
              <w:t xml:space="preserve">1,340 sq.ft</w:t>
            </w:r>
          </w:p>
        </w:tc>
        <w:tc>
          <w:tcPr>
            <w:tcW w:type="dxa" w:w="1900"/>
            <w:tcMar>
              <w:top w:type="dxa" w:w="70"/>
              <w:left w:type="dxa" w:w="90"/>
              <w:bottom w:type="dxa" w:w="70"/>
              <w:right w:type="dxa" w:w="90"/>
            </w:tcMar>
          </w:tcPr>
          <w:p>
            <w:r>
              <w:rPr>
                <w:b w:val="false"/>
                <w:bCs w:val="false"/>
                <w:color w:val="000000"/>
                <w:sz w:val="19"/>
                <w:szCs w:val="19"/>
              </w:rPr>
              <w:t xml:space="preserve">2,020 sq.ft</w:t>
            </w:r>
          </w:p>
        </w:tc>
        <w:tc>
          <w:tcPr>
            <w:tcW w:type="dxa" w:w="2000"/>
            <w:tcMar>
              <w:top w:type="dxa" w:w="70"/>
              <w:left w:type="dxa" w:w="90"/>
              <w:bottom w:type="dxa" w:w="70"/>
              <w:right w:type="dxa" w:w="90"/>
            </w:tcMar>
          </w:tcPr>
          <w:p>
            <w:r>
              <w:rPr>
                <w:b w:val="false"/>
                <w:bCs w:val="false"/>
                <w:color w:val="000000"/>
                <w:sz w:val="19"/>
                <w:szCs w:val="19"/>
              </w:rPr>
              <w:t xml:space="preserve">₹1,45,44,000</w:t>
            </w:r>
          </w:p>
        </w:tc>
        <w:tc>
          <w:tcPr>
            <w:tcW w:type="dxa" w:w="1700"/>
            <w:tcMar>
              <w:top w:type="dxa" w:w="70"/>
              <w:left w:type="dxa" w:w="90"/>
              <w:bottom w:type="dxa" w:w="70"/>
              <w:right w:type="dxa" w:w="90"/>
            </w:tcMar>
          </w:tcPr>
          <w:p>
            <w:r>
              <w:rPr>
                <w:b w:val="false"/>
                <w:bCs w:val="false"/>
                <w:color w:val="000000"/>
                <w:sz w:val="19"/>
                <w:szCs w:val="19"/>
              </w:rPr>
              <w:t xml:space="preserve">₹7,200</w:t>
            </w:r>
          </w:p>
        </w:tc>
        <w:tc>
          <w:tcPr>
            <w:tcW w:type="dxa" w:w="800"/>
            <w:tcMar>
              <w:top w:type="dxa" w:w="70"/>
              <w:left w:type="dxa" w:w="90"/>
              <w:bottom w:type="dxa" w:w="70"/>
              <w:right w:type="dxa" w:w="90"/>
            </w:tcMar>
          </w:tcPr>
          <w:p>
            <w:r>
              <w:rPr>
                <w:b w:val="false"/>
                <w:bCs w:val="false"/>
                <w:color w:val="000000"/>
                <w:sz w:val="19"/>
                <w:szCs w:val="19"/>
              </w:rPr>
              <w:t xml:space="preserve">72</w:t>
            </w:r>
          </w:p>
        </w:tc>
      </w:tr>
      <w:tr>
        <w:tc>
          <w:tcPr>
            <w:tcW w:type="dxa" w:w="1800"/>
            <w:tcMar>
              <w:top w:type="dxa" w:w="70"/>
              <w:left w:type="dxa" w:w="90"/>
              <w:bottom w:type="dxa" w:w="70"/>
              <w:right w:type="dxa" w:w="90"/>
            </w:tcMar>
          </w:tcPr>
          <w:p>
            <w:r>
              <w:rPr>
                <w:b w:val="false"/>
                <w:bCs w:val="false"/>
                <w:color w:val="000000"/>
                <w:sz w:val="19"/>
                <w:szCs w:val="19"/>
              </w:rPr>
              <w:t xml:space="preserve">4 BHK</w:t>
            </w:r>
          </w:p>
        </w:tc>
        <w:tc>
          <w:tcPr>
            <w:tcW w:type="dxa" w:w="1600"/>
            <w:tcMar>
              <w:top w:type="dxa" w:w="70"/>
              <w:left w:type="dxa" w:w="90"/>
              <w:bottom w:type="dxa" w:w="70"/>
              <w:right w:type="dxa" w:w="90"/>
            </w:tcMar>
          </w:tcPr>
          <w:p>
            <w:r>
              <w:rPr>
                <w:b w:val="false"/>
                <w:bCs w:val="false"/>
                <w:color w:val="000000"/>
                <w:sz w:val="19"/>
                <w:szCs w:val="19"/>
              </w:rPr>
              <w:t xml:space="preserve">1,650 sq.ft</w:t>
            </w:r>
          </w:p>
        </w:tc>
        <w:tc>
          <w:tcPr>
            <w:tcW w:type="dxa" w:w="1900"/>
            <w:tcMar>
              <w:top w:type="dxa" w:w="70"/>
              <w:left w:type="dxa" w:w="90"/>
              <w:bottom w:type="dxa" w:w="70"/>
              <w:right w:type="dxa" w:w="90"/>
            </w:tcMar>
          </w:tcPr>
          <w:p>
            <w:r>
              <w:rPr>
                <w:b w:val="false"/>
                <w:bCs w:val="false"/>
                <w:color w:val="000000"/>
                <w:sz w:val="19"/>
                <w:szCs w:val="19"/>
              </w:rPr>
              <w:t xml:space="preserve">2,480 sq.ft</w:t>
            </w:r>
          </w:p>
        </w:tc>
        <w:tc>
          <w:tcPr>
            <w:tcW w:type="dxa" w:w="2000"/>
            <w:tcMar>
              <w:top w:type="dxa" w:w="70"/>
              <w:left w:type="dxa" w:w="90"/>
              <w:bottom w:type="dxa" w:w="70"/>
              <w:right w:type="dxa" w:w="90"/>
            </w:tcMar>
          </w:tcPr>
          <w:p>
            <w:r>
              <w:rPr>
                <w:b w:val="false"/>
                <w:bCs w:val="false"/>
                <w:color w:val="000000"/>
                <w:sz w:val="19"/>
                <w:szCs w:val="19"/>
              </w:rPr>
              <w:t xml:space="preserve">₹1,81,04,000</w:t>
            </w:r>
          </w:p>
        </w:tc>
        <w:tc>
          <w:tcPr>
            <w:tcW w:type="dxa" w:w="1700"/>
            <w:tcMar>
              <w:top w:type="dxa" w:w="70"/>
              <w:left w:type="dxa" w:w="90"/>
              <w:bottom w:type="dxa" w:w="70"/>
              <w:right w:type="dxa" w:w="90"/>
            </w:tcMar>
          </w:tcPr>
          <w:p>
            <w:r>
              <w:rPr>
                <w:b w:val="false"/>
                <w:bCs w:val="false"/>
                <w:color w:val="000000"/>
                <w:sz w:val="19"/>
                <w:szCs w:val="19"/>
              </w:rPr>
              <w:t xml:space="preserve">₹7,300</w:t>
            </w:r>
          </w:p>
        </w:tc>
        <w:tc>
          <w:tcPr>
            <w:tcW w:type="dxa" w:w="800"/>
            <w:tcMar>
              <w:top w:type="dxa" w:w="70"/>
              <w:left w:type="dxa" w:w="90"/>
              <w:bottom w:type="dxa" w:w="70"/>
              <w:right w:type="dxa" w:w="90"/>
            </w:tcMar>
          </w:tcPr>
          <w:p>
            <w:r>
              <w:rPr>
                <w:b w:val="false"/>
                <w:bCs w:val="false"/>
                <w:color w:val="000000"/>
                <w:sz w:val="19"/>
                <w:szCs w:val="19"/>
              </w:rPr>
              <w:t xml:space="preserve">60</w:t>
            </w:r>
          </w:p>
        </w:tc>
      </w:tr>
    </w:tbl>
    <w:p>
      <w:pPr>
        <w:spacing w:after="160"/>
      </w:pPr>
      <w:r>
        <w:t xml:space="preserve"/>
      </w:r>
    </w:p>
    <w:p>
      <w:pPr>
        <w:spacing w:after="160"/>
      </w:pPr>
      <w:r>
        <w:t xml:space="preserve">Rates above are effective for bookings made on or before 30 September 2025 and are subject to periodic revision as construction progresses. Corner units and units facing the central landscaped courtyard carry an additional premium as detailed in Section 3.</w:t>
      </w:r>
    </w:p>
    <w:p>
      <w:pPr>
        <w:pStyle w:val="Heading1"/>
        <w:spacing w:after="120" w:before="240"/>
      </w:pPr>
      <w:r>
        <w:t xml:space="preserve">3. Floor Rise and Positional Premiums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400"/>
      </w:tblGrid>
      <w:tr>
        <w:tc>
          <w:tcPr>
            <w:tcW w:type="dxa" w:w="3200"/>
            <w:shd w:fill="1F4E5F" w:color="auto" w:val="clear"/>
            <w:tcMar>
              <w:top w:type="dxa" w:w="70"/>
              <w:left w:type="dxa" w:w="90"/>
              <w:bottom w:type="dxa" w:w="70"/>
              <w:right w:type="dxa" w:w="90"/>
            </w:tcMar>
          </w:tcPr>
          <w:p>
            <w:r>
              <w:rPr>
                <w:b/>
                <w:bCs/>
                <w:color w:val="FFFFFF"/>
                <w:sz w:val="19"/>
                <w:szCs w:val="19"/>
              </w:rPr>
              <w:t xml:space="preserve">Category</w:t>
            </w:r>
          </w:p>
        </w:tc>
        <w:tc>
          <w:tcPr>
            <w:tcW w:type="dxa" w:w="2200"/>
            <w:shd w:fill="1F4E5F" w:color="auto" w:val="clear"/>
            <w:tcMar>
              <w:top w:type="dxa" w:w="70"/>
              <w:left w:type="dxa" w:w="90"/>
              <w:bottom w:type="dxa" w:w="70"/>
              <w:right w:type="dxa" w:w="90"/>
            </w:tcMar>
          </w:tcPr>
          <w:p>
            <w:r>
              <w:rPr>
                <w:b/>
                <w:bCs/>
                <w:color w:val="FFFFFF"/>
                <w:sz w:val="19"/>
                <w:szCs w:val="19"/>
              </w:rPr>
              <w:t xml:space="preserve">Premium</w:t>
            </w:r>
          </w:p>
        </w:tc>
        <w:tc>
          <w:tcPr>
            <w:tcW w:type="dxa" w:w="4400"/>
            <w:shd w:fill="1F4E5F" w:color="auto" w:val="clear"/>
            <w:tcMar>
              <w:top w:type="dxa" w:w="70"/>
              <w:left w:type="dxa" w:w="90"/>
              <w:bottom w:type="dxa" w:w="70"/>
              <w:right w:type="dxa" w:w="90"/>
            </w:tcMar>
          </w:tcPr>
          <w:p>
            <w:r>
              <w:rPr>
                <w:b/>
                <w:bCs/>
                <w:color w:val="FFFFFF"/>
                <w:sz w:val="19"/>
                <w:szCs w:val="19"/>
              </w:rPr>
              <w:t xml:space="preserve">Applicability</w:t>
            </w:r>
          </w:p>
        </w:tc>
      </w:tr>
      <w:tr>
        <w:tc>
          <w:tcPr>
            <w:tcW w:type="dxa" w:w="3200"/>
            <w:tcMar>
              <w:top w:type="dxa" w:w="70"/>
              <w:left w:type="dxa" w:w="90"/>
              <w:bottom w:type="dxa" w:w="70"/>
              <w:right w:type="dxa" w:w="90"/>
            </w:tcMar>
          </w:tcPr>
          <w:p>
            <w:r>
              <w:rPr>
                <w:b w:val="false"/>
                <w:bCs w:val="false"/>
                <w:color w:val="000000"/>
                <w:sz w:val="19"/>
                <w:szCs w:val="19"/>
              </w:rPr>
              <w:t xml:space="preserve">Floor rise (Floors 1–10)</w:t>
            </w:r>
          </w:p>
        </w:tc>
        <w:tc>
          <w:tcPr>
            <w:tcW w:type="dxa" w:w="2200"/>
            <w:tcMar>
              <w:top w:type="dxa" w:w="70"/>
              <w:left w:type="dxa" w:w="90"/>
              <w:bottom w:type="dxa" w:w="70"/>
              <w:right w:type="dxa" w:w="90"/>
            </w:tcMar>
          </w:tcPr>
          <w:p>
            <w:r>
              <w:rPr>
                <w:b w:val="false"/>
                <w:bCs w:val="false"/>
                <w:color w:val="000000"/>
                <w:sz w:val="19"/>
                <w:szCs w:val="19"/>
              </w:rPr>
              <w:t xml:space="preserve">₹40/sq.ft per floor</w:t>
            </w:r>
          </w:p>
        </w:tc>
        <w:tc>
          <w:tcPr>
            <w:tcW w:type="dxa" w:w="4400"/>
            <w:tcMar>
              <w:top w:type="dxa" w:w="70"/>
              <w:left w:type="dxa" w:w="90"/>
              <w:bottom w:type="dxa" w:w="70"/>
              <w:right w:type="dxa" w:w="90"/>
            </w:tcMar>
          </w:tcPr>
          <w:p>
            <w:r>
              <w:rPr>
                <w:b w:val="false"/>
                <w:bCs w:val="false"/>
                <w:color w:val="000000"/>
                <w:sz w:val="19"/>
                <w:szCs w:val="19"/>
              </w:rPr>
              <w:t xml:space="preserve">Applied cumulatively from the 2nd floor</w:t>
            </w:r>
          </w:p>
        </w:tc>
      </w:tr>
      <w:tr>
        <w:tc>
          <w:tcPr>
            <w:tcW w:type="dxa" w:w="3200"/>
            <w:tcMar>
              <w:top w:type="dxa" w:w="70"/>
              <w:left w:type="dxa" w:w="90"/>
              <w:bottom w:type="dxa" w:w="70"/>
              <w:right w:type="dxa" w:w="90"/>
            </w:tcMar>
          </w:tcPr>
          <w:p>
            <w:r>
              <w:rPr>
                <w:b w:val="false"/>
                <w:bCs w:val="false"/>
                <w:color w:val="000000"/>
                <w:sz w:val="19"/>
                <w:szCs w:val="19"/>
              </w:rPr>
              <w:t xml:space="preserve">Floor rise (Floors 11–22)</w:t>
            </w:r>
          </w:p>
        </w:tc>
        <w:tc>
          <w:tcPr>
            <w:tcW w:type="dxa" w:w="2200"/>
            <w:tcMar>
              <w:top w:type="dxa" w:w="70"/>
              <w:left w:type="dxa" w:w="90"/>
              <w:bottom w:type="dxa" w:w="70"/>
              <w:right w:type="dxa" w:w="90"/>
            </w:tcMar>
          </w:tcPr>
          <w:p>
            <w:r>
              <w:rPr>
                <w:b w:val="false"/>
                <w:bCs w:val="false"/>
                <w:color w:val="000000"/>
                <w:sz w:val="19"/>
                <w:szCs w:val="19"/>
              </w:rPr>
              <w:t xml:space="preserve">₹55/sq.ft per floor</w:t>
            </w:r>
          </w:p>
        </w:tc>
        <w:tc>
          <w:tcPr>
            <w:tcW w:type="dxa" w:w="4400"/>
            <w:tcMar>
              <w:top w:type="dxa" w:w="70"/>
              <w:left w:type="dxa" w:w="90"/>
              <w:bottom w:type="dxa" w:w="70"/>
              <w:right w:type="dxa" w:w="90"/>
            </w:tcMar>
          </w:tcPr>
          <w:p>
            <w:r>
              <w:rPr>
                <w:b w:val="false"/>
                <w:bCs w:val="false"/>
                <w:color w:val="000000"/>
                <w:sz w:val="19"/>
                <w:szCs w:val="19"/>
              </w:rPr>
              <w:t xml:space="preserve">Applied cumulatively above the 10th floor</w:t>
            </w:r>
          </w:p>
        </w:tc>
      </w:tr>
      <w:tr>
        <w:tc>
          <w:tcPr>
            <w:tcW w:type="dxa" w:w="3200"/>
            <w:tcMar>
              <w:top w:type="dxa" w:w="70"/>
              <w:left w:type="dxa" w:w="90"/>
              <w:bottom w:type="dxa" w:w="70"/>
              <w:right w:type="dxa" w:w="90"/>
            </w:tcMar>
          </w:tcPr>
          <w:p>
            <w:r>
              <w:rPr>
                <w:b w:val="false"/>
                <w:bCs w:val="false"/>
                <w:color w:val="000000"/>
                <w:sz w:val="19"/>
                <w:szCs w:val="19"/>
              </w:rPr>
              <w:t xml:space="preserve">Corner unit premium</w:t>
            </w:r>
          </w:p>
        </w:tc>
        <w:tc>
          <w:tcPr>
            <w:tcW w:type="dxa" w:w="2200"/>
            <w:tcMar>
              <w:top w:type="dxa" w:w="70"/>
              <w:left w:type="dxa" w:w="90"/>
              <w:bottom w:type="dxa" w:w="70"/>
              <w:right w:type="dxa" w:w="90"/>
            </w:tcMar>
          </w:tcPr>
          <w:p>
            <w:r>
              <w:rPr>
                <w:b w:val="false"/>
                <w:bCs w:val="false"/>
                <w:color w:val="000000"/>
                <w:sz w:val="19"/>
                <w:szCs w:val="19"/>
              </w:rPr>
              <w:t xml:space="preserve">₹1,50,000 flat</w:t>
            </w:r>
          </w:p>
        </w:tc>
        <w:tc>
          <w:tcPr>
            <w:tcW w:type="dxa" w:w="4400"/>
            <w:tcMar>
              <w:top w:type="dxa" w:w="70"/>
              <w:left w:type="dxa" w:w="90"/>
              <w:bottom w:type="dxa" w:w="70"/>
              <w:right w:type="dxa" w:w="90"/>
            </w:tcMar>
          </w:tcPr>
          <w:p>
            <w:r>
              <w:rPr>
                <w:b w:val="false"/>
                <w:bCs w:val="false"/>
                <w:color w:val="000000"/>
                <w:sz w:val="19"/>
                <w:szCs w:val="19"/>
              </w:rPr>
              <w:t xml:space="preserve">Units with dual-aspect corner exposure</w:t>
            </w:r>
          </w:p>
        </w:tc>
      </w:tr>
      <w:tr>
        <w:tc>
          <w:tcPr>
            <w:tcW w:type="dxa" w:w="3200"/>
            <w:tcMar>
              <w:top w:type="dxa" w:w="70"/>
              <w:left w:type="dxa" w:w="90"/>
              <w:bottom w:type="dxa" w:w="70"/>
              <w:right w:type="dxa" w:w="90"/>
            </w:tcMar>
          </w:tcPr>
          <w:p>
            <w:r>
              <w:rPr>
                <w:b w:val="false"/>
                <w:bCs w:val="false"/>
                <w:color w:val="000000"/>
                <w:sz w:val="19"/>
                <w:szCs w:val="19"/>
              </w:rPr>
              <w:t xml:space="preserve">Courtyard-facing premium</w:t>
            </w:r>
          </w:p>
        </w:tc>
        <w:tc>
          <w:tcPr>
            <w:tcW w:type="dxa" w:w="2200"/>
            <w:tcMar>
              <w:top w:type="dxa" w:w="70"/>
              <w:left w:type="dxa" w:w="90"/>
              <w:bottom w:type="dxa" w:w="70"/>
              <w:right w:type="dxa" w:w="90"/>
            </w:tcMar>
          </w:tcPr>
          <w:p>
            <w:r>
              <w:rPr>
                <w:b w:val="false"/>
                <w:bCs w:val="false"/>
                <w:color w:val="000000"/>
                <w:sz w:val="19"/>
                <w:szCs w:val="19"/>
              </w:rPr>
              <w:t xml:space="preserve">₹2,25,000 flat</w:t>
            </w:r>
          </w:p>
        </w:tc>
        <w:tc>
          <w:tcPr>
            <w:tcW w:type="dxa" w:w="4400"/>
            <w:tcMar>
              <w:top w:type="dxa" w:w="70"/>
              <w:left w:type="dxa" w:w="90"/>
              <w:bottom w:type="dxa" w:w="70"/>
              <w:right w:type="dxa" w:w="90"/>
            </w:tcMar>
          </w:tcPr>
          <w:p>
            <w:r>
              <w:rPr>
                <w:b w:val="false"/>
                <w:bCs w:val="false"/>
                <w:color w:val="000000"/>
                <w:sz w:val="19"/>
                <w:szCs w:val="19"/>
              </w:rPr>
              <w:t xml:space="preserve">Units facing the central landscaped courtyard and pool</w:t>
            </w:r>
          </w:p>
        </w:tc>
      </w:tr>
      <w:tr>
        <w:tc>
          <w:tcPr>
            <w:tcW w:type="dxa" w:w="3200"/>
            <w:tcMar>
              <w:top w:type="dxa" w:w="70"/>
              <w:left w:type="dxa" w:w="90"/>
              <w:bottom w:type="dxa" w:w="70"/>
              <w:right w:type="dxa" w:w="90"/>
            </w:tcMar>
          </w:tcPr>
          <w:p>
            <w:r>
              <w:rPr>
                <w:b w:val="false"/>
                <w:bCs w:val="false"/>
                <w:color w:val="000000"/>
                <w:sz w:val="19"/>
                <w:szCs w:val="19"/>
              </w:rPr>
              <w:t xml:space="preserve">Park-facing premium (Tower A only)</w:t>
            </w:r>
          </w:p>
        </w:tc>
        <w:tc>
          <w:tcPr>
            <w:tcW w:type="dxa" w:w="2200"/>
            <w:tcMar>
              <w:top w:type="dxa" w:w="70"/>
              <w:left w:type="dxa" w:w="90"/>
              <w:bottom w:type="dxa" w:w="70"/>
              <w:right w:type="dxa" w:w="90"/>
            </w:tcMar>
          </w:tcPr>
          <w:p>
            <w:r>
              <w:rPr>
                <w:b w:val="false"/>
                <w:bCs w:val="false"/>
                <w:color w:val="000000"/>
                <w:sz w:val="19"/>
                <w:szCs w:val="19"/>
              </w:rPr>
              <w:t xml:space="preserve">₹3,00,000 flat</w:t>
            </w:r>
          </w:p>
        </w:tc>
        <w:tc>
          <w:tcPr>
            <w:tcW w:type="dxa" w:w="4400"/>
            <w:tcMar>
              <w:top w:type="dxa" w:w="70"/>
              <w:left w:type="dxa" w:w="90"/>
              <w:bottom w:type="dxa" w:w="70"/>
              <w:right w:type="dxa" w:w="90"/>
            </w:tcMar>
          </w:tcPr>
          <w:p>
            <w:r>
              <w:rPr>
                <w:b w:val="false"/>
                <w:bCs w:val="false"/>
                <w:color w:val="000000"/>
                <w:sz w:val="19"/>
                <w:szCs w:val="19"/>
              </w:rPr>
              <w:t xml:space="preserve">West-facing units on Tower A overlooking the adjacent park</w:t>
            </w:r>
          </w:p>
        </w:tc>
      </w:tr>
    </w:tbl>
    <w:p>
      <w:pPr>
        <w:pStyle w:val="Heading1"/>
        <w:spacing w:after="120" w:before="240"/>
      </w:pPr>
      <w:r>
        <w:t xml:space="preserve">4. Payment Schedule (Construction-Linked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400"/>
      </w:tblGrid>
      <w:tr>
        <w:tc>
          <w:tcPr>
            <w:tcW w:type="dxa" w:w="3200"/>
            <w:shd w:fill="1F4E5F" w:color="auto" w:val="clear"/>
            <w:tcMar>
              <w:top w:type="dxa" w:w="70"/>
              <w:left w:type="dxa" w:w="90"/>
              <w:bottom w:type="dxa" w:w="70"/>
              <w:right w:type="dxa" w:w="90"/>
            </w:tcMar>
          </w:tcPr>
          <w:p>
            <w:r>
              <w:rPr>
                <w:b/>
                <w:bCs/>
                <w:color w:val="FFFFFF"/>
                <w:sz w:val="19"/>
                <w:szCs w:val="19"/>
              </w:rPr>
              <w:t xml:space="preserve">Milestone</w:t>
            </w:r>
          </w:p>
        </w:tc>
        <w:tc>
          <w:tcPr>
            <w:tcW w:type="dxa" w:w="2200"/>
            <w:shd w:fill="1F4E5F" w:color="auto" w:val="clear"/>
            <w:tcMar>
              <w:top w:type="dxa" w:w="70"/>
              <w:left w:type="dxa" w:w="90"/>
              <w:bottom w:type="dxa" w:w="70"/>
              <w:right w:type="dxa" w:w="90"/>
            </w:tcMar>
          </w:tcPr>
          <w:p>
            <w:r>
              <w:rPr>
                <w:b/>
                <w:bCs/>
                <w:color w:val="FFFFFF"/>
                <w:sz w:val="19"/>
                <w:szCs w:val="19"/>
              </w:rPr>
              <w:t xml:space="preserve">% of Total Cost</w:t>
            </w:r>
          </w:p>
        </w:tc>
        <w:tc>
          <w:tcPr>
            <w:tcW w:type="dxa" w:w="4400"/>
            <w:shd w:fill="1F4E5F" w:color="auto" w:val="clear"/>
            <w:tcMar>
              <w:top w:type="dxa" w:w="70"/>
              <w:left w:type="dxa" w:w="90"/>
              <w:bottom w:type="dxa" w:w="70"/>
              <w:right w:type="dxa" w:w="90"/>
            </w:tcMar>
          </w:tcPr>
          <w:p>
            <w:r>
              <w:rPr>
                <w:b/>
                <w:bCs/>
                <w:color w:val="FFFFFF"/>
                <w:sz w:val="19"/>
                <w:szCs w:val="19"/>
              </w:rPr>
              <w:t xml:space="preserve">Notes</w:t>
            </w:r>
          </w:p>
        </w:tc>
      </w:tr>
      <w:tr>
        <w:tc>
          <w:tcPr>
            <w:tcW w:type="dxa" w:w="3200"/>
            <w:tcMar>
              <w:top w:type="dxa" w:w="70"/>
              <w:left w:type="dxa" w:w="90"/>
              <w:bottom w:type="dxa" w:w="70"/>
              <w:right w:type="dxa" w:w="90"/>
            </w:tcMar>
          </w:tcPr>
          <w:p>
            <w:r>
              <w:rPr>
                <w:b w:val="false"/>
                <w:bCs w:val="false"/>
                <w:color w:val="000000"/>
                <w:sz w:val="19"/>
                <w:szCs w:val="19"/>
              </w:rPr>
              <w:t xml:space="preserve">Booking amount</w:t>
            </w:r>
          </w:p>
        </w:tc>
        <w:tc>
          <w:tcPr>
            <w:tcW w:type="dxa" w:w="2200"/>
            <w:tcMar>
              <w:top w:type="dxa" w:w="70"/>
              <w:left w:type="dxa" w:w="90"/>
              <w:bottom w:type="dxa" w:w="70"/>
              <w:right w:type="dxa" w:w="90"/>
            </w:tcMar>
          </w:tcPr>
          <w:p>
            <w:r>
              <w:rPr>
                <w:b w:val="false"/>
                <w:bCs w:val="false"/>
                <w:color w:val="000000"/>
                <w:sz w:val="19"/>
                <w:szCs w:val="19"/>
              </w:rPr>
              <w:t xml:space="preserve">10%</w:t>
            </w:r>
          </w:p>
        </w:tc>
        <w:tc>
          <w:tcPr>
            <w:tcW w:type="dxa" w:w="4400"/>
            <w:tcMar>
              <w:top w:type="dxa" w:w="70"/>
              <w:left w:type="dxa" w:w="90"/>
              <w:bottom w:type="dxa" w:w="70"/>
              <w:right w:type="dxa" w:w="90"/>
            </w:tcMar>
          </w:tcPr>
          <w:p>
            <w:r>
              <w:rPr>
                <w:b w:val="false"/>
                <w:bCs w:val="false"/>
                <w:color w:val="000000"/>
                <w:sz w:val="19"/>
                <w:szCs w:val="19"/>
              </w:rPr>
              <w:t xml:space="preserve">Payable at the time of unit booking, non-adjustable against GST</w:t>
            </w:r>
          </w:p>
        </w:tc>
      </w:tr>
      <w:tr>
        <w:tc>
          <w:tcPr>
            <w:tcW w:type="dxa" w:w="3200"/>
            <w:tcMar>
              <w:top w:type="dxa" w:w="70"/>
              <w:left w:type="dxa" w:w="90"/>
              <w:bottom w:type="dxa" w:w="70"/>
              <w:right w:type="dxa" w:w="90"/>
            </w:tcMar>
          </w:tcPr>
          <w:p>
            <w:r>
              <w:rPr>
                <w:b w:val="false"/>
                <w:bCs w:val="false"/>
                <w:color w:val="000000"/>
                <w:sz w:val="19"/>
                <w:szCs w:val="19"/>
              </w:rPr>
              <w:t xml:space="preserve">Agreement of sale</w:t>
            </w:r>
          </w:p>
        </w:tc>
        <w:tc>
          <w:tcPr>
            <w:tcW w:type="dxa" w:w="2200"/>
            <w:tcMar>
              <w:top w:type="dxa" w:w="70"/>
              <w:left w:type="dxa" w:w="90"/>
              <w:bottom w:type="dxa" w:w="70"/>
              <w:right w:type="dxa" w:w="90"/>
            </w:tcMar>
          </w:tcPr>
          <w:p>
            <w:r>
              <w:rPr>
                <w:b w:val="false"/>
                <w:bCs w:val="false"/>
                <w:color w:val="000000"/>
                <w:sz w:val="19"/>
                <w:szCs w:val="19"/>
              </w:rPr>
              <w:t xml:space="preserve">15%</w:t>
            </w:r>
          </w:p>
        </w:tc>
        <w:tc>
          <w:tcPr>
            <w:tcW w:type="dxa" w:w="4400"/>
            <w:tcMar>
              <w:top w:type="dxa" w:w="70"/>
              <w:left w:type="dxa" w:w="90"/>
              <w:bottom w:type="dxa" w:w="70"/>
              <w:right w:type="dxa" w:w="90"/>
            </w:tcMar>
          </w:tcPr>
          <w:p>
            <w:r>
              <w:rPr>
                <w:b w:val="false"/>
                <w:bCs w:val="false"/>
                <w:color w:val="000000"/>
                <w:sz w:val="19"/>
                <w:szCs w:val="19"/>
              </w:rPr>
              <w:t xml:space="preserve">Within 30 days of booking</w:t>
            </w:r>
          </w:p>
        </w:tc>
      </w:tr>
      <w:tr>
        <w:tc>
          <w:tcPr>
            <w:tcW w:type="dxa" w:w="3200"/>
            <w:tcMar>
              <w:top w:type="dxa" w:w="70"/>
              <w:left w:type="dxa" w:w="90"/>
              <w:bottom w:type="dxa" w:w="70"/>
              <w:right w:type="dxa" w:w="90"/>
            </w:tcMar>
          </w:tcPr>
          <w:p>
            <w:r>
              <w:rPr>
                <w:b w:val="false"/>
                <w:bCs w:val="false"/>
                <w:color w:val="000000"/>
                <w:sz w:val="19"/>
                <w:szCs w:val="19"/>
              </w:rPr>
              <w:t xml:space="preserve">Completion of foundation</w:t>
            </w:r>
          </w:p>
        </w:tc>
        <w:tc>
          <w:tcPr>
            <w:tcW w:type="dxa" w:w="2200"/>
            <w:tcMar>
              <w:top w:type="dxa" w:w="70"/>
              <w:left w:type="dxa" w:w="90"/>
              <w:bottom w:type="dxa" w:w="70"/>
              <w:right w:type="dxa" w:w="90"/>
            </w:tcMar>
          </w:tcPr>
          <w:p>
            <w:r>
              <w:rPr>
                <w:b w:val="false"/>
                <w:bCs w:val="false"/>
                <w:color w:val="000000"/>
                <w:sz w:val="19"/>
                <w:szCs w:val="19"/>
              </w:rPr>
              <w:t xml:space="preserve">10%</w:t>
            </w:r>
          </w:p>
        </w:tc>
        <w:tc>
          <w:tcPr>
            <w:tcW w:type="dxa" w:w="4400"/>
            <w:tcMar>
              <w:top w:type="dxa" w:w="70"/>
              <w:left w:type="dxa" w:w="90"/>
              <w:bottom w:type="dxa" w:w="70"/>
              <w:right w:type="dxa" w:w="90"/>
            </w:tcMar>
          </w:tcPr>
          <w:p>
            <w:r>
              <w:rPr>
                <w:b w:val="false"/>
                <w:bCs w:val="false"/>
                <w:color w:val="000000"/>
                <w:sz w:val="19"/>
                <w:szCs w:val="19"/>
              </w:rPr>
              <w:t xml:space="preserve"/>
            </w:r>
          </w:p>
        </w:tc>
      </w:tr>
      <w:tr>
        <w:tc>
          <w:tcPr>
            <w:tcW w:type="dxa" w:w="3200"/>
            <w:tcMar>
              <w:top w:type="dxa" w:w="70"/>
              <w:left w:type="dxa" w:w="90"/>
              <w:bottom w:type="dxa" w:w="70"/>
              <w:right w:type="dxa" w:w="90"/>
            </w:tcMar>
          </w:tcPr>
          <w:p>
            <w:r>
              <w:rPr>
                <w:b w:val="false"/>
                <w:bCs w:val="false"/>
                <w:color w:val="000000"/>
                <w:sz w:val="19"/>
                <w:szCs w:val="19"/>
              </w:rPr>
              <w:t xml:space="preserve">Completion of plinth</w:t>
            </w:r>
          </w:p>
        </w:tc>
        <w:tc>
          <w:tcPr>
            <w:tcW w:type="dxa" w:w="2200"/>
            <w:tcMar>
              <w:top w:type="dxa" w:w="70"/>
              <w:left w:type="dxa" w:w="90"/>
              <w:bottom w:type="dxa" w:w="70"/>
              <w:right w:type="dxa" w:w="90"/>
            </w:tcMar>
          </w:tcPr>
          <w:p>
            <w:r>
              <w:rPr>
                <w:b w:val="false"/>
                <w:bCs w:val="false"/>
                <w:color w:val="000000"/>
                <w:sz w:val="19"/>
                <w:szCs w:val="19"/>
              </w:rPr>
              <w:t xml:space="preserve">10%</w:t>
            </w:r>
          </w:p>
        </w:tc>
        <w:tc>
          <w:tcPr>
            <w:tcW w:type="dxa" w:w="4400"/>
            <w:tcMar>
              <w:top w:type="dxa" w:w="70"/>
              <w:left w:type="dxa" w:w="90"/>
              <w:bottom w:type="dxa" w:w="70"/>
              <w:right w:type="dxa" w:w="90"/>
            </w:tcMar>
          </w:tcPr>
          <w:p>
            <w:r>
              <w:rPr>
                <w:b w:val="false"/>
                <w:bCs w:val="false"/>
                <w:color w:val="000000"/>
                <w:sz w:val="19"/>
                <w:szCs w:val="19"/>
              </w:rPr>
              <w:t xml:space="preserve"/>
            </w:r>
          </w:p>
        </w:tc>
      </w:tr>
      <w:tr>
        <w:tc>
          <w:tcPr>
            <w:tcW w:type="dxa" w:w="3200"/>
            <w:tcMar>
              <w:top w:type="dxa" w:w="70"/>
              <w:left w:type="dxa" w:w="90"/>
              <w:bottom w:type="dxa" w:w="70"/>
              <w:right w:type="dxa" w:w="90"/>
            </w:tcMar>
          </w:tcPr>
          <w:p>
            <w:r>
              <w:rPr>
                <w:b w:val="false"/>
                <w:bCs w:val="false"/>
                <w:color w:val="000000"/>
                <w:sz w:val="19"/>
                <w:szCs w:val="19"/>
              </w:rPr>
              <w:t xml:space="preserve">Completion of 10th floor slab</w:t>
            </w:r>
          </w:p>
        </w:tc>
        <w:tc>
          <w:tcPr>
            <w:tcW w:type="dxa" w:w="2200"/>
            <w:tcMar>
              <w:top w:type="dxa" w:w="70"/>
              <w:left w:type="dxa" w:w="90"/>
              <w:bottom w:type="dxa" w:w="70"/>
              <w:right w:type="dxa" w:w="90"/>
            </w:tcMar>
          </w:tcPr>
          <w:p>
            <w:r>
              <w:rPr>
                <w:b w:val="false"/>
                <w:bCs w:val="false"/>
                <w:color w:val="000000"/>
                <w:sz w:val="19"/>
                <w:szCs w:val="19"/>
              </w:rPr>
              <w:t xml:space="preserve">15%</w:t>
            </w:r>
          </w:p>
        </w:tc>
        <w:tc>
          <w:tcPr>
            <w:tcW w:type="dxa" w:w="4400"/>
            <w:tcMar>
              <w:top w:type="dxa" w:w="70"/>
              <w:left w:type="dxa" w:w="90"/>
              <w:bottom w:type="dxa" w:w="70"/>
              <w:right w:type="dxa" w:w="90"/>
            </w:tcMar>
          </w:tcPr>
          <w:p>
            <w:r>
              <w:rPr>
                <w:b w:val="false"/>
                <w:bCs w:val="false"/>
                <w:color w:val="000000"/>
                <w:sz w:val="19"/>
                <w:szCs w:val="19"/>
              </w:rPr>
              <w:t xml:space="preserve"/>
            </w:r>
          </w:p>
        </w:tc>
      </w:tr>
      <w:tr>
        <w:tc>
          <w:tcPr>
            <w:tcW w:type="dxa" w:w="3200"/>
            <w:tcMar>
              <w:top w:type="dxa" w:w="70"/>
              <w:left w:type="dxa" w:w="90"/>
              <w:bottom w:type="dxa" w:w="70"/>
              <w:right w:type="dxa" w:w="90"/>
            </w:tcMar>
          </w:tcPr>
          <w:p>
            <w:r>
              <w:rPr>
                <w:b w:val="false"/>
                <w:bCs w:val="false"/>
                <w:color w:val="000000"/>
                <w:sz w:val="19"/>
                <w:szCs w:val="19"/>
              </w:rPr>
              <w:t xml:space="preserve">Completion of terrace slab</w:t>
            </w:r>
          </w:p>
        </w:tc>
        <w:tc>
          <w:tcPr>
            <w:tcW w:type="dxa" w:w="2200"/>
            <w:tcMar>
              <w:top w:type="dxa" w:w="70"/>
              <w:left w:type="dxa" w:w="90"/>
              <w:bottom w:type="dxa" w:w="70"/>
              <w:right w:type="dxa" w:w="90"/>
            </w:tcMar>
          </w:tcPr>
          <w:p>
            <w:r>
              <w:rPr>
                <w:b w:val="false"/>
                <w:bCs w:val="false"/>
                <w:color w:val="000000"/>
                <w:sz w:val="19"/>
                <w:szCs w:val="19"/>
              </w:rPr>
              <w:t xml:space="preserve">15%</w:t>
            </w:r>
          </w:p>
        </w:tc>
        <w:tc>
          <w:tcPr>
            <w:tcW w:type="dxa" w:w="4400"/>
            <w:tcMar>
              <w:top w:type="dxa" w:w="70"/>
              <w:left w:type="dxa" w:w="90"/>
              <w:bottom w:type="dxa" w:w="70"/>
              <w:right w:type="dxa" w:w="90"/>
            </w:tcMar>
          </w:tcPr>
          <w:p>
            <w:r>
              <w:rPr>
                <w:b w:val="false"/>
                <w:bCs w:val="false"/>
                <w:color w:val="000000"/>
                <w:sz w:val="19"/>
                <w:szCs w:val="19"/>
              </w:rPr>
              <w:t xml:space="preserve"/>
            </w:r>
          </w:p>
        </w:tc>
      </w:tr>
      <w:tr>
        <w:tc>
          <w:tcPr>
            <w:tcW w:type="dxa" w:w="3200"/>
            <w:tcMar>
              <w:top w:type="dxa" w:w="70"/>
              <w:left w:type="dxa" w:w="90"/>
              <w:bottom w:type="dxa" w:w="70"/>
              <w:right w:type="dxa" w:w="90"/>
            </w:tcMar>
          </w:tcPr>
          <w:p>
            <w:r>
              <w:rPr>
                <w:b w:val="false"/>
                <w:bCs w:val="false"/>
                <w:color w:val="000000"/>
                <w:sz w:val="19"/>
                <w:szCs w:val="19"/>
              </w:rPr>
              <w:t xml:space="preserve">Completion of external plastering &amp; flooring</w:t>
            </w:r>
          </w:p>
        </w:tc>
        <w:tc>
          <w:tcPr>
            <w:tcW w:type="dxa" w:w="2200"/>
            <w:tcMar>
              <w:top w:type="dxa" w:w="70"/>
              <w:left w:type="dxa" w:w="90"/>
              <w:bottom w:type="dxa" w:w="70"/>
              <w:right w:type="dxa" w:w="90"/>
            </w:tcMar>
          </w:tcPr>
          <w:p>
            <w:r>
              <w:rPr>
                <w:b w:val="false"/>
                <w:bCs w:val="false"/>
                <w:color w:val="000000"/>
                <w:sz w:val="19"/>
                <w:szCs w:val="19"/>
              </w:rPr>
              <w:t xml:space="preserve">10%</w:t>
            </w:r>
          </w:p>
        </w:tc>
        <w:tc>
          <w:tcPr>
            <w:tcW w:type="dxa" w:w="4400"/>
            <w:tcMar>
              <w:top w:type="dxa" w:w="70"/>
              <w:left w:type="dxa" w:w="90"/>
              <w:bottom w:type="dxa" w:w="70"/>
              <w:right w:type="dxa" w:w="90"/>
            </w:tcMar>
          </w:tcPr>
          <w:p>
            <w:r>
              <w:rPr>
                <w:b w:val="false"/>
                <w:bCs w:val="false"/>
                <w:color w:val="000000"/>
                <w:sz w:val="19"/>
                <w:szCs w:val="19"/>
              </w:rPr>
              <w:t xml:space="preserve"/>
            </w:r>
          </w:p>
        </w:tc>
      </w:tr>
      <w:tr>
        <w:tc>
          <w:tcPr>
            <w:tcW w:type="dxa" w:w="3200"/>
            <w:tcMar>
              <w:top w:type="dxa" w:w="70"/>
              <w:left w:type="dxa" w:w="90"/>
              <w:bottom w:type="dxa" w:w="70"/>
              <w:right w:type="dxa" w:w="90"/>
            </w:tcMar>
          </w:tcPr>
          <w:p>
            <w:r>
              <w:rPr>
                <w:b w:val="false"/>
                <w:bCs w:val="false"/>
                <w:color w:val="000000"/>
                <w:sz w:val="19"/>
                <w:szCs w:val="19"/>
              </w:rPr>
              <w:t xml:space="preserve">On offer of possession</w:t>
            </w:r>
          </w:p>
        </w:tc>
        <w:tc>
          <w:tcPr>
            <w:tcW w:type="dxa" w:w="2200"/>
            <w:tcMar>
              <w:top w:type="dxa" w:w="70"/>
              <w:left w:type="dxa" w:w="90"/>
              <w:bottom w:type="dxa" w:w="70"/>
              <w:right w:type="dxa" w:w="90"/>
            </w:tcMar>
          </w:tcPr>
          <w:p>
            <w:r>
              <w:rPr>
                <w:b w:val="false"/>
                <w:bCs w:val="false"/>
                <w:color w:val="000000"/>
                <w:sz w:val="19"/>
                <w:szCs w:val="19"/>
              </w:rPr>
              <w:t xml:space="preserve">15%</w:t>
            </w:r>
          </w:p>
        </w:tc>
        <w:tc>
          <w:tcPr>
            <w:tcW w:type="dxa" w:w="4400"/>
            <w:tcMar>
              <w:top w:type="dxa" w:w="70"/>
              <w:left w:type="dxa" w:w="90"/>
              <w:bottom w:type="dxa" w:w="70"/>
              <w:right w:type="dxa" w:w="90"/>
            </w:tcMar>
          </w:tcPr>
          <w:p>
            <w:r>
              <w:rPr>
                <w:b w:val="false"/>
                <w:bCs w:val="false"/>
                <w:color w:val="000000"/>
                <w:sz w:val="19"/>
                <w:szCs w:val="19"/>
              </w:rPr>
              <w:t xml:space="preserve">Includes handover of registration documents and keys</w:t>
            </w:r>
          </w:p>
        </w:tc>
      </w:tr>
    </w:tbl>
    <w:p>
      <w:pPr>
        <w:pStyle w:val="Heading1"/>
        <w:spacing w:after="120" w:before="240"/>
      </w:pPr>
      <w:r>
        <w:t xml:space="preserve">5. Additional Charges (Payable Separately)</w:t>
      </w:r>
    </w:p>
    <w:p>
      <w:pPr>
        <w:pStyle w:val="ListParagraph"/>
        <w:numPr>
          <w:ilvl w:val="0"/>
          <w:numId w:val="2"/>
        </w:numPr>
        <w:spacing w:after="80"/>
      </w:pPr>
      <w:r>
        <w:t xml:space="preserve">Covered car parking (1 slot): ₹4,50,000; additional slot (subject to availability): ₹5,50,000</w:t>
      </w:r>
    </w:p>
    <w:p>
      <w:pPr>
        <w:pStyle w:val="ListParagraph"/>
        <w:numPr>
          <w:ilvl w:val="0"/>
          <w:numId w:val="2"/>
        </w:numPr>
        <w:spacing w:after="80"/>
      </w:pPr>
      <w:r>
        <w:t xml:space="preserve">Clubhouse membership (one-time): ₹2,00,000 per unit</w:t>
      </w:r>
    </w:p>
    <w:p>
      <w:pPr>
        <w:pStyle w:val="ListParagraph"/>
        <w:numPr>
          <w:ilvl w:val="0"/>
          <w:numId w:val="2"/>
        </w:numPr>
        <w:spacing w:after="80"/>
      </w:pPr>
      <w:r>
        <w:t xml:space="preserve">Corpus fund (one-time, refundable to the association at handover): ₹1,00,000 per unit</w:t>
      </w:r>
    </w:p>
    <w:p>
      <w:pPr>
        <w:pStyle w:val="ListParagraph"/>
        <w:numPr>
          <w:ilvl w:val="0"/>
          <w:numId w:val="2"/>
        </w:numPr>
        <w:spacing w:after="80"/>
      </w:pPr>
      <w:r>
        <w:t xml:space="preserve">Maintenance advance (12 months, adjustable against future dues): ₹36,000 for 2BHK, ₹48,000 for 3BHK/3BHK+Study, ₹60,000 for 4BHK</w:t>
      </w:r>
    </w:p>
    <w:p>
      <w:pPr>
        <w:pStyle w:val="ListParagraph"/>
        <w:numPr>
          <w:ilvl w:val="0"/>
          <w:numId w:val="2"/>
        </w:numPr>
        <w:spacing w:after="80"/>
      </w:pPr>
      <w:r>
        <w:t xml:space="preserve">GST as applicable under prevailing law at the time of each payment milestone</w:t>
      </w:r>
    </w:p>
    <w:p>
      <w:pPr>
        <w:pStyle w:val="ListParagraph"/>
        <w:numPr>
          <w:ilvl w:val="0"/>
          <w:numId w:val="2"/>
        </w:numPr>
        <w:spacing w:after="80"/>
      </w:pPr>
      <w:r>
        <w:t xml:space="preserve">Stamp duty and registration charges as per Telangana government rates, to be borne by the purchaser</w:t>
      </w:r>
    </w:p>
    <w:p>
      <w:pPr>
        <w:pStyle w:val="Heading1"/>
        <w:spacing w:after="120" w:before="240"/>
      </w:pPr>
      <w:r>
        <w:t xml:space="preserve">6. Booking Process and Cancellation Policy</w:t>
      </w:r>
    </w:p>
    <w:p>
      <w:pPr>
        <w:pStyle w:val="ListParagraph"/>
        <w:numPr>
          <w:ilvl w:val="0"/>
          <w:numId w:val="2"/>
        </w:numPr>
        <w:spacing w:after="80"/>
      </w:pPr>
      <w:r>
        <w:t xml:space="preserve">Units are allotted on a first-come-first-served basis against receipt of the booking amount and a duly filled application form</w:t>
      </w:r>
    </w:p>
    <w:p>
      <w:pPr>
        <w:pStyle w:val="ListParagraph"/>
        <w:numPr>
          <w:ilvl w:val="0"/>
          <w:numId w:val="2"/>
        </w:numPr>
        <w:spacing w:after="80"/>
      </w:pPr>
      <w:r>
        <w:t xml:space="preserve">Provisional allotment letter issued within 7 working days of booking amount realization</w:t>
      </w:r>
    </w:p>
    <w:p>
      <w:pPr>
        <w:pStyle w:val="ListParagraph"/>
        <w:numPr>
          <w:ilvl w:val="0"/>
          <w:numId w:val="2"/>
        </w:numPr>
        <w:spacing w:after="80"/>
      </w:pPr>
      <w:r>
        <w:t xml:space="preserve">In case of cancellation before execution of the Agreement of Sale, 5% of the booking amount is forfeited as processing charges; the balance is refunded within 45 days</w:t>
      </w:r>
    </w:p>
    <w:p>
      <w:pPr>
        <w:pStyle w:val="ListParagraph"/>
        <w:numPr>
          <w:ilvl w:val="0"/>
          <w:numId w:val="2"/>
        </w:numPr>
        <w:spacing w:after="80"/>
      </w:pPr>
      <w:r>
        <w:t xml:space="preserve">In case of cancellation after execution of the Agreement of Sale, forfeiture terms as per Clause 12 of the Agreement of Sale shall apply</w:t>
      </w:r>
    </w:p>
    <w:p>
      <w:pPr>
        <w:pStyle w:val="Heading1"/>
        <w:spacing w:after="120" w:before="240"/>
      </w:pPr>
      <w:r>
        <w:t xml:space="preserve">7. Sales Contact</w:t>
      </w:r>
    </w:p>
    <w:p>
      <w:pPr>
        <w:spacing w:after="160"/>
      </w:pPr>
      <w:r>
        <w:t xml:space="preserve">For channel partner queries and updated pricing, contact the Sky Meadows Residency sales desk at the project experience center, Kokapet, Hyderabad. Internal reference code for this price list: HSD-SMR-PL-Sep2025.</w:t>
      </w:r>
    </w:p>
    <w:p>
      <w:pPr>
        <w:pStyle w:val="Heading1"/>
        <w:spacing w:after="120" w:before="240"/>
      </w:pPr>
      <w:r>
        <w:t xml:space="preserve">8. Amenities Included in the Project</w:t>
      </w:r>
    </w:p>
    <w:p>
      <w:pPr>
        <w:pStyle w:val="ListParagraph"/>
        <w:numPr>
          <w:ilvl w:val="0"/>
          <w:numId w:val="2"/>
        </w:numPr>
        <w:spacing w:after="80"/>
      </w:pPr>
      <w:r>
        <w:t xml:space="preserve">Clubhouse with indoor games room, mini-theater, and co-working lounge</w:t>
      </w:r>
    </w:p>
    <w:p>
      <w:pPr>
        <w:pStyle w:val="ListParagraph"/>
        <w:numPr>
          <w:ilvl w:val="0"/>
          <w:numId w:val="2"/>
        </w:numPr>
        <w:spacing w:after="80"/>
      </w:pPr>
      <w:r>
        <w:t xml:space="preserve">Swimming pool with separate kids' pool and deck seating area</w:t>
      </w:r>
    </w:p>
    <w:p>
      <w:pPr>
        <w:pStyle w:val="ListParagraph"/>
        <w:numPr>
          <w:ilvl w:val="0"/>
          <w:numId w:val="2"/>
        </w:numPr>
        <w:spacing w:after="80"/>
      </w:pPr>
      <w:r>
        <w:t xml:space="preserve">Fully equipped gymnasium and yoga/aerobics studio</w:t>
      </w:r>
    </w:p>
    <w:p>
      <w:pPr>
        <w:pStyle w:val="ListParagraph"/>
        <w:numPr>
          <w:ilvl w:val="0"/>
          <w:numId w:val="2"/>
        </w:numPr>
        <w:spacing w:after="80"/>
      </w:pPr>
      <w:r>
        <w:t xml:space="preserve">Landscaped central courtyard with jogging track and senior citizen seating zones</w:t>
      </w:r>
    </w:p>
    <w:p>
      <w:pPr>
        <w:pStyle w:val="ListParagraph"/>
        <w:numPr>
          <w:ilvl w:val="0"/>
          <w:numId w:val="2"/>
        </w:numPr>
        <w:spacing w:after="80"/>
      </w:pPr>
      <w:r>
        <w:t xml:space="preserve">Multipurpose party lawn and banquet hall for events</w:t>
      </w:r>
    </w:p>
    <w:p>
      <w:pPr>
        <w:pStyle w:val="ListParagraph"/>
        <w:numPr>
          <w:ilvl w:val="0"/>
          <w:numId w:val="2"/>
        </w:numPr>
        <w:spacing w:after="80"/>
      </w:pPr>
      <w:r>
        <w:t xml:space="preserve">Tennis court, badminton court, and half basketball court</w:t>
      </w:r>
    </w:p>
    <w:p>
      <w:pPr>
        <w:pStyle w:val="ListParagraph"/>
        <w:numPr>
          <w:ilvl w:val="0"/>
          <w:numId w:val="2"/>
        </w:numPr>
        <w:spacing w:after="80"/>
      </w:pPr>
      <w:r>
        <w:t xml:space="preserve">24x7 security with CCTV surveillance and access-controlled entry per tower</w:t>
      </w:r>
    </w:p>
    <w:p>
      <w:pPr>
        <w:pStyle w:val="ListParagraph"/>
        <w:numPr>
          <w:ilvl w:val="0"/>
          <w:numId w:val="2"/>
        </w:numPr>
        <w:spacing w:after="80"/>
      </w:pPr>
      <w:r>
        <w:t xml:space="preserve">Rainwater harvesting, STP (sewage treatment plant), and dedicated EV charging bays in basement parking</w:t>
      </w:r>
    </w:p>
    <w:p>
      <w:pPr>
        <w:pStyle w:val="Heading1"/>
        <w:spacing w:after="120" w:before="240"/>
      </w:pPr>
      <w:r>
        <w:t xml:space="preserve">9. Specifications</w:t>
      </w:r>
    </w:p>
    <w:p>
      <w:pPr>
        <w:pStyle w:val="ListParagraph"/>
        <w:numPr>
          <w:ilvl w:val="0"/>
          <w:numId w:val="2"/>
        </w:numPr>
        <w:spacing w:after="80"/>
      </w:pPr>
      <w:r>
        <w:t xml:space="preserve">Structure: RCC framed structure designed for Seismic Zone II compliance</w:t>
      </w:r>
    </w:p>
    <w:p>
      <w:pPr>
        <w:pStyle w:val="ListParagraph"/>
        <w:numPr>
          <w:ilvl w:val="0"/>
          <w:numId w:val="2"/>
        </w:numPr>
        <w:spacing w:after="80"/>
      </w:pPr>
      <w:r>
        <w:t xml:space="preserve">Flooring: Vitrified tiles in living/dining/bedrooms; anti-skid ceramic tiles in balconies and bathrooms</w:t>
      </w:r>
    </w:p>
    <w:p>
      <w:pPr>
        <w:pStyle w:val="ListParagraph"/>
        <w:numPr>
          <w:ilvl w:val="0"/>
          <w:numId w:val="2"/>
        </w:numPr>
        <w:spacing w:after="80"/>
      </w:pPr>
      <w:r>
        <w:t xml:space="preserve">Kitchen: Granite platform with stainless steel sink and provision for water purifier and chimney</w:t>
      </w:r>
    </w:p>
    <w:p>
      <w:pPr>
        <w:pStyle w:val="ListParagraph"/>
        <w:numPr>
          <w:ilvl w:val="0"/>
          <w:numId w:val="2"/>
        </w:numPr>
        <w:spacing w:after="80"/>
      </w:pPr>
      <w:r>
        <w:t xml:space="preserve">Doors and windows: Engineered wood main door frame with veneer-finish flush door; UPVC windows with mosquito mesh</w:t>
      </w:r>
    </w:p>
    <w:p>
      <w:pPr>
        <w:pStyle w:val="ListParagraph"/>
        <w:numPr>
          <w:ilvl w:val="0"/>
          <w:numId w:val="2"/>
        </w:numPr>
        <w:spacing w:after="80"/>
      </w:pPr>
      <w:r>
        <w:t xml:space="preserve">Electrical: Concealed copper wiring with MCB distribution board; provision for inverter/generator backup for common areas and one point per flat</w:t>
      </w:r>
    </w:p>
    <w:p>
      <w:pPr>
        <w:pStyle w:val="ListParagraph"/>
        <w:numPr>
          <w:ilvl w:val="0"/>
          <w:numId w:val="2"/>
        </w:numPr>
        <w:spacing w:after="80"/>
      </w:pPr>
      <w:r>
        <w:t xml:space="preserve">Lifts: High-speed automatic lifts, minimum 2 per tower, with power backup</w:t>
      </w:r>
    </w:p>
    <w:p>
      <w:pPr>
        <w:pStyle w:val="Heading1"/>
        <w:spacing w:after="120" w:before="240"/>
      </w:pPr>
      <w:r>
        <w:t xml:space="preserve">10. Disclaimer</w:t>
      </w:r>
    </w:p>
    <w:p>
      <w:pPr>
        <w:spacing w:after="160"/>
      </w:pPr>
      <w:r>
        <w:t xml:space="preserve">This document is for internal circulation among registered channel partners only and does not constitute an offer or invitation for sale. Final terms shall be governed by the Agreement of Sale executed between the purchaser and the developer, and prevailing RERA disclosures for the project. Prices, specifications, and timelines are indicative and subject to change without prior notice, in line with regulatory filings.</w:t>
      </w:r>
    </w:p>
    <w:p>
      <w:pPr>
        <w:pStyle w:val="Heading1"/>
        <w:spacing w:after="120" w:before="240"/>
      </w:pPr>
      <w:r>
        <w:t xml:space="preserve">11. Frequently Asked Questions (Channel Partner Reference)</w:t>
      </w:r>
    </w:p>
    <w:p>
      <w:pPr>
        <w:spacing w:after="160"/>
      </w:pPr>
      <w:r>
        <w:rPr>
          <w:b/>
          <w:bCs/>
        </w:rPr>
        <w:t xml:space="preserve">Can a customer switch unit type after booking?</w:t>
      </w:r>
    </w:p>
    <w:p>
      <w:pPr>
        <w:spacing w:after="160"/>
      </w:pPr>
      <w:r>
        <w:t xml:space="preserve">Yes, provided the request is made within 15 days of booking and the new unit is available; any price difference is adjusted, and the original booking date is retained for payment schedule purposes.</w:t>
      </w:r>
    </w:p>
    <w:p>
      <w:pPr>
        <w:spacing w:after="160"/>
      </w:pPr>
      <w:r>
        <w:rPr>
          <w:b/>
          <w:bCs/>
        </w:rPr>
        <w:t xml:space="preserve">Is home loan assistance available?</w:t>
      </w:r>
    </w:p>
    <w:p>
      <w:pPr>
        <w:spacing w:after="160"/>
      </w:pPr>
      <w:r>
        <w:t xml:space="preserve">The developer has pre-approved tie-ups with three nationalized and two private-sector banks; channel partners can share the empanelled bank list with prospective buyers on request.</w:t>
      </w:r>
    </w:p>
    <w:p>
      <w:pPr>
        <w:spacing w:after="160"/>
      </w:pPr>
      <w:r>
        <w:rPr>
          <w:b/>
          <w:bCs/>
        </w:rPr>
        <w:t xml:space="preserve">Are there any ongoing launch offers?</w:t>
      </w:r>
    </w:p>
    <w:p>
      <w:pPr>
        <w:spacing w:after="160"/>
      </w:pPr>
      <w:r>
        <w:t xml:space="preserve">A limited-period offer waiving the clubhouse membership fee (₹2,00,000) is currently applicable for bookings confirmed before 30 September 2025, as referenced in Section 2.</w:t>
      </w:r>
    </w:p>
    <w:p>
      <w:pPr>
        <w:spacing w:after="160"/>
      </w:pPr>
      <w:r>
        <w:rPr>
          <w:b/>
          <w:bCs/>
        </w:rPr>
        <w:t xml:space="preserve">What is the maintenance advance calculation based on?</w:t>
      </w:r>
    </w:p>
    <w:p>
      <w:pPr>
        <w:spacing w:after="160"/>
      </w:pPr>
      <w:r>
        <w:t xml:space="preserve">The 12-month advance in Section 5 is calculated at an estimated ₹3/sq.ft/month on super built-up area and is adjusted against actual society maintenance charges once the owners' association is formed post-handover.</w:t>
      </w:r>
    </w:p>
    <w:p>
      <w:pPr>
        <w:pStyle w:val="Heading1"/>
        <w:spacing w:after="120" w:before="240"/>
      </w:pPr>
      <w:r>
        <w:t xml:space="preserve">12. Nearby Landmarks and Connectivity</w:t>
      </w:r>
    </w:p>
    <w:p>
      <w:pPr>
        <w:pStyle w:val="ListParagraph"/>
        <w:numPr>
          <w:ilvl w:val="0"/>
          <w:numId w:val="2"/>
        </w:numPr>
        <w:spacing w:after="80"/>
      </w:pPr>
      <w:r>
        <w:t xml:space="preserve">Approximately 3.5 km from the Financial District office corridor, and 6 km from the Outer Ring Road (ORR) Narsingi exit</w:t>
      </w:r>
    </w:p>
    <w:p>
      <w:pPr>
        <w:pStyle w:val="ListParagraph"/>
        <w:numPr>
          <w:ilvl w:val="0"/>
          <w:numId w:val="2"/>
        </w:numPr>
        <w:spacing w:after="80"/>
      </w:pPr>
      <w:r>
        <w:t xml:space="preserve">Approximately 8 km from Gachibowli and 12 km from Hitech City / Madhapur IT corridor</w:t>
      </w:r>
    </w:p>
    <w:p>
      <w:pPr>
        <w:pStyle w:val="ListParagraph"/>
        <w:numPr>
          <w:ilvl w:val="0"/>
          <w:numId w:val="2"/>
        </w:numPr>
        <w:spacing w:after="80"/>
      </w:pPr>
      <w:r>
        <w:t xml:space="preserve">Reputed schools (CBSE and ICSE affiliated) within a 4 km radius, per developer's location map shared with the sales team</w:t>
      </w:r>
    </w:p>
    <w:p>
      <w:pPr>
        <w:pStyle w:val="ListParagraph"/>
        <w:numPr>
          <w:ilvl w:val="0"/>
          <w:numId w:val="2"/>
        </w:numPr>
        <w:spacing w:after="80"/>
      </w:pPr>
      <w:r>
        <w:t xml:space="preserve">Multi-specialty hospital approximately 5 km away; a large retail mall under construction approximately 3 km from the project</w:t>
      </w:r>
    </w:p>
    <w:p>
      <w:pPr>
        <w:pStyle w:val="ListParagraph"/>
        <w:numPr>
          <w:ilvl w:val="0"/>
          <w:numId w:val="2"/>
        </w:numPr>
        <w:spacing w:after="80"/>
      </w:pPr>
      <w:r>
        <w:t xml:space="preserve">Proposed metro rail extension (per government announcements) expected to bring a station within 2 km of the project once completed; timeline for this extension is not confirmed and should not be represented to buyers as a certainty</w:t>
      </w:r>
    </w:p>
    <w:p>
      <w:pPr>
        <w:pStyle w:val="Heading1"/>
        <w:spacing w:after="120" w:before="240"/>
      </w:pPr>
      <w:r>
        <w:t xml:space="preserve">13. Internal Handling Notes for Sales Team</w:t>
      </w:r>
    </w:p>
    <w:p>
      <w:pPr>
        <w:pStyle w:val="ListParagraph"/>
        <w:numPr>
          <w:ilvl w:val="0"/>
          <w:numId w:val="2"/>
        </w:numPr>
        <w:spacing w:after="80"/>
      </w:pPr>
      <w:r>
        <w:t xml:space="preserve">Do not quote the metro extension timeline to prospective buyers as confirmed; refer only to it as a proposed development per public announcements</w:t>
      </w:r>
    </w:p>
    <w:p>
      <w:pPr>
        <w:pStyle w:val="ListParagraph"/>
        <w:numPr>
          <w:ilvl w:val="0"/>
          <w:numId w:val="2"/>
        </w:numPr>
        <w:spacing w:after="80"/>
      </w:pPr>
      <w:r>
        <w:t xml:space="preserve">Park-facing premium (Section 3) applies only to Tower A units; confirm tower before quoting this premium to a prospective buyer</w:t>
      </w:r>
    </w:p>
    <w:p>
      <w:pPr>
        <w:pStyle w:val="ListParagraph"/>
        <w:numPr>
          <w:ilvl w:val="0"/>
          <w:numId w:val="2"/>
        </w:numPr>
        <w:spacing w:after="80"/>
      </w:pPr>
      <w:r>
        <w:t xml:space="preserve">Bank tie-up list (referenced in Section 11 FAQ) is updated quarterly; verify current list with the sales manager before sharing with buyers, as one private-sector bank tie-up lapsed in July 2025 and is under renewal</w:t>
      </w:r>
    </w:p>
    <w:p>
      <w:pPr>
        <w:spacing w:after="200"/>
      </w:pPr>
      <w:r>
        <w:rPr>
          <w:i/>
          <w:iCs/>
          <w:color w:val="666666"/>
          <w:sz w:val="20"/>
          <w:szCs w:val="20"/>
        </w:rPr>
        <w:t xml:space="preserve">End of document. Internal reference: HSD-SMR-PL-Sep2025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Sky Meadows Residency, Kokapet — Price List &amp; Floor Plan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2026-08-23T14:03:30.308Z</dcterms:created>
  <dcterms:modified xsi:type="dcterms:W3CDTF">2026-08-23T14:03:30.308Z</dcterms:modified>
</cp:coreProperties>
</file>

<file path=docProps/custom.xml><?xml version="1.0" encoding="utf-8"?>
<Properties xmlns="http://schemas.openxmlformats.org/officeDocument/2006/custom-properties" xmlns:vt="http://schemas.openxmlformats.org/officeDocument/2006/docPropsVTypes"/>
</file>