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3E"/>
          <w:sz w:val="22"/>
          <w:szCs w:val="22"/>
        </w:rPr>
        <w:t xml:space="preserve">Emerald Enclave Owners' Association</w:t>
      </w:r>
    </w:p>
    <w:p>
      <w:pPr>
        <w:spacing w:after="200"/>
      </w:pPr>
      <w:r>
        <w:rPr>
          <w:i/>
          <w:iCs/>
          <w:color w:val="888888"/>
          <w:sz w:val="18"/>
          <w:szCs w:val="18"/>
        </w:rPr>
        <w:t xml:space="preserve">Gachibowli, Hyderabad</w:t>
      </w:r>
    </w:p>
    <w:p>
      <w:pPr>
        <w:spacing w:after="80"/>
      </w:pPr>
      <w:r>
        <w:rPr>
          <w:b/>
          <w:bCs/>
          <w:color w:val="2E5C3E"/>
          <w:sz w:val="36"/>
          <w:szCs w:val="36"/>
        </w:rPr>
        <w:t xml:space="preserve">Resident Handbook</w:t>
      </w:r>
    </w:p>
    <w:p>
      <w:pPr>
        <w:spacing w:after="200"/>
      </w:pPr>
      <w:r>
        <w:rPr>
          <w:i/>
          <w:iCs/>
          <w:color w:val="444444"/>
          <w:sz w:val="24"/>
          <w:szCs w:val="24"/>
        </w:rPr>
        <w:t xml:space="preserve">Amenities, Maintenance Charges, and Society Rules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Illustrative / synthetic document created for training and demonstration purposes (e.g., testing retrieval-augmented generation systems). All community names, figures, and details are fictional and do not correspond to any real society, association, or transaction.</w:t>
      </w:r>
    </w:p>
    <w:p>
      <w:pPr>
        <w:pStyle w:val="Heading1"/>
        <w:spacing w:after="120" w:before="240"/>
      </w:pPr>
      <w:r>
        <w:t xml:space="preserve">1. Community Overview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00"/>
      </w:tblGrid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Community Name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Emerald Enclave</w:t>
            </w:r>
          </w:p>
        </w:tc>
      </w:tr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Nanakramguda Road, Gachibowli, Hyderabad</w:t>
            </w:r>
          </w:p>
        </w:tc>
      </w:tr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Towers / Total Flats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towers, G+18 floors, 288 flats</w:t>
            </w:r>
          </w:p>
        </w:tc>
      </w:tr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Year of Handover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2016</w:t>
            </w:r>
          </w:p>
        </w:tc>
      </w:tr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Registered Association Name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Emerald Enclave Owners' Welfare Association (Registration No. HYD/OWA/2016/0341)</w:t>
            </w:r>
          </w:p>
        </w:tc>
      </w:tr>
      <w:tr>
        <w:tc>
          <w:tcPr>
            <w:tcW w:type="dxa" w:w="28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Managing Agency</w:t>
            </w:r>
          </w:p>
        </w:tc>
        <w:tc>
          <w:tcPr>
            <w:tcW w:type="dxa" w:w="7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Trident FM Services Pvt. Ltd.</w:t>
            </w:r>
          </w:p>
        </w:tc>
      </w:tr>
    </w:tbl>
    <w:p>
      <w:pPr>
        <w:pStyle w:val="Heading1"/>
        <w:spacing w:after="120" w:before="240"/>
      </w:pPr>
      <w:r>
        <w:t xml:space="preserve">2. Managing Committee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c>
          <w:tcPr>
            <w:tcW w:type="dxa" w:w="2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40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President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Mr. Ashok Kumar Reddy (Tower B, Flat 1104)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2024 – Dec 2025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Secretary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Mrs. Deepa Nair (Tower A, Flat 0602)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2024 – Dec 2025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Treasurer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Mr. Farhan Ahmed (Tower C, Flat 1508)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2024 – Dec 2025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Amenities Coordinator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Mrs. Swathi Rao (Tower D, Flat 0311)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Jan 2024 – Dec 2025</w:t>
            </w:r>
          </w:p>
        </w:tc>
      </w:tr>
    </w:tbl>
    <w:p>
      <w:pPr>
        <w:pStyle w:val="Heading1"/>
        <w:spacing w:after="120" w:before="240"/>
      </w:pPr>
      <w:r>
        <w:t xml:space="preserve">3. Amenities and Booking Rules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c>
          <w:tcPr>
            <w:tcW w:type="dxa" w:w="2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Amenity</w:t>
            </w:r>
          </w:p>
        </w:tc>
        <w:tc>
          <w:tcPr>
            <w:tcW w:type="dxa" w:w="3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40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Booking Rule / Charge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Clubhouse (main hall)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7:00 AM – 10:00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Bookable for events; ₹5,000 refundable deposit + ₹3,000 usage fee per event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Swimming pool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6:00 AM – 9:00 AM, 4:00 PM – 8:00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for residents; guests permitted with ₹200/guest fee, max 2 guests per flat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Gymnasium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5:00 AM – 10:00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Free for residents aged 16+; no guest access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Indoor games room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8:00 AM – 9:00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First-come basis; table booking via society app for over 1 hour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Tennis / badminton court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6:00 AM – 9:00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Slot booking via app; ₹150/hour after 7:00 PM (floodlight charge)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Kids' play area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6:00 AM – 8:00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booking required; adult supervision mandatory for under-8s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Party lawn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booked, up to 11:00 PM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₹8,000 refundable deposit + ₹6,000 usage fee; music must stop by 10:30 PM per society rule</w:t>
            </w:r>
          </w:p>
        </w:tc>
      </w:tr>
    </w:tbl>
    <w:p>
      <w:pPr>
        <w:pStyle w:val="Heading1"/>
        <w:spacing w:after="120" w:before="240"/>
      </w:pPr>
      <w:r>
        <w:t xml:space="preserve">4. Maintenance Charge Structure</w:t>
      </w:r>
    </w:p>
    <w:p>
      <w:pPr>
        <w:spacing w:after="160"/>
      </w:pPr>
      <w:r>
        <w:t xml:space="preserve">Maintenance charges are billed quarterly, in advance, and are due within 15 days of invoice generation. A late payment surcharge of 2% per month applies on overdue amounts.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c>
          <w:tcPr>
            <w:tcW w:type="dxa" w:w="2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Unit Type</w:t>
            </w:r>
          </w:p>
        </w:tc>
        <w:tc>
          <w:tcPr>
            <w:tcW w:type="dxa" w:w="3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Rate</w:t>
            </w:r>
          </w:p>
        </w:tc>
        <w:tc>
          <w:tcPr>
            <w:tcW w:type="dxa" w:w="40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Approx. Quarterly Charge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 BHK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₹3.20/sq.ft/month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₹12,672 (for 1,320 sq.ft SBA)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BHK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₹3.20/sq.ft/month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₹17,088 (for 1,780 sq.ft SBA)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 BHK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₹3.00/sq.ft/month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₹22,320 (for 2,480 sq.ft SBA)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An additional sinking fund contribution of ₹2/sq.ft/month is collected separately and held in a dedicated reserve account for major repairs (lift replacement, structural work, repainting), as approved in the 2022 Annual General Meeting.</w:t>
      </w:r>
    </w:p>
    <w:p>
      <w:pPr>
        <w:pStyle w:val="Heading1"/>
        <w:spacing w:after="120" w:before="240"/>
      </w:pPr>
      <w:r>
        <w:t xml:space="preserve">5. Parking and Visitor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flat is allotted one covered parking slot; additional slots (where available) are allotted by the committee on a waitlist basis at ₹1,500/month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Visitor vehicles must be registered at the security gate; visitor parking is limited to 2 hours in the designated visitor bay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Commercial vehicles (cabs, delivery vehicles) are not permitted to park beyond the loading/unloading period</w:t>
      </w:r>
    </w:p>
    <w:p>
      <w:pPr>
        <w:pStyle w:val="Heading1"/>
        <w:spacing w:after="120" w:before="240"/>
      </w:pPr>
      <w:r>
        <w:t xml:space="preserve">6. Rules and Violations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c>
          <w:tcPr>
            <w:tcW w:type="dxa" w:w="2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3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Violation</w:t>
            </w:r>
          </w:p>
        </w:tc>
        <w:tc>
          <w:tcPr>
            <w:tcW w:type="dxa" w:w="40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Noise/quiet hours (10:30 PM – 6:00 AM)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Loud music, parties beyond permitted hours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₹2,000 per instance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 policy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Pets off-leash in common areas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₹500 per instance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Waste segregation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Failure to segregate wet/dry waste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₹300 per instance, escalating on repeat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Unauthorized structural change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Balcony enclosure, external unit alterations without approval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₹10,000 plus mandatory reversal at owner's cost</w:t>
            </w:r>
          </w:p>
        </w:tc>
      </w:tr>
    </w:tbl>
    <w:p>
      <w:pPr>
        <w:pStyle w:val="Heading1"/>
        <w:spacing w:after="120" w:before="240"/>
      </w:pPr>
      <w:r>
        <w:t xml:space="preserve">7. Grievance Redressal</w:t>
      </w:r>
    </w:p>
    <w:p>
      <w:pPr>
        <w:spacing w:after="160"/>
      </w:pPr>
      <w:r>
        <w:t xml:space="preserve">Complaints may be logged via the society management app or in writing to the Secretary. Facility-related complaints (plumbing, electrical, lift) are to be acknowledged by the managing agency within 24 hours and resolved within 3 working days for routine issues, or escalated to the committee if unresolved beyond that period.</w:t>
      </w:r>
    </w:p>
    <w:p>
      <w:pPr>
        <w:pStyle w:val="Heading1"/>
        <w:spacing w:after="120" w:before="240"/>
      </w:pPr>
      <w:r>
        <w:t xml:space="preserve">8. Move-In / Move-Out Procedure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residents (owners or tenants) must submit a completed resident registration form to the security office at least 3 days before move-in, along with a copy of the sale deed or rental agreement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refundable move-in/move-out deposit of ₹5,000 is collected to cover potential damage to common area fittings (lift interiors, lobby walls) during furniture movement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Furniture and heavy item movement is permitted only between 10:00 AM and 6:00 PM on weekdays, using the designated service lift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Tenants must provide a copy of the registered or notarized rental agreement to the association office within 15 days of occupancy, per society bylaws</w:t>
      </w:r>
    </w:p>
    <w:p>
      <w:pPr>
        <w:pStyle w:val="Heading1"/>
        <w:spacing w:after="120" w:before="240"/>
      </w:pPr>
      <w:r>
        <w:t xml:space="preserve">9. Renovation and Modification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interior modification involving structural elements (wall removal, plumbing relocation) requires prior written approval from the committee and a structural stability undertaking from a licensed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External appearance changes (window grills, external paint color, balcony enclosures) are not permitted without committee approval, to maintain building facade uniformity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Renovation work involving noise or debris is permitted only between 9:00 AM and 6:00 PM, Monday to Saturday; no renovation work is permitted on Sundays or public holidays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Debris must be removed from the premises within 48 hours of generation; a refundable renovation deposit of ₹15,000 is collected for any work exceeding 5 days in duration</w:t>
      </w:r>
    </w:p>
    <w:p>
      <w:pPr>
        <w:pStyle w:val="Heading1"/>
        <w:spacing w:after="120" w:before="240"/>
      </w:pPr>
      <w:r>
        <w:t xml:space="preserve">10. Emergency Contacts and Procedures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000"/>
      </w:tblGrid>
      <w:tr>
        <w:tc>
          <w:tcPr>
            <w:tcW w:type="dxa" w:w="2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Situation</w:t>
            </w:r>
          </w:p>
        </w:tc>
        <w:tc>
          <w:tcPr>
            <w:tcW w:type="dxa" w:w="34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First Point of Contact</w:t>
            </w:r>
          </w:p>
        </w:tc>
        <w:tc>
          <w:tcPr>
            <w:tcW w:type="dxa" w:w="4000"/>
            <w:shd w:fill="2E5C3E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Fire / structural emergency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control room, ext. 100; Fire department 101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Assembly point: central courtyard near clubhouse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Medical emergency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Security control room, ext. 100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Ambulance tie-up with nearby hospital maintained at security desk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Power outage (common areas)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management helpdesk, ext. 105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DG backup should restore common-area power within 2 minutes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Water supply disruption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Facility management helpdesk, ext. 105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Tanker backup arranged for disruptions exceeding 4 hours</w:t>
            </w:r>
          </w:p>
        </w:tc>
      </w:tr>
    </w:tbl>
    <w:p>
      <w:pPr>
        <w:pStyle w:val="Heading1"/>
        <w:spacing w:after="120" w:before="240"/>
      </w:pPr>
      <w:r>
        <w:t xml:space="preserve">11. Waste Management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Wet and dry waste must be segregated at source using the color-coded bins provided (green for wet, blue for dry)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E-waste and hazardous waste (batteries, CFL bulbs, paint) must be handed over separately at the monthly e-waste collection drive held on the first Saturday of every month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Bulk waste from renovations or move-outs must be arranged for direct disposal by the resident and must not be placed in common waste collection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Composting of wet waste from the community is undertaken on-site; residents are encouraged to minimize contamination of wet waste with plastic packaging</w:t>
      </w:r>
    </w:p>
    <w:p>
      <w:pPr>
        <w:pStyle w:val="Heading1"/>
        <w:spacing w:after="120" w:before="240"/>
      </w:pPr>
      <w:r>
        <w:t xml:space="preserve">12. Frequently Asked Questions (Resident Reference)</w:t>
      </w:r>
    </w:p>
    <w:p>
      <w:pPr>
        <w:spacing w:after="160"/>
      </w:pPr>
      <w:r>
        <w:rPr>
          <w:b/>
          <w:bCs/>
        </w:rPr>
        <w:t xml:space="preserve">Can I sublet my flat without informing the association?</w:t>
      </w:r>
    </w:p>
    <w:p>
      <w:pPr>
        <w:spacing w:after="160"/>
      </w:pPr>
      <w:r>
        <w:t xml:space="preserve">No. As per Section 8, a copy of the registered or notarized rental agreement must be submitted to the association office within 15 days of tenant occupancy, along with tenant identity verification documents.</w:t>
      </w:r>
    </w:p>
    <w:p>
      <w:pPr>
        <w:spacing w:after="160"/>
      </w:pPr>
      <w:r>
        <w:rPr>
          <w:b/>
          <w:bCs/>
        </w:rPr>
        <w:t xml:space="preserve">What happens if maintenance charges are not paid on time?</w:t>
      </w:r>
    </w:p>
    <w:p>
      <w:pPr>
        <w:spacing w:after="160"/>
      </w:pPr>
      <w:r>
        <w:t xml:space="preserve">A late payment surcharge of 2% per month applies, as noted in Section 4. Persistent default beyond two quarters may result in restriction of amenity access until dues are cleared, per committee resolution.</w:t>
      </w:r>
    </w:p>
    <w:p>
      <w:pPr>
        <w:spacing w:after="160"/>
      </w:pPr>
      <w:r>
        <w:rPr>
          <w:b/>
          <w:bCs/>
        </w:rPr>
        <w:t xml:space="preserve">Can I install my own security camera outside my flat?</w:t>
      </w:r>
    </w:p>
    <w:p>
      <w:pPr>
        <w:spacing w:after="160"/>
      </w:pPr>
      <w:r>
        <w:t xml:space="preserve">Cameras covering only the resident's own doorway are generally permitted; cameras that capture common corridors or neighboring doorways require committee approval to address privacy concerns.</w:t>
      </w:r>
    </w:p>
    <w:p>
      <w:pPr>
        <w:pStyle w:val="Heading1"/>
        <w:spacing w:after="120" w:before="240"/>
      </w:pPr>
      <w:r>
        <w:t xml:space="preserve">13. Committee Meeting Schedule</w:t>
      </w:r>
    </w:p>
    <w:p>
      <w:pPr>
        <w:spacing w:after="160"/>
      </w:pPr>
      <w:r>
        <w:t xml:space="preserve">Regular managing committee meetings are held on the second Sunday of every month at 11:00 AM in the clubhouse main hall. Residents may request agenda items be added by submitting a written request to the Secretary at least 5 days before the scheduled meeting. Minutes of each meeting are published on the society management app within 3 working days.</w:t>
      </w:r>
    </w:p>
    <w:p>
      <w:pPr>
        <w:pStyle w:val="Heading1"/>
        <w:spacing w:after="120" w:before="240"/>
      </w:pPr>
      <w:r>
        <w:t xml:space="preserve">14. Insurance and Liability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association maintains a master policy covering common areas (structure, clubhouse, common electrical/mechanical equipment) against fire and structural risks; policy renewal date is 1 April each year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Individual flat owners are strongly advised to maintain their own home insurance covering interior fittings, contents, and personal liability, as this is not covered under the association's master policy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association is not liable for loss or damage to any vehicle parked in the basement parking areas beyond what is covered under the facility's general liability policy</w:t>
      </w:r>
    </w:p>
    <w:p>
      <w:pPr>
        <w:spacing w:after="200"/>
      </w:pPr>
      <w:r>
        <w:rPr>
          <w:i/>
          <w:iCs/>
          <w:color w:val="666666"/>
          <w:sz w:val="20"/>
          <w:szCs w:val="20"/>
        </w:rPr>
        <w:t xml:space="preserve">End of document. Internal reference: EEOA-HB-2025 (synthetic training corpus).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6"/>
        <w:szCs w:val="16"/>
      </w:rPr>
      <w:t xml:space="preserve">Emerald Enclave Owners' Association — Resident Handbook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2026-08-23T14:03:30.508Z</dcterms:created>
  <dcterms:modified xsi:type="dcterms:W3CDTF">2026-08-23T14:03:30.508Z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