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4B1F"/>
          <w:sz w:val="22"/>
          <w:szCs w:val="22"/>
        </w:rPr>
        <w:t xml:space="preserve">Prime Address Realty Advisors, Hyderabad</w:t>
      </w:r>
    </w:p>
    <w:p>
      <w:pPr>
        <w:spacing w:after="200"/>
      </w:pPr>
      <w:r>
        <w:rPr>
          <w:i/>
          <w:iCs/>
          <w:color w:val="888888"/>
          <w:sz w:val="18"/>
          <w:szCs w:val="18"/>
        </w:rPr>
        <w:t xml:space="preserve">Internal Working Sheet — Not for External Circulation</w:t>
      </w:r>
    </w:p>
    <w:p>
      <w:pPr>
        <w:spacing w:after="80"/>
      </w:pPr>
      <w:r>
        <w:rPr>
          <w:b/>
          <w:bCs/>
          <w:color w:val="6B4B1F"/>
          <w:sz w:val="36"/>
          <w:szCs w:val="36"/>
        </w:rPr>
        <w:t xml:space="preserve">Rental &amp; Resale Listing Portfolio</w:t>
      </w:r>
    </w:p>
    <w:p>
      <w:pPr>
        <w:spacing w:after="200"/>
      </w:pPr>
      <w:r>
        <w:rPr>
          <w:i/>
          <w:iCs/>
          <w:color w:val="444444"/>
          <w:sz w:val="24"/>
          <w:szCs w:val="24"/>
        </w:rPr>
        <w:t xml:space="preserve">Active Listings Across Hyderabad Micro-Markets — Week of 18 August 2025</w:t>
      </w:r>
    </w:p>
    <w:p>
      <w:pPr>
        <w:spacing w:after="200"/>
      </w:pPr>
      <w:r>
        <w:rPr>
          <w:i/>
          <w:iCs/>
          <w:color w:val="666666"/>
          <w:sz w:val="20"/>
          <w:szCs w:val="20"/>
        </w:rPr>
        <w:t xml:space="preserve">Illustrative / synthetic document created for training and demonstration purposes (e.g., testing retrieval-augmented generation systems). All community names, prices, and contact references are fictional and do not correspond to any real property, owner, or transaction.</w:t>
      </w:r>
    </w:p>
    <w:p>
      <w:pPr>
        <w:pStyle w:val="Heading1"/>
        <w:spacing w:after="120" w:before="240"/>
      </w:pPr>
      <w:r>
        <w:t xml:space="preserve">1. Resale Listings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800"/>
        <w:gridCol w:w="1600"/>
        <w:gridCol w:w="3300"/>
      </w:tblGrid>
      <w:tr>
        <w:tc>
          <w:tcPr>
            <w:tcW w:type="dxa" w:w="1900"/>
            <w:shd w:fill="6B4B1F" w:color="auto" w:val="clear"/>
            <w:tcMar>
              <w:top w:type="dxa" w:w="60"/>
              <w:left w:type="dxa" w:w="80"/>
              <w:bottom w:type="dxa" w:w="60"/>
              <w:right w:type="dxa" w:w="80"/>
            </w:tcMar>
          </w:tcPr>
          <w:p>
            <w:r>
              <w:rPr>
                <w:b/>
                <w:bCs/>
                <w:color w:val="FFFFFF"/>
                <w:sz w:val="18"/>
                <w:szCs w:val="18"/>
              </w:rPr>
              <w:t xml:space="preserve">Community / Unit</w:t>
            </w:r>
          </w:p>
        </w:tc>
        <w:tc>
          <w:tcPr>
            <w:tcW w:type="dxa" w:w="1300"/>
            <w:shd w:fill="6B4B1F" w:color="auto" w:val="clear"/>
            <w:tcMar>
              <w:top w:type="dxa" w:w="60"/>
              <w:left w:type="dxa" w:w="80"/>
              <w:bottom w:type="dxa" w:w="60"/>
              <w:right w:type="dxa" w:w="80"/>
            </w:tcMar>
          </w:tcPr>
          <w:p>
            <w:r>
              <w:rPr>
                <w:b/>
                <w:bCs/>
                <w:color w:val="FFFFFF"/>
                <w:sz w:val="18"/>
                <w:szCs w:val="18"/>
              </w:rPr>
              <w:t xml:space="preserve">Type</w:t>
            </w:r>
          </w:p>
        </w:tc>
        <w:tc>
          <w:tcPr>
            <w:tcW w:type="dxa" w:w="1500"/>
            <w:shd w:fill="6B4B1F" w:color="auto" w:val="clear"/>
            <w:tcMar>
              <w:top w:type="dxa" w:w="60"/>
              <w:left w:type="dxa" w:w="80"/>
              <w:bottom w:type="dxa" w:w="60"/>
              <w:right w:type="dxa" w:w="80"/>
            </w:tcMar>
          </w:tcPr>
          <w:p>
            <w:r>
              <w:rPr>
                <w:b/>
                <w:bCs/>
                <w:color w:val="FFFFFF"/>
                <w:sz w:val="18"/>
                <w:szCs w:val="18"/>
              </w:rPr>
              <w:t xml:space="preserve">SBA</w:t>
            </w:r>
          </w:p>
        </w:tc>
        <w:tc>
          <w:tcPr>
            <w:tcW w:type="dxa" w:w="1800"/>
            <w:shd w:fill="6B4B1F" w:color="auto" w:val="clear"/>
            <w:tcMar>
              <w:top w:type="dxa" w:w="60"/>
              <w:left w:type="dxa" w:w="80"/>
              <w:bottom w:type="dxa" w:w="60"/>
              <w:right w:type="dxa" w:w="80"/>
            </w:tcMar>
          </w:tcPr>
          <w:p>
            <w:r>
              <w:rPr>
                <w:b/>
                <w:bCs/>
                <w:color w:val="FFFFFF"/>
                <w:sz w:val="18"/>
                <w:szCs w:val="18"/>
              </w:rPr>
              <w:t xml:space="preserve">Asking Price</w:t>
            </w:r>
          </w:p>
        </w:tc>
        <w:tc>
          <w:tcPr>
            <w:tcW w:type="dxa" w:w="1600"/>
            <w:shd w:fill="6B4B1F" w:color="auto" w:val="clear"/>
            <w:tcMar>
              <w:top w:type="dxa" w:w="60"/>
              <w:left w:type="dxa" w:w="80"/>
              <w:bottom w:type="dxa" w:w="60"/>
              <w:right w:type="dxa" w:w="80"/>
            </w:tcMar>
          </w:tcPr>
          <w:p>
            <w:r>
              <w:rPr>
                <w:b/>
                <w:bCs/>
                <w:color w:val="FFFFFF"/>
                <w:sz w:val="18"/>
                <w:szCs w:val="18"/>
              </w:rPr>
              <w:t xml:space="preserve">Last Txn Price</w:t>
            </w:r>
          </w:p>
        </w:tc>
        <w:tc>
          <w:tcPr>
            <w:tcW w:type="dxa" w:w="3300"/>
            <w:shd w:fill="6B4B1F" w:color="auto" w:val="clear"/>
            <w:tcMar>
              <w:top w:type="dxa" w:w="60"/>
              <w:left w:type="dxa" w:w="80"/>
              <w:bottom w:type="dxa" w:w="60"/>
              <w:right w:type="dxa" w:w="80"/>
            </w:tcMar>
          </w:tcPr>
          <w:p>
            <w:r>
              <w:rPr>
                <w:b/>
                <w:bCs/>
                <w:color w:val="FFFFFF"/>
                <w:sz w:val="18"/>
                <w:szCs w:val="18"/>
              </w:rPr>
              <w:t xml:space="preserve">Notes</w:t>
            </w:r>
          </w:p>
        </w:tc>
      </w:tr>
      <w:tr>
        <w:tc>
          <w:tcPr>
            <w:tcW w:type="dxa" w:w="1900"/>
            <w:tcMar>
              <w:top w:type="dxa" w:w="60"/>
              <w:left w:type="dxa" w:w="80"/>
              <w:bottom w:type="dxa" w:w="60"/>
              <w:right w:type="dxa" w:w="80"/>
            </w:tcMar>
          </w:tcPr>
          <w:p>
            <w:r>
              <w:rPr>
                <w:b w:val="false"/>
                <w:bCs w:val="false"/>
                <w:color w:val="000000"/>
                <w:sz w:val="18"/>
                <w:szCs w:val="18"/>
              </w:rPr>
              <w:t xml:space="preserve">Sky Meadows Residency, Tower A-1204</w:t>
            </w:r>
          </w:p>
        </w:tc>
        <w:tc>
          <w:tcPr>
            <w:tcW w:type="dxa" w:w="1300"/>
            <w:tcMar>
              <w:top w:type="dxa" w:w="60"/>
              <w:left w:type="dxa" w:w="80"/>
              <w:bottom w:type="dxa" w:w="60"/>
              <w:right w:type="dxa" w:w="80"/>
            </w:tcMar>
          </w:tcPr>
          <w:p>
            <w:r>
              <w:rPr>
                <w:b w:val="false"/>
                <w:bCs w:val="false"/>
                <w:color w:val="000000"/>
                <w:sz w:val="18"/>
                <w:szCs w:val="18"/>
              </w:rPr>
              <w:t xml:space="preserve">3 BHK</w:t>
            </w:r>
          </w:p>
        </w:tc>
        <w:tc>
          <w:tcPr>
            <w:tcW w:type="dxa" w:w="1500"/>
            <w:tcMar>
              <w:top w:type="dxa" w:w="60"/>
              <w:left w:type="dxa" w:w="80"/>
              <w:bottom w:type="dxa" w:w="60"/>
              <w:right w:type="dxa" w:w="80"/>
            </w:tcMar>
          </w:tcPr>
          <w:p>
            <w:r>
              <w:rPr>
                <w:b w:val="false"/>
                <w:bCs w:val="false"/>
                <w:color w:val="000000"/>
                <w:sz w:val="18"/>
                <w:szCs w:val="18"/>
              </w:rPr>
              <w:t xml:space="preserve">1,780 sq.ft</w:t>
            </w:r>
          </w:p>
        </w:tc>
        <w:tc>
          <w:tcPr>
            <w:tcW w:type="dxa" w:w="1800"/>
            <w:tcMar>
              <w:top w:type="dxa" w:w="60"/>
              <w:left w:type="dxa" w:w="80"/>
              <w:bottom w:type="dxa" w:w="60"/>
              <w:right w:type="dxa" w:w="80"/>
            </w:tcMar>
          </w:tcPr>
          <w:p>
            <w:r>
              <w:rPr>
                <w:b w:val="false"/>
                <w:bCs w:val="false"/>
                <w:color w:val="000000"/>
                <w:sz w:val="18"/>
                <w:szCs w:val="18"/>
              </w:rPr>
              <w:t xml:space="preserve">₹1.42 Cr</w:t>
            </w:r>
          </w:p>
        </w:tc>
        <w:tc>
          <w:tcPr>
            <w:tcW w:type="dxa" w:w="1600"/>
            <w:tcMar>
              <w:top w:type="dxa" w:w="60"/>
              <w:left w:type="dxa" w:w="80"/>
              <w:bottom w:type="dxa" w:w="60"/>
              <w:right w:type="dxa" w:w="80"/>
            </w:tcMar>
          </w:tcPr>
          <w:p>
            <w:r>
              <w:rPr>
                <w:b w:val="false"/>
                <w:bCs w:val="false"/>
                <w:color w:val="000000"/>
                <w:sz w:val="18"/>
                <w:szCs w:val="18"/>
              </w:rPr>
              <w:t xml:space="preserve">₹1.28 Cr (Jan 2024)</w:t>
            </w:r>
          </w:p>
        </w:tc>
        <w:tc>
          <w:tcPr>
            <w:tcW w:type="dxa" w:w="3300"/>
            <w:tcMar>
              <w:top w:type="dxa" w:w="60"/>
              <w:left w:type="dxa" w:w="80"/>
              <w:bottom w:type="dxa" w:w="60"/>
              <w:right w:type="dxa" w:w="80"/>
            </w:tcMar>
          </w:tcPr>
          <w:p>
            <w:r>
              <w:rPr>
                <w:b w:val="false"/>
                <w:bCs w:val="false"/>
                <w:color w:val="000000"/>
                <w:sz w:val="18"/>
                <w:szCs w:val="18"/>
              </w:rPr>
              <w:t xml:space="preserve">Vacant; owner relocating to Bengaluru; flexible on price by ~3%</w:t>
            </w:r>
          </w:p>
        </w:tc>
      </w:tr>
      <w:tr>
        <w:tc>
          <w:tcPr>
            <w:tcW w:type="dxa" w:w="1900"/>
            <w:tcMar>
              <w:top w:type="dxa" w:w="60"/>
              <w:left w:type="dxa" w:w="80"/>
              <w:bottom w:type="dxa" w:w="60"/>
              <w:right w:type="dxa" w:w="80"/>
            </w:tcMar>
          </w:tcPr>
          <w:p>
            <w:r>
              <w:rPr>
                <w:b w:val="false"/>
                <w:bCs w:val="false"/>
                <w:color w:val="000000"/>
                <w:sz w:val="18"/>
                <w:szCs w:val="18"/>
              </w:rPr>
              <w:t xml:space="preserve">Emerald Enclave, Tower C-0805</w:t>
            </w:r>
          </w:p>
        </w:tc>
        <w:tc>
          <w:tcPr>
            <w:tcW w:type="dxa" w:w="1300"/>
            <w:tcMar>
              <w:top w:type="dxa" w:w="60"/>
              <w:left w:type="dxa" w:w="80"/>
              <w:bottom w:type="dxa" w:w="60"/>
              <w:right w:type="dxa" w:w="80"/>
            </w:tcMar>
          </w:tcPr>
          <w:p>
            <w:r>
              <w:rPr>
                <w:b w:val="false"/>
                <w:bCs w:val="false"/>
                <w:color w:val="000000"/>
                <w:sz w:val="18"/>
                <w:szCs w:val="18"/>
              </w:rPr>
              <w:t xml:space="preserve">2 BHK</w:t>
            </w:r>
          </w:p>
        </w:tc>
        <w:tc>
          <w:tcPr>
            <w:tcW w:type="dxa" w:w="1500"/>
            <w:tcMar>
              <w:top w:type="dxa" w:w="60"/>
              <w:left w:type="dxa" w:w="80"/>
              <w:bottom w:type="dxa" w:w="60"/>
              <w:right w:type="dxa" w:w="80"/>
            </w:tcMar>
          </w:tcPr>
          <w:p>
            <w:r>
              <w:rPr>
                <w:b w:val="false"/>
                <w:bCs w:val="false"/>
                <w:color w:val="000000"/>
                <w:sz w:val="18"/>
                <w:szCs w:val="18"/>
              </w:rPr>
              <w:t xml:space="preserve">1,320 sq.ft</w:t>
            </w:r>
          </w:p>
        </w:tc>
        <w:tc>
          <w:tcPr>
            <w:tcW w:type="dxa" w:w="1800"/>
            <w:tcMar>
              <w:top w:type="dxa" w:w="60"/>
              <w:left w:type="dxa" w:w="80"/>
              <w:bottom w:type="dxa" w:w="60"/>
              <w:right w:type="dxa" w:w="80"/>
            </w:tcMar>
          </w:tcPr>
          <w:p>
            <w:r>
              <w:rPr>
                <w:b w:val="false"/>
                <w:bCs w:val="false"/>
                <w:color w:val="000000"/>
                <w:sz w:val="18"/>
                <w:szCs w:val="18"/>
              </w:rPr>
              <w:t xml:space="preserve">₹95,00,000</w:t>
            </w:r>
          </w:p>
        </w:tc>
        <w:tc>
          <w:tcPr>
            <w:tcW w:type="dxa" w:w="1600"/>
            <w:tcMar>
              <w:top w:type="dxa" w:w="60"/>
              <w:left w:type="dxa" w:w="80"/>
              <w:bottom w:type="dxa" w:w="60"/>
              <w:right w:type="dxa" w:w="80"/>
            </w:tcMar>
          </w:tcPr>
          <w:p>
            <w:r>
              <w:rPr>
                <w:b w:val="false"/>
                <w:bCs w:val="false"/>
                <w:color w:val="000000"/>
                <w:sz w:val="18"/>
                <w:szCs w:val="18"/>
              </w:rPr>
              <w:t xml:space="preserve">₹78,50,000 (Aug 2019)</w:t>
            </w:r>
          </w:p>
        </w:tc>
        <w:tc>
          <w:tcPr>
            <w:tcW w:type="dxa" w:w="3300"/>
            <w:tcMar>
              <w:top w:type="dxa" w:w="60"/>
              <w:left w:type="dxa" w:w="80"/>
              <w:bottom w:type="dxa" w:w="60"/>
              <w:right w:type="dxa" w:w="80"/>
            </w:tcMar>
          </w:tcPr>
          <w:p>
            <w:r>
              <w:rPr>
                <w:b w:val="false"/>
                <w:bCs w:val="false"/>
                <w:color w:val="000000"/>
                <w:sz w:val="18"/>
                <w:szCs w:val="18"/>
              </w:rPr>
              <w:t xml:space="preserve">Tenant-occupied till 30 Nov 2025; owner open to selling with tenant in place</w:t>
            </w:r>
          </w:p>
        </w:tc>
      </w:tr>
      <w:tr>
        <w:tc>
          <w:tcPr>
            <w:tcW w:type="dxa" w:w="1900"/>
            <w:tcMar>
              <w:top w:type="dxa" w:w="60"/>
              <w:left w:type="dxa" w:w="80"/>
              <w:bottom w:type="dxa" w:w="60"/>
              <w:right w:type="dxa" w:w="80"/>
            </w:tcMar>
          </w:tcPr>
          <w:p>
            <w:r>
              <w:rPr>
                <w:b w:val="false"/>
                <w:bCs w:val="false"/>
                <w:color w:val="000000"/>
                <w:sz w:val="18"/>
                <w:szCs w:val="18"/>
              </w:rPr>
              <w:t xml:space="preserve">Palm Grove Towers, Kondapur, B-1502</w:t>
            </w:r>
          </w:p>
        </w:tc>
        <w:tc>
          <w:tcPr>
            <w:tcW w:type="dxa" w:w="1300"/>
            <w:tcMar>
              <w:top w:type="dxa" w:w="60"/>
              <w:left w:type="dxa" w:w="80"/>
              <w:bottom w:type="dxa" w:w="60"/>
              <w:right w:type="dxa" w:w="80"/>
            </w:tcMar>
          </w:tcPr>
          <w:p>
            <w:r>
              <w:rPr>
                <w:b w:val="false"/>
                <w:bCs w:val="false"/>
                <w:color w:val="000000"/>
                <w:sz w:val="18"/>
                <w:szCs w:val="18"/>
              </w:rPr>
              <w:t xml:space="preserve">3 BHK</w:t>
            </w:r>
          </w:p>
        </w:tc>
        <w:tc>
          <w:tcPr>
            <w:tcW w:type="dxa" w:w="1500"/>
            <w:tcMar>
              <w:top w:type="dxa" w:w="60"/>
              <w:left w:type="dxa" w:w="80"/>
              <w:bottom w:type="dxa" w:w="60"/>
              <w:right w:type="dxa" w:w="80"/>
            </w:tcMar>
          </w:tcPr>
          <w:p>
            <w:r>
              <w:rPr>
                <w:b w:val="false"/>
                <w:bCs w:val="false"/>
                <w:color w:val="000000"/>
                <w:sz w:val="18"/>
                <w:szCs w:val="18"/>
              </w:rPr>
              <w:t xml:space="preserve">1,750 sq.ft</w:t>
            </w:r>
          </w:p>
        </w:tc>
        <w:tc>
          <w:tcPr>
            <w:tcW w:type="dxa" w:w="1800"/>
            <w:tcMar>
              <w:top w:type="dxa" w:w="60"/>
              <w:left w:type="dxa" w:w="80"/>
              <w:bottom w:type="dxa" w:w="60"/>
              <w:right w:type="dxa" w:w="80"/>
            </w:tcMar>
          </w:tcPr>
          <w:p>
            <w:r>
              <w:rPr>
                <w:b w:val="false"/>
                <w:bCs w:val="false"/>
                <w:color w:val="000000"/>
                <w:sz w:val="18"/>
                <w:szCs w:val="18"/>
              </w:rPr>
              <w:t xml:space="preserve">₹1.35 Cr</w:t>
            </w:r>
          </w:p>
        </w:tc>
        <w:tc>
          <w:tcPr>
            <w:tcW w:type="dxa" w:w="1600"/>
            <w:tcMar>
              <w:top w:type="dxa" w:w="60"/>
              <w:left w:type="dxa" w:w="80"/>
              <w:bottom w:type="dxa" w:w="60"/>
              <w:right w:type="dxa" w:w="80"/>
            </w:tcMar>
          </w:tcPr>
          <w:p>
            <w:r>
              <w:rPr>
                <w:b w:val="false"/>
                <w:bCs w:val="false"/>
                <w:color w:val="000000"/>
                <w:sz w:val="18"/>
                <w:szCs w:val="18"/>
              </w:rPr>
              <w:t xml:space="preserve">₹1.10 Cr (Mar 2021)</w:t>
            </w:r>
          </w:p>
        </w:tc>
        <w:tc>
          <w:tcPr>
            <w:tcW w:type="dxa" w:w="3300"/>
            <w:tcMar>
              <w:top w:type="dxa" w:w="60"/>
              <w:left w:type="dxa" w:w="80"/>
              <w:bottom w:type="dxa" w:w="60"/>
              <w:right w:type="dxa" w:w="80"/>
            </w:tcMar>
          </w:tcPr>
          <w:p>
            <w:r>
              <w:rPr>
                <w:b w:val="false"/>
                <w:bCs w:val="false"/>
                <w:color w:val="000000"/>
                <w:sz w:val="18"/>
                <w:szCs w:val="18"/>
              </w:rPr>
              <w:t xml:space="preserve">Corner unit, park-facing; owner firm on price, no urgency to sell</w:t>
            </w:r>
          </w:p>
        </w:tc>
      </w:tr>
      <w:tr>
        <w:tc>
          <w:tcPr>
            <w:tcW w:type="dxa" w:w="1900"/>
            <w:tcMar>
              <w:top w:type="dxa" w:w="60"/>
              <w:left w:type="dxa" w:w="80"/>
              <w:bottom w:type="dxa" w:w="60"/>
              <w:right w:type="dxa" w:w="80"/>
            </w:tcMar>
          </w:tcPr>
          <w:p>
            <w:r>
              <w:rPr>
                <w:b w:val="false"/>
                <w:bCs w:val="false"/>
                <w:color w:val="000000"/>
                <w:sz w:val="18"/>
                <w:szCs w:val="18"/>
              </w:rPr>
              <w:t xml:space="preserve">Orchid Heights, Financial District, A-2001</w:t>
            </w:r>
          </w:p>
        </w:tc>
        <w:tc>
          <w:tcPr>
            <w:tcW w:type="dxa" w:w="1300"/>
            <w:tcMar>
              <w:top w:type="dxa" w:w="60"/>
              <w:left w:type="dxa" w:w="80"/>
              <w:bottom w:type="dxa" w:w="60"/>
              <w:right w:type="dxa" w:w="80"/>
            </w:tcMar>
          </w:tcPr>
          <w:p>
            <w:r>
              <w:rPr>
                <w:b w:val="false"/>
                <w:bCs w:val="false"/>
                <w:color w:val="000000"/>
                <w:sz w:val="18"/>
                <w:szCs w:val="18"/>
              </w:rPr>
              <w:t xml:space="preserve">4 BHK</w:t>
            </w:r>
          </w:p>
        </w:tc>
        <w:tc>
          <w:tcPr>
            <w:tcW w:type="dxa" w:w="1500"/>
            <w:tcMar>
              <w:top w:type="dxa" w:w="60"/>
              <w:left w:type="dxa" w:w="80"/>
              <w:bottom w:type="dxa" w:w="60"/>
              <w:right w:type="dxa" w:w="80"/>
            </w:tcMar>
          </w:tcPr>
          <w:p>
            <w:r>
              <w:rPr>
                <w:b w:val="false"/>
                <w:bCs w:val="false"/>
                <w:color w:val="000000"/>
                <w:sz w:val="18"/>
                <w:szCs w:val="18"/>
              </w:rPr>
              <w:t xml:space="preserve">2,600 sq.ft</w:t>
            </w:r>
          </w:p>
        </w:tc>
        <w:tc>
          <w:tcPr>
            <w:tcW w:type="dxa" w:w="1800"/>
            <w:tcMar>
              <w:top w:type="dxa" w:w="60"/>
              <w:left w:type="dxa" w:w="80"/>
              <w:bottom w:type="dxa" w:w="60"/>
              <w:right w:type="dxa" w:w="80"/>
            </w:tcMar>
          </w:tcPr>
          <w:p>
            <w:r>
              <w:rPr>
                <w:b w:val="false"/>
                <w:bCs w:val="false"/>
                <w:color w:val="000000"/>
                <w:sz w:val="18"/>
                <w:szCs w:val="18"/>
              </w:rPr>
              <w:t xml:space="preserve">₹2.60 Cr</w:t>
            </w:r>
          </w:p>
        </w:tc>
        <w:tc>
          <w:tcPr>
            <w:tcW w:type="dxa" w:w="1600"/>
            <w:tcMar>
              <w:top w:type="dxa" w:w="60"/>
              <w:left w:type="dxa" w:w="80"/>
              <w:bottom w:type="dxa" w:w="60"/>
              <w:right w:type="dxa" w:w="80"/>
            </w:tcMar>
          </w:tcPr>
          <w:p>
            <w:r>
              <w:rPr>
                <w:b w:val="false"/>
                <w:bCs w:val="false"/>
                <w:color w:val="000000"/>
                <w:sz w:val="18"/>
                <w:szCs w:val="18"/>
              </w:rPr>
              <w:t xml:space="preserve">Not previously resold (first owner)</w:t>
            </w:r>
          </w:p>
        </w:tc>
        <w:tc>
          <w:tcPr>
            <w:tcW w:type="dxa" w:w="3300"/>
            <w:tcMar>
              <w:top w:type="dxa" w:w="60"/>
              <w:left w:type="dxa" w:w="80"/>
              <w:bottom w:type="dxa" w:w="60"/>
              <w:right w:type="dxa" w:w="80"/>
            </w:tcMar>
          </w:tcPr>
          <w:p>
            <w:r>
              <w:rPr>
                <w:b w:val="false"/>
                <w:bCs w:val="false"/>
                <w:color w:val="000000"/>
                <w:sz w:val="18"/>
                <w:szCs w:val="18"/>
              </w:rPr>
              <w:t xml:space="preserve">Penthouse-level unit; includes private terrace; possession immediate</w:t>
            </w:r>
          </w:p>
        </w:tc>
      </w:tr>
      <w:tr>
        <w:tc>
          <w:tcPr>
            <w:tcW w:type="dxa" w:w="1900"/>
            <w:tcMar>
              <w:top w:type="dxa" w:w="60"/>
              <w:left w:type="dxa" w:w="80"/>
              <w:bottom w:type="dxa" w:w="60"/>
              <w:right w:type="dxa" w:w="80"/>
            </w:tcMar>
          </w:tcPr>
          <w:p>
            <w:r>
              <w:rPr>
                <w:b w:val="false"/>
                <w:bCs w:val="false"/>
                <w:color w:val="000000"/>
                <w:sz w:val="18"/>
                <w:szCs w:val="18"/>
              </w:rPr>
              <w:t xml:space="preserve">Lake Vista Residency, Nallagandla, D-0611</w:t>
            </w:r>
          </w:p>
        </w:tc>
        <w:tc>
          <w:tcPr>
            <w:tcW w:type="dxa" w:w="1300"/>
            <w:tcMar>
              <w:top w:type="dxa" w:w="60"/>
              <w:left w:type="dxa" w:w="80"/>
              <w:bottom w:type="dxa" w:w="60"/>
              <w:right w:type="dxa" w:w="80"/>
            </w:tcMar>
          </w:tcPr>
          <w:p>
            <w:r>
              <w:rPr>
                <w:b w:val="false"/>
                <w:bCs w:val="false"/>
                <w:color w:val="000000"/>
                <w:sz w:val="18"/>
                <w:szCs w:val="18"/>
              </w:rPr>
              <w:t xml:space="preserve">2 BHK</w:t>
            </w:r>
          </w:p>
        </w:tc>
        <w:tc>
          <w:tcPr>
            <w:tcW w:type="dxa" w:w="1500"/>
            <w:tcMar>
              <w:top w:type="dxa" w:w="60"/>
              <w:left w:type="dxa" w:w="80"/>
              <w:bottom w:type="dxa" w:w="60"/>
              <w:right w:type="dxa" w:w="80"/>
            </w:tcMar>
          </w:tcPr>
          <w:p>
            <w:r>
              <w:rPr>
                <w:b w:val="false"/>
                <w:bCs w:val="false"/>
                <w:color w:val="000000"/>
                <w:sz w:val="18"/>
                <w:szCs w:val="18"/>
              </w:rPr>
              <w:t xml:space="preserve">1,150 sq.ft</w:t>
            </w:r>
          </w:p>
        </w:tc>
        <w:tc>
          <w:tcPr>
            <w:tcW w:type="dxa" w:w="1800"/>
            <w:tcMar>
              <w:top w:type="dxa" w:w="60"/>
              <w:left w:type="dxa" w:w="80"/>
              <w:bottom w:type="dxa" w:w="60"/>
              <w:right w:type="dxa" w:w="80"/>
            </w:tcMar>
          </w:tcPr>
          <w:p>
            <w:r>
              <w:rPr>
                <w:b w:val="false"/>
                <w:bCs w:val="false"/>
                <w:color w:val="000000"/>
                <w:sz w:val="18"/>
                <w:szCs w:val="18"/>
              </w:rPr>
              <w:t xml:space="preserve">₹68,00,000</w:t>
            </w:r>
          </w:p>
        </w:tc>
        <w:tc>
          <w:tcPr>
            <w:tcW w:type="dxa" w:w="1600"/>
            <w:tcMar>
              <w:top w:type="dxa" w:w="60"/>
              <w:left w:type="dxa" w:w="80"/>
              <w:bottom w:type="dxa" w:w="60"/>
              <w:right w:type="dxa" w:w="80"/>
            </w:tcMar>
          </w:tcPr>
          <w:p>
            <w:r>
              <w:rPr>
                <w:b w:val="false"/>
                <w:bCs w:val="false"/>
                <w:color w:val="000000"/>
                <w:sz w:val="18"/>
                <w:szCs w:val="18"/>
              </w:rPr>
              <w:t xml:space="preserve">₹52,00,000 (Jun 2018)</w:t>
            </w:r>
          </w:p>
        </w:tc>
        <w:tc>
          <w:tcPr>
            <w:tcW w:type="dxa" w:w="3300"/>
            <w:tcMar>
              <w:top w:type="dxa" w:w="60"/>
              <w:left w:type="dxa" w:w="80"/>
              <w:bottom w:type="dxa" w:w="60"/>
              <w:right w:type="dxa" w:w="80"/>
            </w:tcMar>
          </w:tcPr>
          <w:p>
            <w:r>
              <w:rPr>
                <w:b w:val="false"/>
                <w:bCs w:val="false"/>
                <w:color w:val="000000"/>
                <w:sz w:val="18"/>
                <w:szCs w:val="18"/>
              </w:rPr>
              <w:t xml:space="preserve">Lake-facing; minor seepage issue in second bedroom, disclosed by owner</w:t>
            </w:r>
          </w:p>
        </w:tc>
      </w:tr>
    </w:tbl>
    <w:p>
      <w:pPr>
        <w:pStyle w:val="Heading1"/>
        <w:spacing w:after="120" w:before="240"/>
      </w:pPr>
      <w:r>
        <w:t xml:space="preserve">2. Rental Listings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800"/>
        <w:gridCol w:w="1600"/>
        <w:gridCol w:w="3300"/>
      </w:tblGrid>
      <w:tr>
        <w:tc>
          <w:tcPr>
            <w:tcW w:type="dxa" w:w="1900"/>
            <w:shd w:fill="6B4B1F" w:color="auto" w:val="clear"/>
            <w:tcMar>
              <w:top w:type="dxa" w:w="60"/>
              <w:left w:type="dxa" w:w="80"/>
              <w:bottom w:type="dxa" w:w="60"/>
              <w:right w:type="dxa" w:w="80"/>
            </w:tcMar>
          </w:tcPr>
          <w:p>
            <w:r>
              <w:rPr>
                <w:b/>
                <w:bCs/>
                <w:color w:val="FFFFFF"/>
                <w:sz w:val="18"/>
                <w:szCs w:val="18"/>
              </w:rPr>
              <w:t xml:space="preserve">Community / Unit</w:t>
            </w:r>
          </w:p>
        </w:tc>
        <w:tc>
          <w:tcPr>
            <w:tcW w:type="dxa" w:w="1300"/>
            <w:shd w:fill="6B4B1F" w:color="auto" w:val="clear"/>
            <w:tcMar>
              <w:top w:type="dxa" w:w="60"/>
              <w:left w:type="dxa" w:w="80"/>
              <w:bottom w:type="dxa" w:w="60"/>
              <w:right w:type="dxa" w:w="80"/>
            </w:tcMar>
          </w:tcPr>
          <w:p>
            <w:r>
              <w:rPr>
                <w:b/>
                <w:bCs/>
                <w:color w:val="FFFFFF"/>
                <w:sz w:val="18"/>
                <w:szCs w:val="18"/>
              </w:rPr>
              <w:t xml:space="preserve">Type</w:t>
            </w:r>
          </w:p>
        </w:tc>
        <w:tc>
          <w:tcPr>
            <w:tcW w:type="dxa" w:w="1500"/>
            <w:shd w:fill="6B4B1F" w:color="auto" w:val="clear"/>
            <w:tcMar>
              <w:top w:type="dxa" w:w="60"/>
              <w:left w:type="dxa" w:w="80"/>
              <w:bottom w:type="dxa" w:w="60"/>
              <w:right w:type="dxa" w:w="80"/>
            </w:tcMar>
          </w:tcPr>
          <w:p>
            <w:r>
              <w:rPr>
                <w:b/>
                <w:bCs/>
                <w:color w:val="FFFFFF"/>
                <w:sz w:val="18"/>
                <w:szCs w:val="18"/>
              </w:rPr>
              <w:t xml:space="preserve">SBA</w:t>
            </w:r>
          </w:p>
        </w:tc>
        <w:tc>
          <w:tcPr>
            <w:tcW w:type="dxa" w:w="1800"/>
            <w:shd w:fill="6B4B1F" w:color="auto" w:val="clear"/>
            <w:tcMar>
              <w:top w:type="dxa" w:w="60"/>
              <w:left w:type="dxa" w:w="80"/>
              <w:bottom w:type="dxa" w:w="60"/>
              <w:right w:type="dxa" w:w="80"/>
            </w:tcMar>
          </w:tcPr>
          <w:p>
            <w:r>
              <w:rPr>
                <w:b/>
                <w:bCs/>
                <w:color w:val="FFFFFF"/>
                <w:sz w:val="18"/>
                <w:szCs w:val="18"/>
              </w:rPr>
              <w:t xml:space="preserve">Monthly Rent</w:t>
            </w:r>
          </w:p>
        </w:tc>
        <w:tc>
          <w:tcPr>
            <w:tcW w:type="dxa" w:w="1600"/>
            <w:shd w:fill="6B4B1F" w:color="auto" w:val="clear"/>
            <w:tcMar>
              <w:top w:type="dxa" w:w="60"/>
              <w:left w:type="dxa" w:w="80"/>
              <w:bottom w:type="dxa" w:w="60"/>
              <w:right w:type="dxa" w:w="80"/>
            </w:tcMar>
          </w:tcPr>
          <w:p>
            <w:r>
              <w:rPr>
                <w:b/>
                <w:bCs/>
                <w:color w:val="FFFFFF"/>
                <w:sz w:val="18"/>
                <w:szCs w:val="18"/>
              </w:rPr>
              <w:t xml:space="preserve">Available From</w:t>
            </w:r>
          </w:p>
        </w:tc>
        <w:tc>
          <w:tcPr>
            <w:tcW w:type="dxa" w:w="3300"/>
            <w:shd w:fill="6B4B1F" w:color="auto" w:val="clear"/>
            <w:tcMar>
              <w:top w:type="dxa" w:w="60"/>
              <w:left w:type="dxa" w:w="80"/>
              <w:bottom w:type="dxa" w:w="60"/>
              <w:right w:type="dxa" w:w="80"/>
            </w:tcMar>
          </w:tcPr>
          <w:p>
            <w:r>
              <w:rPr>
                <w:b/>
                <w:bCs/>
                <w:color w:val="FFFFFF"/>
                <w:sz w:val="18"/>
                <w:szCs w:val="18"/>
              </w:rPr>
              <w:t xml:space="preserve">Notes</w:t>
            </w:r>
          </w:p>
        </w:tc>
      </w:tr>
      <w:tr>
        <w:tc>
          <w:tcPr>
            <w:tcW w:type="dxa" w:w="1900"/>
            <w:tcMar>
              <w:top w:type="dxa" w:w="60"/>
              <w:left w:type="dxa" w:w="80"/>
              <w:bottom w:type="dxa" w:w="60"/>
              <w:right w:type="dxa" w:w="80"/>
            </w:tcMar>
          </w:tcPr>
          <w:p>
            <w:r>
              <w:rPr>
                <w:b w:val="false"/>
                <w:bCs w:val="false"/>
                <w:color w:val="000000"/>
                <w:sz w:val="18"/>
                <w:szCs w:val="18"/>
              </w:rPr>
              <w:t xml:space="preserve">Sky Meadows Residency, Tower B-0908</w:t>
            </w:r>
          </w:p>
        </w:tc>
        <w:tc>
          <w:tcPr>
            <w:tcW w:type="dxa" w:w="1300"/>
            <w:tcMar>
              <w:top w:type="dxa" w:w="60"/>
              <w:left w:type="dxa" w:w="80"/>
              <w:bottom w:type="dxa" w:w="60"/>
              <w:right w:type="dxa" w:w="80"/>
            </w:tcMar>
          </w:tcPr>
          <w:p>
            <w:r>
              <w:rPr>
                <w:b w:val="false"/>
                <w:bCs w:val="false"/>
                <w:color w:val="000000"/>
                <w:sz w:val="18"/>
                <w:szCs w:val="18"/>
              </w:rPr>
              <w:t xml:space="preserve">2 BHK</w:t>
            </w:r>
          </w:p>
        </w:tc>
        <w:tc>
          <w:tcPr>
            <w:tcW w:type="dxa" w:w="1500"/>
            <w:tcMar>
              <w:top w:type="dxa" w:w="60"/>
              <w:left w:type="dxa" w:w="80"/>
              <w:bottom w:type="dxa" w:w="60"/>
              <w:right w:type="dxa" w:w="80"/>
            </w:tcMar>
          </w:tcPr>
          <w:p>
            <w:r>
              <w:rPr>
                <w:b w:val="false"/>
                <w:bCs w:val="false"/>
                <w:color w:val="000000"/>
                <w:sz w:val="18"/>
                <w:szCs w:val="18"/>
              </w:rPr>
              <w:t xml:space="preserve">1,320 sq.ft</w:t>
            </w:r>
          </w:p>
        </w:tc>
        <w:tc>
          <w:tcPr>
            <w:tcW w:type="dxa" w:w="1800"/>
            <w:tcMar>
              <w:top w:type="dxa" w:w="60"/>
              <w:left w:type="dxa" w:w="80"/>
              <w:bottom w:type="dxa" w:w="60"/>
              <w:right w:type="dxa" w:w="80"/>
            </w:tcMar>
          </w:tcPr>
          <w:p>
            <w:r>
              <w:rPr>
                <w:b w:val="false"/>
                <w:bCs w:val="false"/>
                <w:color w:val="000000"/>
                <w:sz w:val="18"/>
                <w:szCs w:val="18"/>
              </w:rPr>
              <w:t xml:space="preserve">₹32,000</w:t>
            </w:r>
          </w:p>
        </w:tc>
        <w:tc>
          <w:tcPr>
            <w:tcW w:type="dxa" w:w="1600"/>
            <w:tcMar>
              <w:top w:type="dxa" w:w="60"/>
              <w:left w:type="dxa" w:w="80"/>
              <w:bottom w:type="dxa" w:w="60"/>
              <w:right w:type="dxa" w:w="80"/>
            </w:tcMar>
          </w:tcPr>
          <w:p>
            <w:r>
              <w:rPr>
                <w:b w:val="false"/>
                <w:bCs w:val="false"/>
                <w:color w:val="000000"/>
                <w:sz w:val="18"/>
                <w:szCs w:val="18"/>
              </w:rPr>
              <w:t xml:space="preserve">1 Sep 2025</w:t>
            </w:r>
          </w:p>
        </w:tc>
        <w:tc>
          <w:tcPr>
            <w:tcW w:type="dxa" w:w="3300"/>
            <w:tcMar>
              <w:top w:type="dxa" w:w="60"/>
              <w:left w:type="dxa" w:w="80"/>
              <w:bottom w:type="dxa" w:w="60"/>
              <w:right w:type="dxa" w:w="80"/>
            </w:tcMar>
          </w:tcPr>
          <w:p>
            <w:r>
              <w:rPr>
                <w:b w:val="false"/>
                <w:bCs w:val="false"/>
                <w:color w:val="000000"/>
                <w:sz w:val="18"/>
                <w:szCs w:val="18"/>
              </w:rPr>
              <w:t xml:space="preserve">Semi-furnished; 2 months' security deposit; no brokerage from tenant side for first-time listing</w:t>
            </w:r>
          </w:p>
        </w:tc>
      </w:tr>
      <w:tr>
        <w:tc>
          <w:tcPr>
            <w:tcW w:type="dxa" w:w="1900"/>
            <w:tcMar>
              <w:top w:type="dxa" w:w="60"/>
              <w:left w:type="dxa" w:w="80"/>
              <w:bottom w:type="dxa" w:w="60"/>
              <w:right w:type="dxa" w:w="80"/>
            </w:tcMar>
          </w:tcPr>
          <w:p>
            <w:r>
              <w:rPr>
                <w:b w:val="false"/>
                <w:bCs w:val="false"/>
                <w:color w:val="000000"/>
                <w:sz w:val="18"/>
                <w:szCs w:val="18"/>
              </w:rPr>
              <w:t xml:space="preserve">Emerald Enclave, Tower A-0602</w:t>
            </w:r>
          </w:p>
        </w:tc>
        <w:tc>
          <w:tcPr>
            <w:tcW w:type="dxa" w:w="1300"/>
            <w:tcMar>
              <w:top w:type="dxa" w:w="60"/>
              <w:left w:type="dxa" w:w="80"/>
              <w:bottom w:type="dxa" w:w="60"/>
              <w:right w:type="dxa" w:w="80"/>
            </w:tcMar>
          </w:tcPr>
          <w:p>
            <w:r>
              <w:rPr>
                <w:b w:val="false"/>
                <w:bCs w:val="false"/>
                <w:color w:val="000000"/>
                <w:sz w:val="18"/>
                <w:szCs w:val="18"/>
              </w:rPr>
              <w:t xml:space="preserve">3 BHK</w:t>
            </w:r>
          </w:p>
        </w:tc>
        <w:tc>
          <w:tcPr>
            <w:tcW w:type="dxa" w:w="1500"/>
            <w:tcMar>
              <w:top w:type="dxa" w:w="60"/>
              <w:left w:type="dxa" w:w="80"/>
              <w:bottom w:type="dxa" w:w="60"/>
              <w:right w:type="dxa" w:w="80"/>
            </w:tcMar>
          </w:tcPr>
          <w:p>
            <w:r>
              <w:rPr>
                <w:b w:val="false"/>
                <w:bCs w:val="false"/>
                <w:color w:val="000000"/>
                <w:sz w:val="18"/>
                <w:szCs w:val="18"/>
              </w:rPr>
              <w:t xml:space="preserve">1,780 sq.ft</w:t>
            </w:r>
          </w:p>
        </w:tc>
        <w:tc>
          <w:tcPr>
            <w:tcW w:type="dxa" w:w="1800"/>
            <w:tcMar>
              <w:top w:type="dxa" w:w="60"/>
              <w:left w:type="dxa" w:w="80"/>
              <w:bottom w:type="dxa" w:w="60"/>
              <w:right w:type="dxa" w:w="80"/>
            </w:tcMar>
          </w:tcPr>
          <w:p>
            <w:r>
              <w:rPr>
                <w:b w:val="false"/>
                <w:bCs w:val="false"/>
                <w:color w:val="000000"/>
                <w:sz w:val="18"/>
                <w:szCs w:val="18"/>
              </w:rPr>
              <w:t xml:space="preserve">₹42,000</w:t>
            </w:r>
          </w:p>
        </w:tc>
        <w:tc>
          <w:tcPr>
            <w:tcW w:type="dxa" w:w="1600"/>
            <w:tcMar>
              <w:top w:type="dxa" w:w="60"/>
              <w:left w:type="dxa" w:w="80"/>
              <w:bottom w:type="dxa" w:w="60"/>
              <w:right w:type="dxa" w:w="80"/>
            </w:tcMar>
          </w:tcPr>
          <w:p>
            <w:r>
              <w:rPr>
                <w:b w:val="false"/>
                <w:bCs w:val="false"/>
                <w:color w:val="000000"/>
                <w:sz w:val="18"/>
                <w:szCs w:val="18"/>
              </w:rPr>
              <w:t xml:space="preserve">Immediate</w:t>
            </w:r>
          </w:p>
        </w:tc>
        <w:tc>
          <w:tcPr>
            <w:tcW w:type="dxa" w:w="3300"/>
            <w:tcMar>
              <w:top w:type="dxa" w:w="60"/>
              <w:left w:type="dxa" w:w="80"/>
              <w:bottom w:type="dxa" w:w="60"/>
              <w:right w:type="dxa" w:w="80"/>
            </w:tcMar>
          </w:tcPr>
          <w:p>
            <w:r>
              <w:rPr>
                <w:b w:val="false"/>
                <w:bCs w:val="false"/>
                <w:color w:val="000000"/>
                <w:sz w:val="18"/>
                <w:szCs w:val="18"/>
              </w:rPr>
              <w:t xml:space="preserve">Fully furnished; owner prefers corporate lease or long-term family tenant</w:t>
            </w:r>
          </w:p>
        </w:tc>
      </w:tr>
      <w:tr>
        <w:tc>
          <w:tcPr>
            <w:tcW w:type="dxa" w:w="1900"/>
            <w:tcMar>
              <w:top w:type="dxa" w:w="60"/>
              <w:left w:type="dxa" w:w="80"/>
              <w:bottom w:type="dxa" w:w="60"/>
              <w:right w:type="dxa" w:w="80"/>
            </w:tcMar>
          </w:tcPr>
          <w:p>
            <w:r>
              <w:rPr>
                <w:b w:val="false"/>
                <w:bCs w:val="false"/>
                <w:color w:val="000000"/>
                <w:sz w:val="18"/>
                <w:szCs w:val="18"/>
              </w:rPr>
              <w:t xml:space="preserve">Palm Grove Towers, Kondapur, C-0410</w:t>
            </w:r>
          </w:p>
        </w:tc>
        <w:tc>
          <w:tcPr>
            <w:tcW w:type="dxa" w:w="1300"/>
            <w:tcMar>
              <w:top w:type="dxa" w:w="60"/>
              <w:left w:type="dxa" w:w="80"/>
              <w:bottom w:type="dxa" w:w="60"/>
              <w:right w:type="dxa" w:w="80"/>
            </w:tcMar>
          </w:tcPr>
          <w:p>
            <w:r>
              <w:rPr>
                <w:b w:val="false"/>
                <w:bCs w:val="false"/>
                <w:color w:val="000000"/>
                <w:sz w:val="18"/>
                <w:szCs w:val="18"/>
              </w:rPr>
              <w:t xml:space="preserve">3 BHK</w:t>
            </w:r>
          </w:p>
        </w:tc>
        <w:tc>
          <w:tcPr>
            <w:tcW w:type="dxa" w:w="1500"/>
            <w:tcMar>
              <w:top w:type="dxa" w:w="60"/>
              <w:left w:type="dxa" w:w="80"/>
              <w:bottom w:type="dxa" w:w="60"/>
              <w:right w:type="dxa" w:w="80"/>
            </w:tcMar>
          </w:tcPr>
          <w:p>
            <w:r>
              <w:rPr>
                <w:b w:val="false"/>
                <w:bCs w:val="false"/>
                <w:color w:val="000000"/>
                <w:sz w:val="18"/>
                <w:szCs w:val="18"/>
              </w:rPr>
              <w:t xml:space="preserve">1,600 sq.ft</w:t>
            </w:r>
          </w:p>
        </w:tc>
        <w:tc>
          <w:tcPr>
            <w:tcW w:type="dxa" w:w="1800"/>
            <w:tcMar>
              <w:top w:type="dxa" w:w="60"/>
              <w:left w:type="dxa" w:w="80"/>
              <w:bottom w:type="dxa" w:w="60"/>
              <w:right w:type="dxa" w:w="80"/>
            </w:tcMar>
          </w:tcPr>
          <w:p>
            <w:r>
              <w:rPr>
                <w:b w:val="false"/>
                <w:bCs w:val="false"/>
                <w:color w:val="000000"/>
                <w:sz w:val="18"/>
                <w:szCs w:val="18"/>
              </w:rPr>
              <w:t xml:space="preserve">₹38,000</w:t>
            </w:r>
          </w:p>
        </w:tc>
        <w:tc>
          <w:tcPr>
            <w:tcW w:type="dxa" w:w="1600"/>
            <w:tcMar>
              <w:top w:type="dxa" w:w="60"/>
              <w:left w:type="dxa" w:w="80"/>
              <w:bottom w:type="dxa" w:w="60"/>
              <w:right w:type="dxa" w:w="80"/>
            </w:tcMar>
          </w:tcPr>
          <w:p>
            <w:r>
              <w:rPr>
                <w:b w:val="false"/>
                <w:bCs w:val="false"/>
                <w:color w:val="000000"/>
                <w:sz w:val="18"/>
                <w:szCs w:val="18"/>
              </w:rPr>
              <w:t xml:space="preserve">15 Sep 2025</w:t>
            </w:r>
          </w:p>
        </w:tc>
        <w:tc>
          <w:tcPr>
            <w:tcW w:type="dxa" w:w="3300"/>
            <w:tcMar>
              <w:top w:type="dxa" w:w="60"/>
              <w:left w:type="dxa" w:w="80"/>
              <w:bottom w:type="dxa" w:w="60"/>
              <w:right w:type="dxa" w:w="80"/>
            </w:tcMar>
          </w:tcPr>
          <w:p>
            <w:r>
              <w:rPr>
                <w:b w:val="false"/>
                <w:bCs w:val="false"/>
                <w:color w:val="000000"/>
                <w:sz w:val="18"/>
                <w:szCs w:val="18"/>
              </w:rPr>
              <w:t xml:space="preserve">Unfurnished; owner open to 11-month or 3-year lease</w:t>
            </w:r>
          </w:p>
        </w:tc>
      </w:tr>
      <w:tr>
        <w:tc>
          <w:tcPr>
            <w:tcW w:type="dxa" w:w="1900"/>
            <w:tcMar>
              <w:top w:type="dxa" w:w="60"/>
              <w:left w:type="dxa" w:w="80"/>
              <w:bottom w:type="dxa" w:w="60"/>
              <w:right w:type="dxa" w:w="80"/>
            </w:tcMar>
          </w:tcPr>
          <w:p>
            <w:r>
              <w:rPr>
                <w:b w:val="false"/>
                <w:bCs w:val="false"/>
                <w:color w:val="000000"/>
                <w:sz w:val="18"/>
                <w:szCs w:val="18"/>
              </w:rPr>
              <w:t xml:space="preserve">Orchid Heights, Financial District, B-1108</w:t>
            </w:r>
          </w:p>
        </w:tc>
        <w:tc>
          <w:tcPr>
            <w:tcW w:type="dxa" w:w="1300"/>
            <w:tcMar>
              <w:top w:type="dxa" w:w="60"/>
              <w:left w:type="dxa" w:w="80"/>
              <w:bottom w:type="dxa" w:w="60"/>
              <w:right w:type="dxa" w:w="80"/>
            </w:tcMar>
          </w:tcPr>
          <w:p>
            <w:r>
              <w:rPr>
                <w:b w:val="false"/>
                <w:bCs w:val="false"/>
                <w:color w:val="000000"/>
                <w:sz w:val="18"/>
                <w:szCs w:val="18"/>
              </w:rPr>
              <w:t xml:space="preserve">2 BHK</w:t>
            </w:r>
          </w:p>
        </w:tc>
        <w:tc>
          <w:tcPr>
            <w:tcW w:type="dxa" w:w="1500"/>
            <w:tcMar>
              <w:top w:type="dxa" w:w="60"/>
              <w:left w:type="dxa" w:w="80"/>
              <w:bottom w:type="dxa" w:w="60"/>
              <w:right w:type="dxa" w:w="80"/>
            </w:tcMar>
          </w:tcPr>
          <w:p>
            <w:r>
              <w:rPr>
                <w:b w:val="false"/>
                <w:bCs w:val="false"/>
                <w:color w:val="000000"/>
                <w:sz w:val="18"/>
                <w:szCs w:val="18"/>
              </w:rPr>
              <w:t xml:space="preserve">1,400 sq.ft</w:t>
            </w:r>
          </w:p>
        </w:tc>
        <w:tc>
          <w:tcPr>
            <w:tcW w:type="dxa" w:w="1800"/>
            <w:tcMar>
              <w:top w:type="dxa" w:w="60"/>
              <w:left w:type="dxa" w:w="80"/>
              <w:bottom w:type="dxa" w:w="60"/>
              <w:right w:type="dxa" w:w="80"/>
            </w:tcMar>
          </w:tcPr>
          <w:p>
            <w:r>
              <w:rPr>
                <w:b w:val="false"/>
                <w:bCs w:val="false"/>
                <w:color w:val="000000"/>
                <w:sz w:val="18"/>
                <w:szCs w:val="18"/>
              </w:rPr>
              <w:t xml:space="preserve">₹45,000</w:t>
            </w:r>
          </w:p>
        </w:tc>
        <w:tc>
          <w:tcPr>
            <w:tcW w:type="dxa" w:w="1600"/>
            <w:tcMar>
              <w:top w:type="dxa" w:w="60"/>
              <w:left w:type="dxa" w:w="80"/>
              <w:bottom w:type="dxa" w:w="60"/>
              <w:right w:type="dxa" w:w="80"/>
            </w:tcMar>
          </w:tcPr>
          <w:p>
            <w:r>
              <w:rPr>
                <w:b w:val="false"/>
                <w:bCs w:val="false"/>
                <w:color w:val="000000"/>
                <w:sz w:val="18"/>
                <w:szCs w:val="18"/>
              </w:rPr>
              <w:t xml:space="preserve">1 Oct 2025</w:t>
            </w:r>
          </w:p>
        </w:tc>
        <w:tc>
          <w:tcPr>
            <w:tcW w:type="dxa" w:w="3300"/>
            <w:tcMar>
              <w:top w:type="dxa" w:w="60"/>
              <w:left w:type="dxa" w:w="80"/>
              <w:bottom w:type="dxa" w:w="60"/>
              <w:right w:type="dxa" w:w="80"/>
            </w:tcMar>
          </w:tcPr>
          <w:p>
            <w:r>
              <w:rPr>
                <w:b w:val="false"/>
                <w:bCs w:val="false"/>
                <w:color w:val="000000"/>
                <w:sz w:val="18"/>
                <w:szCs w:val="18"/>
              </w:rPr>
              <w:t xml:space="preserve">Furnished; owner is an NRI, all communication routed through this firm</w:t>
            </w:r>
          </w:p>
        </w:tc>
      </w:tr>
    </w:tbl>
    <w:p>
      <w:pPr>
        <w:pStyle w:val="Heading1"/>
        <w:spacing w:after="120" w:before="240"/>
      </w:pPr>
      <w:r>
        <w:t xml:space="preserve">3. Micro-Market Notes</w:t>
      </w:r>
    </w:p>
    <w:p>
      <w:pPr>
        <w:spacing w:after="160"/>
      </w:pPr>
      <w:r>
        <w:rPr>
          <w:b/>
          <w:bCs/>
        </w:rPr>
        <w:t xml:space="preserve">Kokapet / Financial District</w:t>
      </w:r>
    </w:p>
    <w:p>
      <w:pPr>
        <w:spacing w:after="160"/>
      </w:pPr>
      <w:r>
        <w:t xml:space="preserve">Continued upward price movement driven by proximity to upcoming commercial developments; resale inventory remains thin, and sellers are generally firm on asking prices. Rental demand is strong from IT/ITES professionals relocating for financial-district office campuses.</w:t>
      </w:r>
    </w:p>
    <w:p>
      <w:pPr>
        <w:spacing w:after="160"/>
      </w:pPr>
      <w:r>
        <w:rPr>
          <w:b/>
          <w:bCs/>
        </w:rPr>
        <w:t xml:space="preserve">Gachibowli</w:t>
      </w:r>
    </w:p>
    <w:p>
      <w:pPr>
        <w:spacing w:after="160"/>
      </w:pPr>
      <w:r>
        <w:t xml:space="preserve">A more mature, established micro-market with steady but slower price appreciation compared to Kokapet. Older inventory (2014–2018 possession) sees more price negotiation flexibility than newer projects.</w:t>
      </w:r>
    </w:p>
    <w:p>
      <w:pPr>
        <w:spacing w:after="160"/>
      </w:pPr>
      <w:r>
        <w:rPr>
          <w:b/>
          <w:bCs/>
        </w:rPr>
        <w:t xml:space="preserve">Kondapur</w:t>
      </w:r>
    </w:p>
    <w:p>
      <w:pPr>
        <w:spacing w:after="160"/>
      </w:pPr>
      <w:r>
        <w:t xml:space="preserve">Popular with mid-size families due to established social infrastructure (schools, hospitals). Corner and park-facing units command a consistent premium and see limited price flexibility.</w:t>
      </w:r>
    </w:p>
    <w:p>
      <w:pPr>
        <w:spacing w:after="160"/>
      </w:pPr>
      <w:r>
        <w:rPr>
          <w:b/>
          <w:bCs/>
        </w:rPr>
        <w:t xml:space="preserve">Nallagandla</w:t>
      </w:r>
    </w:p>
    <w:p>
      <w:pPr>
        <w:spacing w:after="160"/>
      </w:pPr>
      <w:r>
        <w:t xml:space="preserve">Value-conscious micro-market; lake-facing units are a differentiator but buyers should be advised to conduct independent technical inspection given occasional seepage-related disclosures, as seen in the Lake Vista Residency listing above.</w:t>
      </w:r>
    </w:p>
    <w:p>
      <w:pPr>
        <w:pStyle w:val="Heading1"/>
        <w:spacing w:after="120" w:before="240"/>
      </w:pPr>
      <w:r>
        <w:t xml:space="preserve">4. Internal Follow-Up Notes</w:t>
      </w:r>
    </w:p>
    <w:p>
      <w:pPr>
        <w:pStyle w:val="ListParagraph"/>
        <w:numPr>
          <w:ilvl w:val="0"/>
          <w:numId w:val="2"/>
        </w:numPr>
        <w:spacing w:after="80"/>
      </w:pPr>
      <w:r>
        <w:t xml:space="preserve">Sky Meadows A-1204: schedule second site visit for the Bengaluru-based NRI buyer enquiry received 12 Aug 2025</w:t>
      </w:r>
    </w:p>
    <w:p>
      <w:pPr>
        <w:pStyle w:val="ListParagraph"/>
        <w:numPr>
          <w:ilvl w:val="0"/>
          <w:numId w:val="2"/>
        </w:numPr>
        <w:spacing w:after="80"/>
      </w:pPr>
      <w:r>
        <w:t xml:space="preserve">Emerald Enclave C-0805: confirm with owner whether tenant's lease renewal (due 30 Nov 2025) affects sale timeline before circulating to new buyer leads</w:t>
      </w:r>
    </w:p>
    <w:p>
      <w:pPr>
        <w:pStyle w:val="ListParagraph"/>
        <w:numPr>
          <w:ilvl w:val="0"/>
          <w:numId w:val="2"/>
        </w:numPr>
        <w:spacing w:after="80"/>
      </w:pPr>
      <w:r>
        <w:t xml:space="preserve">Palm Grove Towers B-1502: owner has requested listing be paused from 1–15 September 2025 pending a family decision; do not share with new leads during this window</w:t>
      </w:r>
    </w:p>
    <w:p>
      <w:pPr>
        <w:pStyle w:val="ListParagraph"/>
        <w:numPr>
          <w:ilvl w:val="0"/>
          <w:numId w:val="2"/>
        </w:numPr>
        <w:spacing w:after="80"/>
      </w:pPr>
      <w:r>
        <w:t xml:space="preserve">Orchid Heights A-2001: coordinate directly with NRI owner's Hyderabad-based power-of-attorney holder for site visit scheduling</w:t>
      </w:r>
    </w:p>
    <w:p>
      <w:pPr>
        <w:pStyle w:val="Heading1"/>
        <w:spacing w:after="120" w:before="240"/>
      </w:pPr>
      <w:r>
        <w:t xml:space="preserve">5. Buyer and Tenant Enquiry Tracker</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800"/>
        <w:gridCol w:w="1600"/>
        <w:gridCol w:w="3300"/>
      </w:tblGrid>
      <w:tr>
        <w:tc>
          <w:tcPr>
            <w:tcW w:type="dxa" w:w="1900"/>
            <w:shd w:fill="6B4B1F" w:color="auto" w:val="clear"/>
            <w:tcMar>
              <w:top w:type="dxa" w:w="60"/>
              <w:left w:type="dxa" w:w="80"/>
              <w:bottom w:type="dxa" w:w="60"/>
              <w:right w:type="dxa" w:w="80"/>
            </w:tcMar>
          </w:tcPr>
          <w:p>
            <w:r>
              <w:rPr>
                <w:b/>
                <w:bCs/>
                <w:color w:val="FFFFFF"/>
                <w:sz w:val="18"/>
                <w:szCs w:val="18"/>
              </w:rPr>
              <w:t xml:space="preserve">Enquiry Date</w:t>
            </w:r>
          </w:p>
        </w:tc>
        <w:tc>
          <w:tcPr>
            <w:tcW w:type="dxa" w:w="1300"/>
            <w:shd w:fill="6B4B1F" w:color="auto" w:val="clear"/>
            <w:tcMar>
              <w:top w:type="dxa" w:w="60"/>
              <w:left w:type="dxa" w:w="80"/>
              <w:bottom w:type="dxa" w:w="60"/>
              <w:right w:type="dxa" w:w="80"/>
            </w:tcMar>
          </w:tcPr>
          <w:p>
            <w:r>
              <w:rPr>
                <w:b/>
                <w:bCs/>
                <w:color w:val="FFFFFF"/>
                <w:sz w:val="18"/>
                <w:szCs w:val="18"/>
              </w:rPr>
              <w:t xml:space="preserve">Client</w:t>
            </w:r>
          </w:p>
        </w:tc>
        <w:tc>
          <w:tcPr>
            <w:tcW w:type="dxa" w:w="1500"/>
            <w:shd w:fill="6B4B1F" w:color="auto" w:val="clear"/>
            <w:tcMar>
              <w:top w:type="dxa" w:w="60"/>
              <w:left w:type="dxa" w:w="80"/>
              <w:bottom w:type="dxa" w:w="60"/>
              <w:right w:type="dxa" w:w="80"/>
            </w:tcMar>
          </w:tcPr>
          <w:p>
            <w:r>
              <w:rPr>
                <w:b/>
                <w:bCs/>
                <w:color w:val="FFFFFF"/>
                <w:sz w:val="18"/>
                <w:szCs w:val="18"/>
              </w:rPr>
              <w:t xml:space="preserve">Interested Listing</w:t>
            </w:r>
          </w:p>
        </w:tc>
        <w:tc>
          <w:tcPr>
            <w:tcW w:type="dxa" w:w="1800"/>
            <w:shd w:fill="6B4B1F" w:color="auto" w:val="clear"/>
            <w:tcMar>
              <w:top w:type="dxa" w:w="60"/>
              <w:left w:type="dxa" w:w="80"/>
              <w:bottom w:type="dxa" w:w="60"/>
              <w:right w:type="dxa" w:w="80"/>
            </w:tcMar>
          </w:tcPr>
          <w:p>
            <w:r>
              <w:rPr>
                <w:b/>
                <w:bCs/>
                <w:color w:val="FFFFFF"/>
                <w:sz w:val="18"/>
                <w:szCs w:val="18"/>
              </w:rPr>
              <w:t xml:space="preserve">Budget</w:t>
            </w:r>
          </w:p>
        </w:tc>
        <w:tc>
          <w:tcPr>
            <w:tcW w:type="dxa" w:w="1600"/>
            <w:shd w:fill="6B4B1F" w:color="auto" w:val="clear"/>
            <w:tcMar>
              <w:top w:type="dxa" w:w="60"/>
              <w:left w:type="dxa" w:w="80"/>
              <w:bottom w:type="dxa" w:w="60"/>
              <w:right w:type="dxa" w:w="80"/>
            </w:tcMar>
          </w:tcPr>
          <w:p>
            <w:r>
              <w:rPr>
                <w:b/>
                <w:bCs/>
                <w:color w:val="FFFFFF"/>
                <w:sz w:val="18"/>
                <w:szCs w:val="18"/>
              </w:rPr>
              <w:t xml:space="preserve">Status</w:t>
            </w:r>
          </w:p>
        </w:tc>
        <w:tc>
          <w:tcPr>
            <w:tcW w:type="dxa" w:w="3300"/>
            <w:shd w:fill="6B4B1F" w:color="auto" w:val="clear"/>
            <w:tcMar>
              <w:top w:type="dxa" w:w="60"/>
              <w:left w:type="dxa" w:w="80"/>
              <w:bottom w:type="dxa" w:w="60"/>
              <w:right w:type="dxa" w:w="80"/>
            </w:tcMar>
          </w:tcPr>
          <w:p>
            <w:r>
              <w:rPr>
                <w:b/>
                <w:bCs/>
                <w:color w:val="FFFFFF"/>
                <w:sz w:val="18"/>
                <w:szCs w:val="18"/>
              </w:rPr>
              <w:t xml:space="preserve">Notes</w:t>
            </w:r>
          </w:p>
        </w:tc>
      </w:tr>
      <w:tr>
        <w:tc>
          <w:tcPr>
            <w:tcW w:type="dxa" w:w="1900"/>
            <w:tcMar>
              <w:top w:type="dxa" w:w="60"/>
              <w:left w:type="dxa" w:w="80"/>
              <w:bottom w:type="dxa" w:w="60"/>
              <w:right w:type="dxa" w:w="80"/>
            </w:tcMar>
          </w:tcPr>
          <w:p>
            <w:r>
              <w:rPr>
                <w:b w:val="false"/>
                <w:bCs w:val="false"/>
                <w:color w:val="000000"/>
                <w:sz w:val="18"/>
                <w:szCs w:val="18"/>
              </w:rPr>
              <w:t xml:space="preserve">12 Aug 2025</w:t>
            </w:r>
          </w:p>
        </w:tc>
        <w:tc>
          <w:tcPr>
            <w:tcW w:type="dxa" w:w="1900"/>
            <w:tcMar>
              <w:top w:type="dxa" w:w="60"/>
              <w:left w:type="dxa" w:w="80"/>
              <w:bottom w:type="dxa" w:w="60"/>
              <w:right w:type="dxa" w:w="80"/>
            </w:tcMar>
          </w:tcPr>
          <w:p>
            <w:r>
              <w:rPr>
                <w:b w:val="false"/>
                <w:bCs w:val="false"/>
                <w:color w:val="000000"/>
                <w:sz w:val="18"/>
                <w:szCs w:val="18"/>
              </w:rPr>
              <w:t xml:space="preserve">Mr. Vivek Shastri (NRI, Singapore)</w:t>
            </w:r>
          </w:p>
        </w:tc>
        <w:tc>
          <w:tcPr>
            <w:tcW w:type="dxa" w:w="1500"/>
            <w:tcMar>
              <w:top w:type="dxa" w:w="60"/>
              <w:left w:type="dxa" w:w="80"/>
              <w:bottom w:type="dxa" w:w="60"/>
              <w:right w:type="dxa" w:w="80"/>
            </w:tcMar>
          </w:tcPr>
          <w:p>
            <w:r>
              <w:rPr>
                <w:b w:val="false"/>
                <w:bCs w:val="false"/>
                <w:color w:val="000000"/>
                <w:sz w:val="18"/>
                <w:szCs w:val="18"/>
              </w:rPr>
              <w:t xml:space="preserve">Sky Meadows A-1204</w:t>
            </w:r>
          </w:p>
        </w:tc>
        <w:tc>
          <w:tcPr>
            <w:tcW w:type="dxa" w:w="1800"/>
            <w:tcMar>
              <w:top w:type="dxa" w:w="60"/>
              <w:left w:type="dxa" w:w="80"/>
              <w:bottom w:type="dxa" w:w="60"/>
              <w:right w:type="dxa" w:w="80"/>
            </w:tcMar>
          </w:tcPr>
          <w:p>
            <w:r>
              <w:rPr>
                <w:b w:val="false"/>
                <w:bCs w:val="false"/>
                <w:color w:val="000000"/>
                <w:sz w:val="18"/>
                <w:szCs w:val="18"/>
              </w:rPr>
              <w:t xml:space="preserve">Up to ₹1.45 Cr</w:t>
            </w:r>
          </w:p>
        </w:tc>
        <w:tc>
          <w:tcPr>
            <w:tcW w:type="dxa" w:w="1600"/>
            <w:tcMar>
              <w:top w:type="dxa" w:w="60"/>
              <w:left w:type="dxa" w:w="80"/>
              <w:bottom w:type="dxa" w:w="60"/>
              <w:right w:type="dxa" w:w="80"/>
            </w:tcMar>
          </w:tcPr>
          <w:p>
            <w:r>
              <w:rPr>
                <w:b w:val="false"/>
                <w:bCs w:val="false"/>
                <w:color w:val="000000"/>
                <w:sz w:val="18"/>
                <w:szCs w:val="18"/>
              </w:rPr>
              <w:t xml:space="preserve">Second site visit being arranged (video walkthrough completed)</w:t>
            </w:r>
          </w:p>
        </w:tc>
        <w:tc>
          <w:tcPr>
            <w:tcW w:type="dxa" w:w="3300"/>
            <w:tcMar>
              <w:top w:type="dxa" w:w="60"/>
              <w:left w:type="dxa" w:w="80"/>
              <w:bottom w:type="dxa" w:w="60"/>
              <w:right w:type="dxa" w:w="80"/>
            </w:tcMar>
          </w:tcPr>
          <w:p>
            <w:r>
              <w:rPr>
                <w:b w:val="false"/>
                <w:bCs w:val="false"/>
                <w:color w:val="000000"/>
                <w:sz w:val="18"/>
                <w:szCs w:val="18"/>
              </w:rPr>
              <w:t xml:space="preserve">Prefers vacant possession within 60 days</w:t>
            </w:r>
          </w:p>
        </w:tc>
      </w:tr>
      <w:tr>
        <w:tc>
          <w:tcPr>
            <w:tcW w:type="dxa" w:w="1900"/>
            <w:tcMar>
              <w:top w:type="dxa" w:w="60"/>
              <w:left w:type="dxa" w:w="80"/>
              <w:bottom w:type="dxa" w:w="60"/>
              <w:right w:type="dxa" w:w="80"/>
            </w:tcMar>
          </w:tcPr>
          <w:p>
            <w:r>
              <w:rPr>
                <w:b w:val="false"/>
                <w:bCs w:val="false"/>
                <w:color w:val="000000"/>
                <w:sz w:val="18"/>
                <w:szCs w:val="18"/>
              </w:rPr>
              <w:t xml:space="preserve">15 Aug 2025</w:t>
            </w:r>
          </w:p>
        </w:tc>
        <w:tc>
          <w:tcPr>
            <w:tcW w:type="dxa" w:w="1300"/>
            <w:tcMar>
              <w:top w:type="dxa" w:w="60"/>
              <w:left w:type="dxa" w:w="80"/>
              <w:bottom w:type="dxa" w:w="60"/>
              <w:right w:type="dxa" w:w="80"/>
            </w:tcMar>
          </w:tcPr>
          <w:p>
            <w:r>
              <w:rPr>
                <w:b w:val="false"/>
                <w:bCs w:val="false"/>
                <w:color w:val="000000"/>
                <w:sz w:val="18"/>
                <w:szCs w:val="18"/>
              </w:rPr>
              <w:t xml:space="preserve">Mrs. Kavitha Ramesh</w:t>
            </w:r>
          </w:p>
        </w:tc>
        <w:tc>
          <w:tcPr>
            <w:tcW w:type="dxa" w:w="1500"/>
            <w:tcMar>
              <w:top w:type="dxa" w:w="60"/>
              <w:left w:type="dxa" w:w="80"/>
              <w:bottom w:type="dxa" w:w="60"/>
              <w:right w:type="dxa" w:w="80"/>
            </w:tcMar>
          </w:tcPr>
          <w:p>
            <w:r>
              <w:rPr>
                <w:b w:val="false"/>
                <w:bCs w:val="false"/>
                <w:color w:val="000000"/>
                <w:sz w:val="18"/>
                <w:szCs w:val="18"/>
              </w:rPr>
              <w:t xml:space="preserve">Palm Grove Towers B-1502</w:t>
            </w:r>
          </w:p>
        </w:tc>
        <w:tc>
          <w:tcPr>
            <w:tcW w:type="dxa" w:w="1800"/>
            <w:tcMar>
              <w:top w:type="dxa" w:w="60"/>
              <w:left w:type="dxa" w:w="80"/>
              <w:bottom w:type="dxa" w:w="60"/>
              <w:right w:type="dxa" w:w="80"/>
            </w:tcMar>
          </w:tcPr>
          <w:p>
            <w:r>
              <w:rPr>
                <w:b w:val="false"/>
                <w:bCs w:val="false"/>
                <w:color w:val="000000"/>
                <w:sz w:val="18"/>
                <w:szCs w:val="18"/>
              </w:rPr>
              <w:t xml:space="preserve">Up to ₹1.30 Cr</w:t>
            </w:r>
          </w:p>
        </w:tc>
        <w:tc>
          <w:tcPr>
            <w:tcW w:type="dxa" w:w="1600"/>
            <w:tcMar>
              <w:top w:type="dxa" w:w="60"/>
              <w:left w:type="dxa" w:w="80"/>
              <w:bottom w:type="dxa" w:w="60"/>
              <w:right w:type="dxa" w:w="80"/>
            </w:tcMar>
          </w:tcPr>
          <w:p>
            <w:r>
              <w:rPr>
                <w:b w:val="false"/>
                <w:bCs w:val="false"/>
                <w:color w:val="000000"/>
                <w:sz w:val="18"/>
                <w:szCs w:val="18"/>
              </w:rPr>
              <w:t xml:space="preserve">On hold — awaiting listing to reopen after 15 Sep 2025</w:t>
            </w:r>
          </w:p>
        </w:tc>
        <w:tc>
          <w:tcPr>
            <w:tcW w:type="dxa" w:w="3300"/>
            <w:tcMar>
              <w:top w:type="dxa" w:w="60"/>
              <w:left w:type="dxa" w:w="80"/>
              <w:bottom w:type="dxa" w:w="60"/>
              <w:right w:type="dxa" w:w="80"/>
            </w:tcMar>
          </w:tcPr>
          <w:p>
            <w:r>
              <w:rPr>
                <w:b w:val="false"/>
                <w:bCs w:val="false"/>
                <w:color w:val="000000"/>
                <w:sz w:val="18"/>
                <w:szCs w:val="18"/>
              </w:rPr>
              <w:t xml:space="preserve">Firm buyer; pre-approved home loan in place</w:t>
            </w:r>
          </w:p>
        </w:tc>
      </w:tr>
      <w:tr>
        <w:tc>
          <w:tcPr>
            <w:tcW w:type="dxa" w:w="1900"/>
            <w:tcMar>
              <w:top w:type="dxa" w:w="60"/>
              <w:left w:type="dxa" w:w="80"/>
              <w:bottom w:type="dxa" w:w="60"/>
              <w:right w:type="dxa" w:w="80"/>
            </w:tcMar>
          </w:tcPr>
          <w:p>
            <w:r>
              <w:rPr>
                <w:b w:val="false"/>
                <w:bCs w:val="false"/>
                <w:color w:val="000000"/>
                <w:sz w:val="18"/>
                <w:szCs w:val="18"/>
              </w:rPr>
              <w:t xml:space="preserve">17 Aug 2025</w:t>
            </w:r>
          </w:p>
        </w:tc>
        <w:tc>
          <w:tcPr>
            <w:tcW w:type="dxa" w:w="1300"/>
            <w:tcMar>
              <w:top w:type="dxa" w:w="60"/>
              <w:left w:type="dxa" w:w="80"/>
              <w:bottom w:type="dxa" w:w="60"/>
              <w:right w:type="dxa" w:w="80"/>
            </w:tcMar>
          </w:tcPr>
          <w:p>
            <w:r>
              <w:rPr>
                <w:b w:val="false"/>
                <w:bCs w:val="false"/>
                <w:color w:val="000000"/>
                <w:sz w:val="18"/>
                <w:szCs w:val="18"/>
              </w:rPr>
              <w:t xml:space="preserve">Techsphere Solutions Pvt. Ltd. (corporate lease)</w:t>
            </w:r>
          </w:p>
        </w:tc>
        <w:tc>
          <w:tcPr>
            <w:tcW w:type="dxa" w:w="1500"/>
            <w:tcMar>
              <w:top w:type="dxa" w:w="60"/>
              <w:left w:type="dxa" w:w="80"/>
              <w:bottom w:type="dxa" w:w="60"/>
              <w:right w:type="dxa" w:w="80"/>
            </w:tcMar>
          </w:tcPr>
          <w:p>
            <w:r>
              <w:rPr>
                <w:b w:val="false"/>
                <w:bCs w:val="false"/>
                <w:color w:val="000000"/>
                <w:sz w:val="18"/>
                <w:szCs w:val="18"/>
              </w:rPr>
              <w:t xml:space="preserve">Emerald Enclave A-0602</w:t>
            </w:r>
          </w:p>
        </w:tc>
        <w:tc>
          <w:tcPr>
            <w:tcW w:type="dxa" w:w="1800"/>
            <w:tcMar>
              <w:top w:type="dxa" w:w="60"/>
              <w:left w:type="dxa" w:w="80"/>
              <w:bottom w:type="dxa" w:w="60"/>
              <w:right w:type="dxa" w:w="80"/>
            </w:tcMar>
          </w:tcPr>
          <w:p>
            <w:r>
              <w:rPr>
                <w:b w:val="false"/>
                <w:bCs w:val="false"/>
                <w:color w:val="000000"/>
                <w:sz w:val="18"/>
                <w:szCs w:val="18"/>
              </w:rPr>
              <w:t xml:space="preserve">Rent up to ₹45,000/month</w:t>
            </w:r>
          </w:p>
        </w:tc>
        <w:tc>
          <w:tcPr>
            <w:tcW w:type="dxa" w:w="1600"/>
            <w:tcMar>
              <w:top w:type="dxa" w:w="60"/>
              <w:left w:type="dxa" w:w="80"/>
              <w:bottom w:type="dxa" w:w="60"/>
              <w:right w:type="dxa" w:w="80"/>
            </w:tcMar>
          </w:tcPr>
          <w:p>
            <w:r>
              <w:rPr>
                <w:b w:val="false"/>
                <w:bCs w:val="false"/>
                <w:color w:val="000000"/>
                <w:sz w:val="18"/>
                <w:szCs w:val="18"/>
              </w:rPr>
              <w:t xml:space="preserve">Lease terms under negotiation</w:t>
            </w:r>
          </w:p>
        </w:tc>
        <w:tc>
          <w:tcPr>
            <w:tcW w:type="dxa" w:w="3300"/>
            <w:tcMar>
              <w:top w:type="dxa" w:w="60"/>
              <w:left w:type="dxa" w:w="80"/>
              <w:bottom w:type="dxa" w:w="60"/>
              <w:right w:type="dxa" w:w="80"/>
            </w:tcMar>
          </w:tcPr>
          <w:p>
            <w:r>
              <w:rPr>
                <w:b w:val="false"/>
                <w:bCs w:val="false"/>
                <w:color w:val="000000"/>
                <w:sz w:val="18"/>
                <w:szCs w:val="18"/>
              </w:rPr>
              <w:t xml:space="preserve">Requires 3-year lease with lock-in; company to be primary lessee</w:t>
            </w:r>
          </w:p>
        </w:tc>
      </w:tr>
    </w:tbl>
    <w:p>
      <w:pPr>
        <w:pStyle w:val="Heading1"/>
        <w:spacing w:after="120" w:before="240"/>
      </w:pPr>
      <w:r>
        <w:t xml:space="preserve">6. Commission and Brokerage Terms</w:t>
      </w:r>
    </w:p>
    <w:p>
      <w:pPr>
        <w:pStyle w:val="ListParagraph"/>
        <w:numPr>
          <w:ilvl w:val="0"/>
          <w:numId w:val="2"/>
        </w:numPr>
        <w:spacing w:after="80"/>
      </w:pPr>
      <w:r>
        <w:t xml:space="preserve">Resale transactions: brokerage of 1% of transaction value, payable by the seller, split equally if a co-broking arrangement applies</w:t>
      </w:r>
    </w:p>
    <w:p>
      <w:pPr>
        <w:pStyle w:val="ListParagraph"/>
        <w:numPr>
          <w:ilvl w:val="0"/>
          <w:numId w:val="2"/>
        </w:numPr>
        <w:spacing w:after="80"/>
      </w:pPr>
      <w:r>
        <w:t xml:space="preserve">Rental transactions: brokerage equivalent to one month's rent, payable by the owner; tenant-side brokerage waived for select first-time listings as noted in Section 2</w:t>
      </w:r>
    </w:p>
    <w:p>
      <w:pPr>
        <w:pStyle w:val="ListParagraph"/>
        <w:numPr>
          <w:ilvl w:val="0"/>
          <w:numId w:val="2"/>
        </w:numPr>
        <w:spacing w:after="80"/>
      </w:pPr>
      <w:r>
        <w:t xml:space="preserve">Corporate lease transactions: brokerage terms negotiated case-by-case, typically ranging from one to two months' rent depending on lease tenure</w:t>
      </w:r>
    </w:p>
    <w:p>
      <w:pPr>
        <w:pStyle w:val="Heading1"/>
        <w:spacing w:after="120" w:before="240"/>
      </w:pPr>
      <w:r>
        <w:t xml:space="preserve">7. Comparative Rate Trends (Resale, per sq.ft on SBA)</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500"/>
        <w:gridCol w:w="2300"/>
      </w:tblGrid>
      <w:tr>
        <w:tc>
          <w:tcPr>
            <w:tcW w:type="dxa" w:w="2600"/>
            <w:shd w:fill="6B4B1F" w:color="auto" w:val="clear"/>
            <w:tcMar>
              <w:top w:type="dxa" w:w="60"/>
              <w:left w:type="dxa" w:w="80"/>
              <w:bottom w:type="dxa" w:w="60"/>
              <w:right w:type="dxa" w:w="80"/>
            </w:tcMar>
          </w:tcPr>
          <w:p>
            <w:r>
              <w:rPr>
                <w:b/>
                <w:bCs/>
                <w:color w:val="FFFFFF"/>
                <w:sz w:val="18"/>
                <w:szCs w:val="18"/>
              </w:rPr>
              <w:t xml:space="preserve">Micro-Market</w:t>
            </w:r>
          </w:p>
        </w:tc>
        <w:tc>
          <w:tcPr>
            <w:tcW w:type="dxa" w:w="2000"/>
            <w:shd w:fill="6B4B1F" w:color="auto" w:val="clear"/>
            <w:tcMar>
              <w:top w:type="dxa" w:w="60"/>
              <w:left w:type="dxa" w:w="80"/>
              <w:bottom w:type="dxa" w:w="60"/>
              <w:right w:type="dxa" w:w="80"/>
            </w:tcMar>
          </w:tcPr>
          <w:p>
            <w:r>
              <w:rPr>
                <w:b/>
                <w:bCs/>
                <w:color w:val="FFFFFF"/>
                <w:sz w:val="18"/>
                <w:szCs w:val="18"/>
              </w:rPr>
              <w:t xml:space="preserve">Rate (Aug 2024)</w:t>
            </w:r>
          </w:p>
        </w:tc>
        <w:tc>
          <w:tcPr>
            <w:tcW w:type="dxa" w:w="2000"/>
            <w:shd w:fill="6B4B1F" w:color="auto" w:val="clear"/>
            <w:tcMar>
              <w:top w:type="dxa" w:w="60"/>
              <w:left w:type="dxa" w:w="80"/>
              <w:bottom w:type="dxa" w:w="60"/>
              <w:right w:type="dxa" w:w="80"/>
            </w:tcMar>
          </w:tcPr>
          <w:p>
            <w:r>
              <w:rPr>
                <w:b/>
                <w:bCs/>
                <w:color w:val="FFFFFF"/>
                <w:sz w:val="18"/>
                <w:szCs w:val="18"/>
              </w:rPr>
              <w:t xml:space="preserve">Rate (Aug 2025)</w:t>
            </w:r>
          </w:p>
        </w:tc>
        <w:tc>
          <w:tcPr>
            <w:tcW w:type="dxa" w:w="2500"/>
            <w:shd w:fill="6B4B1F" w:color="auto" w:val="clear"/>
            <w:tcMar>
              <w:top w:type="dxa" w:w="60"/>
              <w:left w:type="dxa" w:w="80"/>
              <w:bottom w:type="dxa" w:w="60"/>
              <w:right w:type="dxa" w:w="80"/>
            </w:tcMar>
          </w:tcPr>
          <w:p>
            <w:r>
              <w:rPr>
                <w:b/>
                <w:bCs/>
                <w:color w:val="FFFFFF"/>
                <w:sz w:val="18"/>
                <w:szCs w:val="18"/>
              </w:rPr>
              <w:t xml:space="preserve">YoY Change</w:t>
            </w:r>
          </w:p>
        </w:tc>
        <w:tc>
          <w:tcPr>
            <w:tcW w:type="dxa" w:w="2300"/>
            <w:shd w:fill="6B4B1F" w:color="auto" w:val="clear"/>
            <w:tcMar>
              <w:top w:type="dxa" w:w="60"/>
              <w:left w:type="dxa" w:w="80"/>
              <w:bottom w:type="dxa" w:w="60"/>
              <w:right w:type="dxa" w:w="80"/>
            </w:tcMar>
          </w:tcPr>
          <w:p>
            <w:r>
              <w:rPr>
                <w:b/>
                <w:bCs/>
                <w:color w:val="FFFFFF"/>
                <w:sz w:val="18"/>
                <w:szCs w:val="18"/>
              </w:rPr>
              <w:t xml:space="preserve">Outlook</w:t>
            </w:r>
          </w:p>
        </w:tc>
      </w:tr>
      <w:tr>
        <w:tc>
          <w:tcPr>
            <w:tcW w:type="dxa" w:w="2600"/>
            <w:tcMar>
              <w:top w:type="dxa" w:w="60"/>
              <w:left w:type="dxa" w:w="80"/>
              <w:bottom w:type="dxa" w:w="60"/>
              <w:right w:type="dxa" w:w="80"/>
            </w:tcMar>
          </w:tcPr>
          <w:p>
            <w:r>
              <w:rPr>
                <w:b w:val="false"/>
                <w:bCs w:val="false"/>
                <w:color w:val="000000"/>
                <w:sz w:val="18"/>
                <w:szCs w:val="18"/>
              </w:rPr>
              <w:t xml:space="preserve">Kokapet / Financial District</w:t>
            </w:r>
          </w:p>
        </w:tc>
        <w:tc>
          <w:tcPr>
            <w:tcW w:type="dxa" w:w="2000"/>
            <w:tcMar>
              <w:top w:type="dxa" w:w="60"/>
              <w:left w:type="dxa" w:w="80"/>
              <w:bottom w:type="dxa" w:w="60"/>
              <w:right w:type="dxa" w:w="80"/>
            </w:tcMar>
          </w:tcPr>
          <w:p>
            <w:r>
              <w:rPr>
                <w:b w:val="false"/>
                <w:bCs w:val="false"/>
                <w:color w:val="000000"/>
                <w:sz w:val="18"/>
                <w:szCs w:val="18"/>
              </w:rPr>
              <w:t xml:space="preserve">₹7,200/sq.ft</w:t>
            </w:r>
          </w:p>
        </w:tc>
        <w:tc>
          <w:tcPr>
            <w:tcW w:type="dxa" w:w="2000"/>
            <w:tcMar>
              <w:top w:type="dxa" w:w="60"/>
              <w:left w:type="dxa" w:w="80"/>
              <w:bottom w:type="dxa" w:w="60"/>
              <w:right w:type="dxa" w:w="80"/>
            </w:tcMar>
          </w:tcPr>
          <w:p>
            <w:r>
              <w:rPr>
                <w:b w:val="false"/>
                <w:bCs w:val="false"/>
                <w:color w:val="000000"/>
                <w:sz w:val="18"/>
                <w:szCs w:val="18"/>
              </w:rPr>
              <w:t xml:space="preserve">₹8,000/sq.ft</w:t>
            </w:r>
          </w:p>
        </w:tc>
        <w:tc>
          <w:tcPr>
            <w:tcW w:type="dxa" w:w="2500"/>
            <w:tcMar>
              <w:top w:type="dxa" w:w="60"/>
              <w:left w:type="dxa" w:w="80"/>
              <w:bottom w:type="dxa" w:w="60"/>
              <w:right w:type="dxa" w:w="80"/>
            </w:tcMar>
          </w:tcPr>
          <w:p>
            <w:r>
              <w:rPr>
                <w:b w:val="false"/>
                <w:bCs w:val="false"/>
                <w:color w:val="000000"/>
                <w:sz w:val="18"/>
                <w:szCs w:val="18"/>
              </w:rPr>
              <w:t xml:space="preserve">+11%</w:t>
            </w:r>
          </w:p>
        </w:tc>
        <w:tc>
          <w:tcPr>
            <w:tcW w:type="dxa" w:w="2300"/>
            <w:tcMar>
              <w:top w:type="dxa" w:w="60"/>
              <w:left w:type="dxa" w:w="80"/>
              <w:bottom w:type="dxa" w:w="60"/>
              <w:right w:type="dxa" w:w="80"/>
            </w:tcMar>
          </w:tcPr>
          <w:p>
            <w:r>
              <w:rPr>
                <w:b w:val="false"/>
                <w:bCs w:val="false"/>
                <w:color w:val="000000"/>
                <w:sz w:val="18"/>
                <w:szCs w:val="18"/>
              </w:rPr>
              <w:t xml:space="preserve">Continued upward pressure expected</w:t>
            </w:r>
          </w:p>
        </w:tc>
      </w:tr>
      <w:tr>
        <w:tc>
          <w:tcPr>
            <w:tcW w:type="dxa" w:w="2600"/>
            <w:tcMar>
              <w:top w:type="dxa" w:w="60"/>
              <w:left w:type="dxa" w:w="80"/>
              <w:bottom w:type="dxa" w:w="60"/>
              <w:right w:type="dxa" w:w="80"/>
            </w:tcMar>
          </w:tcPr>
          <w:p>
            <w:r>
              <w:rPr>
                <w:b w:val="false"/>
                <w:bCs w:val="false"/>
                <w:color w:val="000000"/>
                <w:sz w:val="18"/>
                <w:szCs w:val="18"/>
              </w:rPr>
              <w:t xml:space="preserve">Gachibowli</w:t>
            </w:r>
          </w:p>
        </w:tc>
        <w:tc>
          <w:tcPr>
            <w:tcW w:type="dxa" w:w="2000"/>
            <w:tcMar>
              <w:top w:type="dxa" w:w="60"/>
              <w:left w:type="dxa" w:w="80"/>
              <w:bottom w:type="dxa" w:w="60"/>
              <w:right w:type="dxa" w:w="80"/>
            </w:tcMar>
          </w:tcPr>
          <w:p>
            <w:r>
              <w:rPr>
                <w:b w:val="false"/>
                <w:bCs w:val="false"/>
                <w:color w:val="000000"/>
                <w:sz w:val="18"/>
                <w:szCs w:val="18"/>
              </w:rPr>
              <w:t xml:space="preserve">₹6,800/sq.ft</w:t>
            </w:r>
          </w:p>
        </w:tc>
        <w:tc>
          <w:tcPr>
            <w:tcW w:type="dxa" w:w="2000"/>
            <w:tcMar>
              <w:top w:type="dxa" w:w="60"/>
              <w:left w:type="dxa" w:w="80"/>
              <w:bottom w:type="dxa" w:w="60"/>
              <w:right w:type="dxa" w:w="80"/>
            </w:tcMar>
          </w:tcPr>
          <w:p>
            <w:r>
              <w:rPr>
                <w:b w:val="false"/>
                <w:bCs w:val="false"/>
                <w:color w:val="000000"/>
                <w:sz w:val="18"/>
                <w:szCs w:val="18"/>
              </w:rPr>
              <w:t xml:space="preserve">₹7,300/sq.ft</w:t>
            </w:r>
          </w:p>
        </w:tc>
        <w:tc>
          <w:tcPr>
            <w:tcW w:type="dxa" w:w="2500"/>
            <w:tcMar>
              <w:top w:type="dxa" w:w="60"/>
              <w:left w:type="dxa" w:w="80"/>
              <w:bottom w:type="dxa" w:w="60"/>
              <w:right w:type="dxa" w:w="80"/>
            </w:tcMar>
          </w:tcPr>
          <w:p>
            <w:r>
              <w:rPr>
                <w:b w:val="false"/>
                <w:bCs w:val="false"/>
                <w:color w:val="000000"/>
                <w:sz w:val="18"/>
                <w:szCs w:val="18"/>
              </w:rPr>
              <w:t xml:space="preserve">+7%</w:t>
            </w:r>
          </w:p>
        </w:tc>
        <w:tc>
          <w:tcPr>
            <w:tcW w:type="dxa" w:w="2300"/>
            <w:tcMar>
              <w:top w:type="dxa" w:w="60"/>
              <w:left w:type="dxa" w:w="80"/>
              <w:bottom w:type="dxa" w:w="60"/>
              <w:right w:type="dxa" w:w="80"/>
            </w:tcMar>
          </w:tcPr>
          <w:p>
            <w:r>
              <w:rPr>
                <w:b w:val="false"/>
                <w:bCs w:val="false"/>
                <w:color w:val="000000"/>
                <w:sz w:val="18"/>
                <w:szCs w:val="18"/>
              </w:rPr>
              <w:t xml:space="preserve">Steady, mature market</w:t>
            </w:r>
          </w:p>
        </w:tc>
      </w:tr>
      <w:tr>
        <w:tc>
          <w:tcPr>
            <w:tcW w:type="dxa" w:w="2600"/>
            <w:tcMar>
              <w:top w:type="dxa" w:w="60"/>
              <w:left w:type="dxa" w:w="80"/>
              <w:bottom w:type="dxa" w:w="60"/>
              <w:right w:type="dxa" w:w="80"/>
            </w:tcMar>
          </w:tcPr>
          <w:p>
            <w:r>
              <w:rPr>
                <w:b w:val="false"/>
                <w:bCs w:val="false"/>
                <w:color w:val="000000"/>
                <w:sz w:val="18"/>
                <w:szCs w:val="18"/>
              </w:rPr>
              <w:t xml:space="preserve">Kondapur</w:t>
            </w:r>
          </w:p>
        </w:tc>
        <w:tc>
          <w:tcPr>
            <w:tcW w:type="dxa" w:w="2000"/>
            <w:tcMar>
              <w:top w:type="dxa" w:w="60"/>
              <w:left w:type="dxa" w:w="80"/>
              <w:bottom w:type="dxa" w:w="60"/>
              <w:right w:type="dxa" w:w="80"/>
            </w:tcMar>
          </w:tcPr>
          <w:p>
            <w:r>
              <w:rPr>
                <w:b w:val="false"/>
                <w:bCs w:val="false"/>
                <w:color w:val="000000"/>
                <w:sz w:val="18"/>
                <w:szCs w:val="18"/>
              </w:rPr>
              <w:t xml:space="preserve">₹6,500/sq.ft</w:t>
            </w:r>
          </w:p>
        </w:tc>
        <w:tc>
          <w:tcPr>
            <w:tcW w:type="dxa" w:w="2000"/>
            <w:tcMar>
              <w:top w:type="dxa" w:w="60"/>
              <w:left w:type="dxa" w:w="80"/>
              <w:bottom w:type="dxa" w:w="60"/>
              <w:right w:type="dxa" w:w="80"/>
            </w:tcMar>
          </w:tcPr>
          <w:p>
            <w:r>
              <w:rPr>
                <w:b w:val="false"/>
                <w:bCs w:val="false"/>
                <w:color w:val="000000"/>
                <w:sz w:val="18"/>
                <w:szCs w:val="18"/>
              </w:rPr>
              <w:t xml:space="preserve">₹6,950/sq.ft</w:t>
            </w:r>
          </w:p>
        </w:tc>
        <w:tc>
          <w:tcPr>
            <w:tcW w:type="dxa" w:w="2500"/>
            <w:tcMar>
              <w:top w:type="dxa" w:w="60"/>
              <w:left w:type="dxa" w:w="80"/>
              <w:bottom w:type="dxa" w:w="60"/>
              <w:right w:type="dxa" w:w="80"/>
            </w:tcMar>
          </w:tcPr>
          <w:p>
            <w:r>
              <w:rPr>
                <w:b w:val="false"/>
                <w:bCs w:val="false"/>
                <w:color w:val="000000"/>
                <w:sz w:val="18"/>
                <w:szCs w:val="18"/>
              </w:rPr>
              <w:t xml:space="preserve">+7%</w:t>
            </w:r>
          </w:p>
        </w:tc>
        <w:tc>
          <w:tcPr>
            <w:tcW w:type="dxa" w:w="2300"/>
            <w:tcMar>
              <w:top w:type="dxa" w:w="60"/>
              <w:left w:type="dxa" w:w="80"/>
              <w:bottom w:type="dxa" w:w="60"/>
              <w:right w:type="dxa" w:w="80"/>
            </w:tcMar>
          </w:tcPr>
          <w:p>
            <w:r>
              <w:rPr>
                <w:b w:val="false"/>
                <w:bCs w:val="false"/>
                <w:color w:val="000000"/>
                <w:sz w:val="18"/>
                <w:szCs w:val="18"/>
              </w:rPr>
              <w:t xml:space="preserve">Stable demand from families</w:t>
            </w:r>
          </w:p>
        </w:tc>
      </w:tr>
      <w:tr>
        <w:tc>
          <w:tcPr>
            <w:tcW w:type="dxa" w:w="2600"/>
            <w:tcMar>
              <w:top w:type="dxa" w:w="60"/>
              <w:left w:type="dxa" w:w="80"/>
              <w:bottom w:type="dxa" w:w="60"/>
              <w:right w:type="dxa" w:w="80"/>
            </w:tcMar>
          </w:tcPr>
          <w:p>
            <w:r>
              <w:rPr>
                <w:b w:val="false"/>
                <w:bCs w:val="false"/>
                <w:color w:val="000000"/>
                <w:sz w:val="18"/>
                <w:szCs w:val="18"/>
              </w:rPr>
              <w:t xml:space="preserve">Nallagandla</w:t>
            </w:r>
          </w:p>
        </w:tc>
        <w:tc>
          <w:tcPr>
            <w:tcW w:type="dxa" w:w="2000"/>
            <w:tcMar>
              <w:top w:type="dxa" w:w="60"/>
              <w:left w:type="dxa" w:w="80"/>
              <w:bottom w:type="dxa" w:w="60"/>
              <w:right w:type="dxa" w:w="80"/>
            </w:tcMar>
          </w:tcPr>
          <w:p>
            <w:r>
              <w:rPr>
                <w:b w:val="false"/>
                <w:bCs w:val="false"/>
                <w:color w:val="000000"/>
                <w:sz w:val="18"/>
                <w:szCs w:val="18"/>
              </w:rPr>
              <w:t xml:space="preserve">₹5,400/sq.ft</w:t>
            </w:r>
          </w:p>
        </w:tc>
        <w:tc>
          <w:tcPr>
            <w:tcW w:type="dxa" w:w="2000"/>
            <w:tcMar>
              <w:top w:type="dxa" w:w="60"/>
              <w:left w:type="dxa" w:w="80"/>
              <w:bottom w:type="dxa" w:w="60"/>
              <w:right w:type="dxa" w:w="80"/>
            </w:tcMar>
          </w:tcPr>
          <w:p>
            <w:r>
              <w:rPr>
                <w:b w:val="false"/>
                <w:bCs w:val="false"/>
                <w:color w:val="000000"/>
                <w:sz w:val="18"/>
                <w:szCs w:val="18"/>
              </w:rPr>
              <w:t xml:space="preserve">₹5,650/sq.ft</w:t>
            </w:r>
          </w:p>
        </w:tc>
        <w:tc>
          <w:tcPr>
            <w:tcW w:type="dxa" w:w="2500"/>
            <w:tcMar>
              <w:top w:type="dxa" w:w="60"/>
              <w:left w:type="dxa" w:w="80"/>
              <w:bottom w:type="dxa" w:w="60"/>
              <w:right w:type="dxa" w:w="80"/>
            </w:tcMar>
          </w:tcPr>
          <w:p>
            <w:r>
              <w:rPr>
                <w:b w:val="false"/>
                <w:bCs w:val="false"/>
                <w:color w:val="000000"/>
                <w:sz w:val="18"/>
                <w:szCs w:val="18"/>
              </w:rPr>
              <w:t xml:space="preserve">+5%</w:t>
            </w:r>
          </w:p>
        </w:tc>
        <w:tc>
          <w:tcPr>
            <w:tcW w:type="dxa" w:w="2300"/>
            <w:tcMar>
              <w:top w:type="dxa" w:w="60"/>
              <w:left w:type="dxa" w:w="80"/>
              <w:bottom w:type="dxa" w:w="60"/>
              <w:right w:type="dxa" w:w="80"/>
            </w:tcMar>
          </w:tcPr>
          <w:p>
            <w:r>
              <w:rPr>
                <w:b w:val="false"/>
                <w:bCs w:val="false"/>
                <w:color w:val="000000"/>
                <w:sz w:val="18"/>
                <w:szCs w:val="18"/>
              </w:rPr>
              <w:t xml:space="preserve">Value-driven, slower appreciation</w:t>
            </w:r>
          </w:p>
        </w:tc>
      </w:tr>
    </w:tbl>
    <w:p>
      <w:pPr>
        <w:spacing w:after="160"/>
      </w:pPr>
      <w:r>
        <w:t xml:space="preserve"/>
      </w:r>
    </w:p>
    <w:p>
      <w:pPr>
        <w:spacing w:after="160"/>
      </w:pPr>
      <w:r>
        <w:t xml:space="preserve">These figures are internal desk estimates compiled from recent transactions closed or under negotiation through this firm and nearby channel partners; they are indicative only and should not be quoted to clients as official market data.</w:t>
      </w:r>
    </w:p>
    <w:p>
      <w:pPr>
        <w:pStyle w:val="Heading1"/>
        <w:spacing w:after="120" w:before="240"/>
      </w:pPr>
      <w:r>
        <w:t xml:space="preserve">8. Documentation Checklist for Transactions</w:t>
      </w:r>
    </w:p>
    <w:p>
      <w:pPr>
        <w:pStyle w:val="ListParagraph"/>
        <w:numPr>
          <w:ilvl w:val="0"/>
          <w:numId w:val="2"/>
        </w:numPr>
        <w:spacing w:after="80"/>
      </w:pPr>
      <w:r>
        <w:t xml:space="preserve">Resale: original sale deed, encumbrance certificate (13-year), latest property tax receipt, occupancy certificate (if available), society NOC, and seller's identity/PAN documents</w:t>
      </w:r>
    </w:p>
    <w:p>
      <w:pPr>
        <w:pStyle w:val="ListParagraph"/>
        <w:numPr>
          <w:ilvl w:val="0"/>
          <w:numId w:val="2"/>
        </w:numPr>
        <w:spacing w:after="80"/>
      </w:pPr>
      <w:r>
        <w:t xml:space="preserve">Rental: rental agreement (to be registered if tenure exceeds 11 months per standard practice), tenant identity verification, police intimation where locally required, and owner's NOC for tenant's use of amenities</w:t>
      </w:r>
    </w:p>
    <w:p>
      <w:pPr>
        <w:pStyle w:val="ListParagraph"/>
        <w:numPr>
          <w:ilvl w:val="0"/>
          <w:numId w:val="2"/>
        </w:numPr>
        <w:spacing w:after="80"/>
      </w:pPr>
      <w:r>
        <w:t xml:space="preserve">NRI transactions: additional requirement of a registered power-of-attorney if the NRI owner is not physically present for execution, and FEMA-compliant repatriation documentation for sale proceeds</w:t>
      </w:r>
    </w:p>
    <w:p>
      <w:pPr>
        <w:pStyle w:val="Heading1"/>
        <w:spacing w:after="120" w:before="240"/>
      </w:pPr>
      <w:r>
        <w:t xml:space="preserve">9. Weekly Follow-Up Priorities</w:t>
      </w:r>
    </w:p>
    <w:p>
      <w:pPr>
        <w:pStyle w:val="ListParagraph"/>
        <w:numPr>
          <w:ilvl w:val="0"/>
          <w:numId w:val="2"/>
        </w:numPr>
        <w:spacing w:after="80"/>
      </w:pPr>
      <w:r>
        <w:t xml:space="preserve">Confirm Techsphere Solutions' final decision on the Emerald Enclave A-0602 corporate lease by 25 Aug 2025</w:t>
      </w:r>
    </w:p>
    <w:p>
      <w:pPr>
        <w:pStyle w:val="ListParagraph"/>
        <w:numPr>
          <w:ilvl w:val="0"/>
          <w:numId w:val="2"/>
        </w:numPr>
        <w:spacing w:after="80"/>
      </w:pPr>
      <w:r>
        <w:t xml:space="preserve">Obtain updated photographs for the Orchid Heights A-2001 listing ahead of the next buyer walkthrough</w:t>
      </w:r>
    </w:p>
    <w:p>
      <w:pPr>
        <w:pStyle w:val="ListParagraph"/>
        <w:numPr>
          <w:ilvl w:val="0"/>
          <w:numId w:val="2"/>
        </w:numPr>
        <w:spacing w:after="80"/>
      </w:pPr>
      <w:r>
        <w:t xml:space="preserve">Follow up with Lake Vista Residency D-0611 owner regarding independent inspection report for the disclosed seepage issue, to be shared transparently with serious buyers</w:t>
      </w:r>
    </w:p>
    <w:p>
      <w:pPr>
        <w:pStyle w:val="ListParagraph"/>
        <w:numPr>
          <w:ilvl w:val="0"/>
          <w:numId w:val="2"/>
        </w:numPr>
        <w:spacing w:after="80"/>
      </w:pPr>
      <w:r>
        <w:t xml:space="preserve">Re-confirm availability of Palm Grove Towers B-1502 listing status with owner after 15 Sep 2025 pause period ends</w:t>
      </w:r>
    </w:p>
    <w:p>
      <w:pPr>
        <w:pStyle w:val="Heading1"/>
        <w:spacing w:after="120" w:before="240"/>
      </w:pPr>
      <w:r>
        <w:t xml:space="preserve">10. New Listings Expected (Pipeline)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2100"/>
        <w:gridCol w:w="1900"/>
      </w:tblGrid>
      <w:tr>
        <w:tc>
          <w:tcPr>
            <w:tcW w:type="dxa" w:w="2600"/>
            <w:shd w:fill="6B4B1F" w:color="auto" w:val="clear"/>
            <w:tcMar>
              <w:top w:type="dxa" w:w="60"/>
              <w:left w:type="dxa" w:w="80"/>
              <w:bottom w:type="dxa" w:w="60"/>
              <w:right w:type="dxa" w:w="80"/>
            </w:tcMar>
          </w:tcPr>
          <w:p>
            <w:r>
              <w:rPr>
                <w:b/>
                <w:bCs/>
                <w:color w:val="FFFFFF"/>
                <w:sz w:val="18"/>
                <w:szCs w:val="18"/>
              </w:rPr>
              <w:t xml:space="preserve">Community / Unit</w:t>
            </w:r>
          </w:p>
        </w:tc>
        <w:tc>
          <w:tcPr>
            <w:tcW w:type="dxa" w:w="1600"/>
            <w:shd w:fill="6B4B1F" w:color="auto" w:val="clear"/>
            <w:tcMar>
              <w:top w:type="dxa" w:w="60"/>
              <w:left w:type="dxa" w:w="80"/>
              <w:bottom w:type="dxa" w:w="60"/>
              <w:right w:type="dxa" w:w="80"/>
            </w:tcMar>
          </w:tcPr>
          <w:p>
            <w:r>
              <w:rPr>
                <w:b/>
                <w:bCs/>
                <w:color w:val="FFFFFF"/>
                <w:sz w:val="18"/>
                <w:szCs w:val="18"/>
              </w:rPr>
              <w:t xml:space="preserve">Type</w:t>
            </w:r>
          </w:p>
        </w:tc>
        <w:tc>
          <w:tcPr>
            <w:tcW w:type="dxa" w:w="1800"/>
            <w:shd w:fill="6B4B1F" w:color="auto" w:val="clear"/>
            <w:tcMar>
              <w:top w:type="dxa" w:w="60"/>
              <w:left w:type="dxa" w:w="80"/>
              <w:bottom w:type="dxa" w:w="60"/>
              <w:right w:type="dxa" w:w="80"/>
            </w:tcMar>
          </w:tcPr>
          <w:p>
            <w:r>
              <w:rPr>
                <w:b/>
                <w:bCs/>
                <w:color w:val="FFFFFF"/>
                <w:sz w:val="18"/>
                <w:szCs w:val="18"/>
              </w:rPr>
              <w:t xml:space="preserve">Expected Listing Type</w:t>
            </w:r>
          </w:p>
        </w:tc>
        <w:tc>
          <w:tcPr>
            <w:tcW w:type="dxa" w:w="2100"/>
            <w:shd w:fill="6B4B1F" w:color="auto" w:val="clear"/>
            <w:tcMar>
              <w:top w:type="dxa" w:w="60"/>
              <w:left w:type="dxa" w:w="80"/>
              <w:bottom w:type="dxa" w:w="60"/>
              <w:right w:type="dxa" w:w="80"/>
            </w:tcMar>
          </w:tcPr>
          <w:p>
            <w:r>
              <w:rPr>
                <w:b/>
                <w:bCs/>
                <w:color w:val="FFFFFF"/>
                <w:sz w:val="18"/>
                <w:szCs w:val="18"/>
              </w:rPr>
              <w:t xml:space="preserve">Expected Date</w:t>
            </w:r>
          </w:p>
        </w:tc>
        <w:tc>
          <w:tcPr>
            <w:tcW w:type="dxa" w:w="1900"/>
            <w:shd w:fill="6B4B1F" w:color="auto" w:val="clear"/>
            <w:tcMar>
              <w:top w:type="dxa" w:w="60"/>
              <w:left w:type="dxa" w:w="80"/>
              <w:bottom w:type="dxa" w:w="60"/>
              <w:right w:type="dxa" w:w="80"/>
            </w:tcMar>
          </w:tcPr>
          <w:p>
            <w:r>
              <w:rPr>
                <w:b/>
                <w:bCs/>
                <w:color w:val="FFFFFF"/>
                <w:sz w:val="18"/>
                <w:szCs w:val="18"/>
              </w:rPr>
              <w:t xml:space="preserve">Notes</w:t>
            </w:r>
          </w:p>
        </w:tc>
      </w:tr>
      <w:tr>
        <w:tc>
          <w:tcPr>
            <w:tcW w:type="dxa" w:w="2600"/>
            <w:tcMar>
              <w:top w:type="dxa" w:w="60"/>
              <w:left w:type="dxa" w:w="80"/>
              <w:bottom w:type="dxa" w:w="60"/>
              <w:right w:type="dxa" w:w="80"/>
            </w:tcMar>
          </w:tcPr>
          <w:p>
            <w:r>
              <w:rPr>
                <w:b w:val="false"/>
                <w:bCs w:val="false"/>
                <w:color w:val="000000"/>
                <w:sz w:val="18"/>
                <w:szCs w:val="18"/>
              </w:rPr>
              <w:t xml:space="preserve">Sky Meadows Residency, Tower C-1401</w:t>
            </w:r>
          </w:p>
        </w:tc>
        <w:tc>
          <w:tcPr>
            <w:tcW w:type="dxa" w:w="1600"/>
            <w:tcMar>
              <w:top w:type="dxa" w:w="60"/>
              <w:left w:type="dxa" w:w="80"/>
              <w:bottom w:type="dxa" w:w="60"/>
              <w:right w:type="dxa" w:w="80"/>
            </w:tcMar>
          </w:tcPr>
          <w:p>
            <w:r>
              <w:rPr>
                <w:b w:val="false"/>
                <w:bCs w:val="false"/>
                <w:color w:val="000000"/>
                <w:sz w:val="18"/>
                <w:szCs w:val="18"/>
              </w:rPr>
              <w:t xml:space="preserve">4 BHK</w:t>
            </w:r>
          </w:p>
        </w:tc>
        <w:tc>
          <w:tcPr>
            <w:tcW w:type="dxa" w:w="1800"/>
            <w:tcMar>
              <w:top w:type="dxa" w:w="60"/>
              <w:left w:type="dxa" w:w="80"/>
              <w:bottom w:type="dxa" w:w="60"/>
              <w:right w:type="dxa" w:w="80"/>
            </w:tcMar>
          </w:tcPr>
          <w:p>
            <w:r>
              <w:rPr>
                <w:b w:val="false"/>
                <w:bCs w:val="false"/>
                <w:color w:val="000000"/>
                <w:sz w:val="18"/>
                <w:szCs w:val="18"/>
              </w:rPr>
              <w:t xml:space="preserve">Resale</w:t>
            </w:r>
          </w:p>
        </w:tc>
        <w:tc>
          <w:tcPr>
            <w:tcW w:type="dxa" w:w="2100"/>
            <w:tcMar>
              <w:top w:type="dxa" w:w="60"/>
              <w:left w:type="dxa" w:w="80"/>
              <w:bottom w:type="dxa" w:w="60"/>
              <w:right w:type="dxa" w:w="80"/>
            </w:tcMar>
          </w:tcPr>
          <w:p>
            <w:r>
              <w:rPr>
                <w:b w:val="false"/>
                <w:bCs w:val="false"/>
                <w:color w:val="000000"/>
                <w:sz w:val="18"/>
                <w:szCs w:val="18"/>
              </w:rPr>
              <w:t xml:space="preserve">Early Sep 2025</w:t>
            </w:r>
          </w:p>
        </w:tc>
        <w:tc>
          <w:tcPr>
            <w:tcW w:type="dxa" w:w="1900"/>
            <w:tcMar>
              <w:top w:type="dxa" w:w="60"/>
              <w:left w:type="dxa" w:w="80"/>
              <w:bottom w:type="dxa" w:w="60"/>
              <w:right w:type="dxa" w:w="80"/>
            </w:tcMar>
          </w:tcPr>
          <w:p>
            <w:r>
              <w:rPr>
                <w:b w:val="false"/>
                <w:bCs w:val="false"/>
                <w:color w:val="000000"/>
                <w:sz w:val="18"/>
                <w:szCs w:val="18"/>
              </w:rPr>
              <w:t xml:space="preserve">Owner relocating abroad; verbal mandate received, awaiting signed agreement</w:t>
            </w:r>
          </w:p>
        </w:tc>
      </w:tr>
      <w:tr>
        <w:tc>
          <w:tcPr>
            <w:tcW w:type="dxa" w:w="2600"/>
            <w:tcMar>
              <w:top w:type="dxa" w:w="60"/>
              <w:left w:type="dxa" w:w="80"/>
              <w:bottom w:type="dxa" w:w="60"/>
              <w:right w:type="dxa" w:w="80"/>
            </w:tcMar>
          </w:tcPr>
          <w:p>
            <w:r>
              <w:rPr>
                <w:b w:val="false"/>
                <w:bCs w:val="false"/>
                <w:color w:val="000000"/>
                <w:sz w:val="18"/>
                <w:szCs w:val="18"/>
              </w:rPr>
              <w:t xml:space="preserve">Emerald Enclave, Tower D-1102</w:t>
            </w:r>
          </w:p>
        </w:tc>
        <w:tc>
          <w:tcPr>
            <w:tcW w:type="dxa" w:w="1600"/>
            <w:tcMar>
              <w:top w:type="dxa" w:w="60"/>
              <w:left w:type="dxa" w:w="80"/>
              <w:bottom w:type="dxa" w:w="60"/>
              <w:right w:type="dxa" w:w="80"/>
            </w:tcMar>
          </w:tcPr>
          <w:p>
            <w:r>
              <w:rPr>
                <w:b w:val="false"/>
                <w:bCs w:val="false"/>
                <w:color w:val="000000"/>
                <w:sz w:val="18"/>
                <w:szCs w:val="18"/>
              </w:rPr>
              <w:t xml:space="preserve">2 BHK</w:t>
            </w:r>
          </w:p>
        </w:tc>
        <w:tc>
          <w:tcPr>
            <w:tcW w:type="dxa" w:w="1800"/>
            <w:tcMar>
              <w:top w:type="dxa" w:w="60"/>
              <w:left w:type="dxa" w:w="80"/>
              <w:bottom w:type="dxa" w:w="60"/>
              <w:right w:type="dxa" w:w="80"/>
            </w:tcMar>
          </w:tcPr>
          <w:p>
            <w:r>
              <w:rPr>
                <w:b w:val="false"/>
                <w:bCs w:val="false"/>
                <w:color w:val="000000"/>
                <w:sz w:val="18"/>
                <w:szCs w:val="18"/>
              </w:rPr>
              <w:t xml:space="preserve">Rental</w:t>
            </w:r>
          </w:p>
        </w:tc>
        <w:tc>
          <w:tcPr>
            <w:tcW w:type="dxa" w:w="2100"/>
            <w:tcMar>
              <w:top w:type="dxa" w:w="60"/>
              <w:left w:type="dxa" w:w="80"/>
              <w:bottom w:type="dxa" w:w="60"/>
              <w:right w:type="dxa" w:w="80"/>
            </w:tcMar>
          </w:tcPr>
          <w:p>
            <w:r>
              <w:rPr>
                <w:b w:val="false"/>
                <w:bCs w:val="false"/>
                <w:color w:val="000000"/>
                <w:sz w:val="18"/>
                <w:szCs w:val="18"/>
              </w:rPr>
              <w:t xml:space="preserve">Mid Sep 2025</w:t>
            </w:r>
          </w:p>
        </w:tc>
        <w:tc>
          <w:tcPr>
            <w:tcW w:type="dxa" w:w="1900"/>
            <w:tcMar>
              <w:top w:type="dxa" w:w="60"/>
              <w:left w:type="dxa" w:w="80"/>
              <w:bottom w:type="dxa" w:w="60"/>
              <w:right w:type="dxa" w:w="80"/>
            </w:tcMar>
          </w:tcPr>
          <w:p>
            <w:r>
              <w:rPr>
                <w:b w:val="false"/>
                <w:bCs w:val="false"/>
                <w:color w:val="000000"/>
                <w:sz w:val="18"/>
                <w:szCs w:val="18"/>
              </w:rPr>
              <w:t xml:space="preserve">Current tenant giving notice; owner has asked us to line up next tenant</w:t>
            </w:r>
          </w:p>
        </w:tc>
      </w:tr>
    </w:tbl>
    <w:p>
      <w:pPr>
        <w:spacing w:after="160"/>
      </w:pPr>
      <w:r>
        <w:t xml:space="preserve"/>
      </w:r>
    </w:p>
    <w:p>
      <w:pPr>
        <w:spacing w:after="160"/>
      </w:pPr>
      <w:r>
        <w:t xml:space="preserve">Both pipeline listings above are unconfirmed mandates and should not be advertised externally until a signed listing agreement is received from the respective owner.</w:t>
      </w:r>
    </w:p>
    <w:p>
      <w:pPr>
        <w:pStyle w:val="Heading1"/>
        <w:spacing w:after="120" w:before="240"/>
      </w:pPr>
      <w:r>
        <w:t xml:space="preserve">11. General Handling Guidelines</w:t>
      </w:r>
    </w:p>
    <w:p>
      <w:pPr>
        <w:pStyle w:val="ListParagraph"/>
        <w:numPr>
          <w:ilvl w:val="0"/>
          <w:numId w:val="2"/>
        </w:numPr>
        <w:spacing w:after="80"/>
      </w:pPr>
      <w:r>
        <w:t xml:space="preserve">All price and rent figures in this portfolio are subject to change without prior notice and should be verified with the listing owner before being confirmed to a client</w:t>
      </w:r>
    </w:p>
    <w:p>
      <w:pPr>
        <w:pStyle w:val="ListParagraph"/>
        <w:numPr>
          <w:ilvl w:val="0"/>
          <w:numId w:val="2"/>
        </w:numPr>
        <w:spacing w:after="80"/>
      </w:pPr>
      <w:r>
        <w:t xml:space="preserve">Site visits must be scheduled at least 24 hours in advance through the respective owner or tenant contact on file, and accompanied by an agent from this firm</w:t>
      </w:r>
    </w:p>
    <w:p>
      <w:pPr>
        <w:pStyle w:val="ListParagraph"/>
        <w:numPr>
          <w:ilvl w:val="0"/>
          <w:numId w:val="2"/>
        </w:numPr>
        <w:spacing w:after="80"/>
      </w:pPr>
      <w:r>
        <w:t xml:space="preserve">Any disclosed defects (e.g., the Lake Vista Residency seepage note in Section 1) must be communicated to prospective buyers or tenants in writing before an offer is made, in line with the firm's disclosure policy</w:t>
      </w:r>
    </w:p>
    <w:p>
      <w:pPr>
        <w:pStyle w:val="ListParagraph"/>
        <w:numPr>
          <w:ilvl w:val="0"/>
          <w:numId w:val="2"/>
        </w:numPr>
        <w:spacing w:after="80"/>
      </w:pPr>
      <w:r>
        <w:t xml:space="preserve">Listings marked as paused or on hold (see Section 4) must not be shown or discussed with new client leads until explicitly reactivated by the listing owner</w:t>
      </w:r>
    </w:p>
    <w:p>
      <w:pPr>
        <w:pStyle w:val="Heading1"/>
        <w:spacing w:after="120" w:before="240"/>
      </w:pPr>
      <w:r>
        <w:t xml:space="preserve">12. Document Control</w:t>
      </w:r>
    </w:p>
    <w:p>
      <w:pPr>
        <w:spacing w:after="160"/>
      </w:pPr>
      <w:r>
        <w:t xml:space="preserve">This portfolio is refreshed weekly, every Monday, by the listings desk. Agents should confirm they are working from the most recent version before sharing pricing or availability information with clients, as figures in earlier versions may no longer be accurate.</w:t>
      </w:r>
    </w:p>
    <w:p>
      <w:pPr>
        <w:pStyle w:val="Heading1"/>
        <w:spacing w:after="120" w:before="240"/>
      </w:pPr>
      <w:r>
        <w:t xml:space="preserve">13. Legal and Compliance Notes</w:t>
      </w:r>
    </w:p>
    <w:p>
      <w:pPr>
        <w:pStyle w:val="ListParagraph"/>
        <w:numPr>
          <w:ilvl w:val="0"/>
          <w:numId w:val="2"/>
        </w:numPr>
        <w:spacing w:after="80"/>
      </w:pPr>
      <w:r>
        <w:t xml:space="preserve">All listing agreements must be signed by the owner (or a valid power-of-attorney holder) before a property is added to this portfolio; verbal mandates, as noted for pipeline listings in Section 10, are tracked separately and not treated as active listings</w:t>
      </w:r>
    </w:p>
    <w:p>
      <w:pPr>
        <w:pStyle w:val="ListParagraph"/>
        <w:numPr>
          <w:ilvl w:val="0"/>
          <w:numId w:val="2"/>
        </w:numPr>
        <w:spacing w:after="80"/>
      </w:pPr>
      <w:r>
        <w:t xml:space="preserve">For NRI-owned properties, agents must confirm the validity and scope of any power-of-attorney document before proceeding with a transaction, and route all financial communication through the registered POA holder or owner directly</w:t>
      </w:r>
    </w:p>
    <w:p>
      <w:pPr>
        <w:pStyle w:val="ListParagraph"/>
        <w:numPr>
          <w:ilvl w:val="0"/>
          <w:numId w:val="2"/>
        </w:numPr>
        <w:spacing w:after="80"/>
      </w:pPr>
      <w:r>
        <w:t xml:space="preserve">Any brokerage fee structure communicated to a client must match the terms in Section 6; agents are not authorized to offer discounted brokerage without written approval from the firm's managing partner</w:t>
      </w:r>
    </w:p>
    <w:p>
      <w:pPr>
        <w:spacing w:after="200"/>
      </w:pPr>
      <w:r>
        <w:rPr>
          <w:i/>
          <w:iCs/>
          <w:color w:val="666666"/>
          <w:sz w:val="20"/>
          <w:szCs w:val="20"/>
        </w:rPr>
        <w:t xml:space="preserve">End of document. Internal reference: PAR-LIST-20250818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Prime Address Realty Advisors, Hyderabad — Internal Listing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2026-08-23T14:04:00.887Z</dcterms:created>
  <dcterms:modified xsi:type="dcterms:W3CDTF">2026-08-23T14:04:00.887Z</dcterms:modified>
</cp:coreProperties>
</file>

<file path=docProps/custom.xml><?xml version="1.0" encoding="utf-8"?>
<Properties xmlns="http://schemas.openxmlformats.org/officeDocument/2006/custom-properties" xmlns:vt="http://schemas.openxmlformats.org/officeDocument/2006/docPropsVTypes"/>
</file>