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C2E4A"/>
          <w:sz w:val="22"/>
          <w:szCs w:val="22"/>
        </w:rPr>
        <w:t xml:space="preserve">Emerald Enclave Owners' Association</w:t>
      </w:r>
    </w:p>
    <w:p>
      <w:pPr>
        <w:spacing w:after="200"/>
      </w:pPr>
      <w:r>
        <w:rPr>
          <w:i/>
          <w:iCs/>
          <w:color w:val="888888"/>
          <w:sz w:val="18"/>
          <w:szCs w:val="18"/>
        </w:rPr>
        <w:t xml:space="preserve">Internal Record — Managing Committee Use Only</w:t>
      </w:r>
    </w:p>
    <w:p>
      <w:pPr>
        <w:spacing w:after="80"/>
      </w:pPr>
      <w:r>
        <w:rPr>
          <w:b/>
          <w:bCs/>
          <w:color w:val="5C2E4A"/>
          <w:sz w:val="36"/>
          <w:szCs w:val="36"/>
        </w:rPr>
        <w:t xml:space="preserve">Maintenance &amp; Compliance Log</w:t>
      </w:r>
    </w:p>
    <w:p>
      <w:pPr>
        <w:spacing w:after="200"/>
      </w:pPr>
      <w:r>
        <w:rPr>
          <w:i/>
          <w:iCs/>
          <w:color w:val="444444"/>
          <w:sz w:val="24"/>
          <w:szCs w:val="24"/>
        </w:rPr>
        <w:t xml:space="preserve">January 2025 – July 2025</w:t>
      </w:r>
    </w:p>
    <w:p>
      <w:pPr>
        <w:spacing w:after="200"/>
      </w:pPr>
      <w:r>
        <w:rPr>
          <w:i/>
          <w:iCs/>
          <w:color w:val="666666"/>
          <w:sz w:val="20"/>
          <w:szCs w:val="20"/>
        </w:rPr>
        <w:t xml:space="preserve">Illustrative / synthetic document created for training and demonstration purposes (e.g., testing retrieval-augmented generation systems). All names, flat numbers, and figures are fictional and do not correspond to any real resident or association.</w:t>
      </w:r>
    </w:p>
    <w:p>
      <w:pPr>
        <w:pStyle w:val="Heading1"/>
        <w:spacing w:after="120" w:before="240"/>
      </w:pPr>
      <w:r>
        <w:t xml:space="preserve">1. Purpose</w:t>
      </w:r>
    </w:p>
    <w:p>
      <w:pPr>
        <w:spacing w:after="160"/>
      </w:pPr>
      <w:r>
        <w:t xml:space="preserve">This log records maintenance charge defaults, resident complaints and their resolution, rule violations and fines levied, and key Annual General Meeting (AGM) decisions for Emerald Enclave, for internal tracking by the Managing Committee and the appointed facility management agency.</w:t>
      </w:r>
    </w:p>
    <w:p>
      <w:pPr>
        <w:pStyle w:val="Heading1"/>
        <w:spacing w:after="120" w:before="240"/>
      </w:pPr>
      <w:r>
        <w:t xml:space="preserve">2. Maintenance Charge Defaulters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5200"/>
      </w:tblGrid>
      <w:tr>
        <w:tc>
          <w:tcPr>
            <w:tcW w:type="dxa" w:w="1600"/>
            <w:shd w:fill="5C2E4A" w:color="auto" w:val="clear"/>
            <w:tcMar>
              <w:top w:type="dxa" w:w="70"/>
              <w:left w:type="dxa" w:w="90"/>
              <w:bottom w:type="dxa" w:w="70"/>
              <w:right w:type="dxa" w:w="90"/>
            </w:tcMar>
          </w:tcPr>
          <w:p>
            <w:r>
              <w:rPr>
                <w:b/>
                <w:bCs/>
                <w:color w:val="FFFFFF"/>
                <w:sz w:val="19"/>
                <w:szCs w:val="19"/>
              </w:rPr>
              <w:t xml:space="preserve">Flat No.</w:t>
            </w:r>
          </w:p>
        </w:tc>
        <w:tc>
          <w:tcPr>
            <w:tcW w:type="dxa" w:w="3000"/>
            <w:shd w:fill="5C2E4A" w:color="auto" w:val="clear"/>
            <w:tcMar>
              <w:top w:type="dxa" w:w="70"/>
              <w:left w:type="dxa" w:w="90"/>
              <w:bottom w:type="dxa" w:w="70"/>
              <w:right w:type="dxa" w:w="90"/>
            </w:tcMar>
          </w:tcPr>
          <w:p>
            <w:r>
              <w:rPr>
                <w:b/>
                <w:bCs/>
                <w:color w:val="FFFFFF"/>
                <w:sz w:val="19"/>
                <w:szCs w:val="19"/>
              </w:rPr>
              <w:t xml:space="preserve">Quarter / Amount Due</w:t>
            </w:r>
          </w:p>
        </w:tc>
        <w:tc>
          <w:tcPr>
            <w:tcW w:type="dxa" w:w="5200"/>
            <w:shd w:fill="5C2E4A" w:color="auto" w:val="clear"/>
            <w:tcMar>
              <w:top w:type="dxa" w:w="70"/>
              <w:left w:type="dxa" w:w="90"/>
              <w:bottom w:type="dxa" w:w="70"/>
              <w:right w:type="dxa" w:w="90"/>
            </w:tcMar>
          </w:tcPr>
          <w:p>
            <w:r>
              <w:rPr>
                <w:b/>
                <w:bCs/>
                <w:color w:val="FFFFFF"/>
                <w:sz w:val="19"/>
                <w:szCs w:val="19"/>
              </w:rPr>
              <w:t xml:space="preserve">Status as of 31 Jul 2025</w:t>
            </w:r>
          </w:p>
        </w:tc>
      </w:tr>
      <w:tr>
        <w:tc>
          <w:tcPr>
            <w:tcW w:type="dxa" w:w="1600"/>
            <w:tcMar>
              <w:top w:type="dxa" w:w="70"/>
              <w:left w:type="dxa" w:w="90"/>
              <w:bottom w:type="dxa" w:w="70"/>
              <w:right w:type="dxa" w:w="90"/>
            </w:tcMar>
          </w:tcPr>
          <w:p>
            <w:r>
              <w:rPr>
                <w:b w:val="false"/>
                <w:bCs w:val="false"/>
                <w:color w:val="000000"/>
                <w:sz w:val="19"/>
                <w:szCs w:val="19"/>
              </w:rPr>
              <w:t xml:space="preserve">Tower B, 0704</w:t>
            </w:r>
          </w:p>
        </w:tc>
        <w:tc>
          <w:tcPr>
            <w:tcW w:type="dxa" w:w="3000"/>
            <w:tcMar>
              <w:top w:type="dxa" w:w="70"/>
              <w:left w:type="dxa" w:w="90"/>
              <w:bottom w:type="dxa" w:w="70"/>
              <w:right w:type="dxa" w:w="90"/>
            </w:tcMar>
          </w:tcPr>
          <w:p>
            <w:r>
              <w:rPr>
                <w:b w:val="false"/>
                <w:bCs w:val="false"/>
                <w:color w:val="000000"/>
                <w:sz w:val="19"/>
                <w:szCs w:val="19"/>
              </w:rPr>
              <w:t xml:space="preserve">Q1 2025 — ₹17,088</w:t>
            </w:r>
          </w:p>
        </w:tc>
        <w:tc>
          <w:tcPr>
            <w:tcW w:type="dxa" w:w="5200"/>
            <w:tcMar>
              <w:top w:type="dxa" w:w="70"/>
              <w:left w:type="dxa" w:w="90"/>
              <w:bottom w:type="dxa" w:w="70"/>
              <w:right w:type="dxa" w:w="90"/>
            </w:tcMar>
          </w:tcPr>
          <w:p>
            <w:r>
              <w:rPr>
                <w:b w:val="false"/>
                <w:bCs w:val="false"/>
                <w:color w:val="000000"/>
                <w:sz w:val="19"/>
                <w:szCs w:val="19"/>
              </w:rPr>
              <w:t xml:space="preserve">Paid on 22 May 2025, after 2 reminder notices; late surcharge of ₹1,367 applied</w:t>
            </w:r>
          </w:p>
        </w:tc>
      </w:tr>
      <w:tr>
        <w:tc>
          <w:tcPr>
            <w:tcW w:type="dxa" w:w="1600"/>
            <w:tcMar>
              <w:top w:type="dxa" w:w="70"/>
              <w:left w:type="dxa" w:w="90"/>
              <w:bottom w:type="dxa" w:w="70"/>
              <w:right w:type="dxa" w:w="90"/>
            </w:tcMar>
          </w:tcPr>
          <w:p>
            <w:r>
              <w:rPr>
                <w:b w:val="false"/>
                <w:bCs w:val="false"/>
                <w:color w:val="000000"/>
                <w:sz w:val="19"/>
                <w:szCs w:val="19"/>
              </w:rPr>
              <w:t xml:space="preserve">Tower C, 1210</w:t>
            </w:r>
          </w:p>
        </w:tc>
        <w:tc>
          <w:tcPr>
            <w:tcW w:type="dxa" w:w="3000"/>
            <w:tcMar>
              <w:top w:type="dxa" w:w="70"/>
              <w:left w:type="dxa" w:w="90"/>
              <w:bottom w:type="dxa" w:w="70"/>
              <w:right w:type="dxa" w:w="90"/>
            </w:tcMar>
          </w:tcPr>
          <w:p>
            <w:r>
              <w:rPr>
                <w:b w:val="false"/>
                <w:bCs w:val="false"/>
                <w:color w:val="000000"/>
                <w:sz w:val="19"/>
                <w:szCs w:val="19"/>
              </w:rPr>
              <w:t xml:space="preserve">Q1 &amp; Q2 2025 — ₹34,176</w:t>
            </w:r>
          </w:p>
        </w:tc>
        <w:tc>
          <w:tcPr>
            <w:tcW w:type="dxa" w:w="5200"/>
            <w:tcMar>
              <w:top w:type="dxa" w:w="70"/>
              <w:left w:type="dxa" w:w="90"/>
              <w:bottom w:type="dxa" w:w="70"/>
              <w:right w:type="dxa" w:w="90"/>
            </w:tcMar>
          </w:tcPr>
          <w:p>
            <w:r>
              <w:rPr>
                <w:b w:val="false"/>
                <w:bCs w:val="false"/>
                <w:color w:val="000000"/>
                <w:sz w:val="19"/>
                <w:szCs w:val="19"/>
              </w:rPr>
              <w:t xml:space="preserve">Outstanding; third reminder notice sent 15 Jul 2025; escalation to committee scheduled if unpaid by 31 Aug 2025</w:t>
            </w:r>
          </w:p>
        </w:tc>
      </w:tr>
      <w:tr>
        <w:tc>
          <w:tcPr>
            <w:tcW w:type="dxa" w:w="1600"/>
            <w:tcMar>
              <w:top w:type="dxa" w:w="70"/>
              <w:left w:type="dxa" w:w="90"/>
              <w:bottom w:type="dxa" w:w="70"/>
              <w:right w:type="dxa" w:w="90"/>
            </w:tcMar>
          </w:tcPr>
          <w:p>
            <w:r>
              <w:rPr>
                <w:b w:val="false"/>
                <w:bCs w:val="false"/>
                <w:color w:val="000000"/>
                <w:sz w:val="19"/>
                <w:szCs w:val="19"/>
              </w:rPr>
              <w:t xml:space="preserve">Tower A, 0208</w:t>
            </w:r>
          </w:p>
        </w:tc>
        <w:tc>
          <w:tcPr>
            <w:tcW w:type="dxa" w:w="3000"/>
            <w:tcMar>
              <w:top w:type="dxa" w:w="70"/>
              <w:left w:type="dxa" w:w="90"/>
              <w:bottom w:type="dxa" w:w="70"/>
              <w:right w:type="dxa" w:w="90"/>
            </w:tcMar>
          </w:tcPr>
          <w:p>
            <w:r>
              <w:rPr>
                <w:b w:val="false"/>
                <w:bCs w:val="false"/>
                <w:color w:val="000000"/>
                <w:sz w:val="19"/>
                <w:szCs w:val="19"/>
              </w:rPr>
              <w:t xml:space="preserve">Q2 2025 — ₹12,672</w:t>
            </w:r>
          </w:p>
        </w:tc>
        <w:tc>
          <w:tcPr>
            <w:tcW w:type="dxa" w:w="5200"/>
            <w:tcMar>
              <w:top w:type="dxa" w:w="70"/>
              <w:left w:type="dxa" w:w="90"/>
              <w:bottom w:type="dxa" w:w="70"/>
              <w:right w:type="dxa" w:w="90"/>
            </w:tcMar>
          </w:tcPr>
          <w:p>
            <w:r>
              <w:rPr>
                <w:b w:val="false"/>
                <w:bCs w:val="false"/>
                <w:color w:val="000000"/>
                <w:sz w:val="19"/>
                <w:szCs w:val="19"/>
              </w:rPr>
              <w:t xml:space="preserve">Paid on 5 Jul 2025 within grace period; no surcharge applied</w:t>
            </w:r>
          </w:p>
        </w:tc>
      </w:tr>
      <w:tr>
        <w:tc>
          <w:tcPr>
            <w:tcW w:type="dxa" w:w="1600"/>
            <w:tcMar>
              <w:top w:type="dxa" w:w="70"/>
              <w:left w:type="dxa" w:w="90"/>
              <w:bottom w:type="dxa" w:w="70"/>
              <w:right w:type="dxa" w:w="90"/>
            </w:tcMar>
          </w:tcPr>
          <w:p>
            <w:r>
              <w:rPr>
                <w:b w:val="false"/>
                <w:bCs w:val="false"/>
                <w:color w:val="000000"/>
                <w:sz w:val="19"/>
                <w:szCs w:val="19"/>
              </w:rPr>
              <w:t xml:space="preserve">Tower D, 1601</w:t>
            </w:r>
          </w:p>
        </w:tc>
        <w:tc>
          <w:tcPr>
            <w:tcW w:type="dxa" w:w="3000"/>
            <w:tcMar>
              <w:top w:type="dxa" w:w="70"/>
              <w:left w:type="dxa" w:w="90"/>
              <w:bottom w:type="dxa" w:w="70"/>
              <w:right w:type="dxa" w:w="90"/>
            </w:tcMar>
          </w:tcPr>
          <w:p>
            <w:r>
              <w:rPr>
                <w:b w:val="false"/>
                <w:bCs w:val="false"/>
                <w:color w:val="000000"/>
                <w:sz w:val="19"/>
                <w:szCs w:val="19"/>
              </w:rPr>
              <w:t xml:space="preserve">Q1 2025 — ₹22,320</w:t>
            </w:r>
          </w:p>
        </w:tc>
        <w:tc>
          <w:tcPr>
            <w:tcW w:type="dxa" w:w="5200"/>
            <w:tcMar>
              <w:top w:type="dxa" w:w="70"/>
              <w:left w:type="dxa" w:w="90"/>
              <w:bottom w:type="dxa" w:w="70"/>
              <w:right w:type="dxa" w:w="90"/>
            </w:tcMar>
          </w:tcPr>
          <w:p>
            <w:r>
              <w:rPr>
                <w:b w:val="false"/>
                <w:bCs w:val="false"/>
                <w:color w:val="000000"/>
                <w:sz w:val="19"/>
                <w:szCs w:val="19"/>
              </w:rPr>
              <w:t xml:space="preserve">Disputed; owner claims incorrect area calculation; under review by Treasurer</w:t>
            </w:r>
          </w:p>
        </w:tc>
      </w:tr>
    </w:tbl>
    <w:p>
      <w:pPr>
        <w:pStyle w:val="Heading1"/>
        <w:spacing w:after="120" w:before="240"/>
      </w:pPr>
      <w:r>
        <w:t xml:space="preserve">3. Resident Complaints Log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1800"/>
        <w:gridCol w:w="3900"/>
      </w:tblGrid>
      <w:tr>
        <w:tc>
          <w:tcPr>
            <w:tcW w:type="dxa" w:w="1500"/>
            <w:shd w:fill="5C2E4A" w:color="auto" w:val="clear"/>
            <w:tcMar>
              <w:top w:type="dxa" w:w="70"/>
              <w:left w:type="dxa" w:w="90"/>
              <w:bottom w:type="dxa" w:w="70"/>
              <w:right w:type="dxa" w:w="90"/>
            </w:tcMar>
          </w:tcPr>
          <w:p>
            <w:r>
              <w:rPr>
                <w:b/>
                <w:bCs/>
                <w:color w:val="FFFFFF"/>
                <w:sz w:val="19"/>
                <w:szCs w:val="19"/>
              </w:rPr>
              <w:t xml:space="preserve">Date Logged</w:t>
            </w:r>
          </w:p>
        </w:tc>
        <w:tc>
          <w:tcPr>
            <w:tcW w:type="dxa" w:w="2600"/>
            <w:shd w:fill="5C2E4A" w:color="auto" w:val="clear"/>
            <w:tcMar>
              <w:top w:type="dxa" w:w="70"/>
              <w:left w:type="dxa" w:w="90"/>
              <w:bottom w:type="dxa" w:w="70"/>
              <w:right w:type="dxa" w:w="90"/>
            </w:tcMar>
          </w:tcPr>
          <w:p>
            <w:r>
              <w:rPr>
                <w:b/>
                <w:bCs/>
                <w:color w:val="FFFFFF"/>
                <w:sz w:val="19"/>
                <w:szCs w:val="19"/>
              </w:rPr>
              <w:t xml:space="preserve">Complaint</w:t>
            </w:r>
          </w:p>
        </w:tc>
        <w:tc>
          <w:tcPr>
            <w:tcW w:type="dxa" w:w="1800"/>
            <w:shd w:fill="5C2E4A" w:color="auto" w:val="clear"/>
            <w:tcMar>
              <w:top w:type="dxa" w:w="70"/>
              <w:left w:type="dxa" w:w="90"/>
              <w:bottom w:type="dxa" w:w="70"/>
              <w:right w:type="dxa" w:w="90"/>
            </w:tcMar>
          </w:tcPr>
          <w:p>
            <w:r>
              <w:rPr>
                <w:b/>
                <w:bCs/>
                <w:color w:val="FFFFFF"/>
                <w:sz w:val="19"/>
                <w:szCs w:val="19"/>
              </w:rPr>
              <w:t xml:space="preserve">Reported By</w:t>
            </w:r>
          </w:p>
        </w:tc>
        <w:tc>
          <w:tcPr>
            <w:tcW w:type="dxa" w:w="3900"/>
            <w:shd w:fill="5C2E4A" w:color="auto" w:val="clear"/>
            <w:tcMar>
              <w:top w:type="dxa" w:w="70"/>
              <w:left w:type="dxa" w:w="90"/>
              <w:bottom w:type="dxa" w:w="70"/>
              <w:right w:type="dxa" w:w="90"/>
            </w:tcMar>
          </w:tcPr>
          <w:p>
            <w:r>
              <w:rPr>
                <w:b/>
                <w:bCs/>
                <w:color w:val="FFFFFF"/>
                <w:sz w:val="19"/>
                <w:szCs w:val="19"/>
              </w:rPr>
              <w:t xml:space="preserve">Resolution</w:t>
            </w:r>
          </w:p>
        </w:tc>
      </w:tr>
      <w:tr>
        <w:tc>
          <w:tcPr>
            <w:tcW w:type="dxa" w:w="1500"/>
            <w:tcMar>
              <w:top w:type="dxa" w:w="70"/>
              <w:left w:type="dxa" w:w="90"/>
              <w:bottom w:type="dxa" w:w="70"/>
              <w:right w:type="dxa" w:w="90"/>
            </w:tcMar>
          </w:tcPr>
          <w:p>
            <w:r>
              <w:rPr>
                <w:b w:val="false"/>
                <w:bCs w:val="false"/>
                <w:color w:val="000000"/>
                <w:sz w:val="19"/>
                <w:szCs w:val="19"/>
              </w:rPr>
              <w:t xml:space="preserve">14 Feb 2025</w:t>
            </w:r>
          </w:p>
        </w:tc>
        <w:tc>
          <w:tcPr>
            <w:tcW w:type="dxa" w:w="2600"/>
            <w:tcMar>
              <w:top w:type="dxa" w:w="70"/>
              <w:left w:type="dxa" w:w="90"/>
              <w:bottom w:type="dxa" w:w="70"/>
              <w:right w:type="dxa" w:w="90"/>
            </w:tcMar>
          </w:tcPr>
          <w:p>
            <w:r>
              <w:rPr>
                <w:b w:val="false"/>
                <w:bCs w:val="false"/>
                <w:color w:val="000000"/>
                <w:sz w:val="19"/>
                <w:szCs w:val="19"/>
              </w:rPr>
              <w:t xml:space="preserve">Lift in Tower B (Lift 2) frequently out of service</w:t>
            </w:r>
          </w:p>
        </w:tc>
        <w:tc>
          <w:tcPr>
            <w:tcW w:type="dxa" w:w="1800"/>
            <w:tcMar>
              <w:top w:type="dxa" w:w="70"/>
              <w:left w:type="dxa" w:w="90"/>
              <w:bottom w:type="dxa" w:w="70"/>
              <w:right w:type="dxa" w:w="90"/>
            </w:tcMar>
          </w:tcPr>
          <w:p>
            <w:r>
              <w:rPr>
                <w:b w:val="false"/>
                <w:bCs w:val="false"/>
                <w:color w:val="000000"/>
                <w:sz w:val="19"/>
                <w:szCs w:val="19"/>
              </w:rPr>
              <w:t xml:space="preserve">Multiple residents, Tower B</w:t>
            </w:r>
          </w:p>
        </w:tc>
        <w:tc>
          <w:tcPr>
            <w:tcW w:type="dxa" w:w="3900"/>
            <w:tcMar>
              <w:top w:type="dxa" w:w="70"/>
              <w:left w:type="dxa" w:w="90"/>
              <w:bottom w:type="dxa" w:w="70"/>
              <w:right w:type="dxa" w:w="90"/>
            </w:tcMar>
          </w:tcPr>
          <w:p>
            <w:r>
              <w:rPr>
                <w:b w:val="false"/>
                <w:bCs w:val="false"/>
                <w:color w:val="000000"/>
                <w:sz w:val="19"/>
                <w:szCs w:val="19"/>
              </w:rPr>
              <w:t xml:space="preserve">Annual maintenance contractor replaced faulty door sensor on 21 Feb 2025; issue resolved</w:t>
            </w:r>
          </w:p>
        </w:tc>
      </w:tr>
      <w:tr>
        <w:tc>
          <w:tcPr>
            <w:tcW w:type="dxa" w:w="1500"/>
            <w:tcMar>
              <w:top w:type="dxa" w:w="70"/>
              <w:left w:type="dxa" w:w="90"/>
              <w:bottom w:type="dxa" w:w="70"/>
              <w:right w:type="dxa" w:w="90"/>
            </w:tcMar>
          </w:tcPr>
          <w:p>
            <w:r>
              <w:rPr>
                <w:b w:val="false"/>
                <w:bCs w:val="false"/>
                <w:color w:val="000000"/>
                <w:sz w:val="19"/>
                <w:szCs w:val="19"/>
              </w:rPr>
              <w:t xml:space="preserve">3 Mar 2025</w:t>
            </w:r>
          </w:p>
        </w:tc>
        <w:tc>
          <w:tcPr>
            <w:tcW w:type="dxa" w:w="2600"/>
            <w:tcMar>
              <w:top w:type="dxa" w:w="70"/>
              <w:left w:type="dxa" w:w="90"/>
              <w:bottom w:type="dxa" w:w="70"/>
              <w:right w:type="dxa" w:w="90"/>
            </w:tcMar>
          </w:tcPr>
          <w:p>
            <w:r>
              <w:rPr>
                <w:b w:val="false"/>
                <w:bCs w:val="false"/>
                <w:color w:val="000000"/>
                <w:sz w:val="19"/>
                <w:szCs w:val="19"/>
              </w:rPr>
              <w:t xml:space="preserve">Low water pressure on floors 14–18, Tower C</w:t>
            </w:r>
          </w:p>
        </w:tc>
        <w:tc>
          <w:tcPr>
            <w:tcW w:type="dxa" w:w="1800"/>
            <w:tcMar>
              <w:top w:type="dxa" w:w="70"/>
              <w:left w:type="dxa" w:w="90"/>
              <w:bottom w:type="dxa" w:w="70"/>
              <w:right w:type="dxa" w:w="90"/>
            </w:tcMar>
          </w:tcPr>
          <w:p>
            <w:r>
              <w:rPr>
                <w:b w:val="false"/>
                <w:bCs w:val="false"/>
                <w:color w:val="000000"/>
                <w:sz w:val="19"/>
                <w:szCs w:val="19"/>
              </w:rPr>
              <w:t xml:space="preserve">Flat 1210, Tower C</w:t>
            </w:r>
          </w:p>
        </w:tc>
        <w:tc>
          <w:tcPr>
            <w:tcW w:type="dxa" w:w="3900"/>
            <w:tcMar>
              <w:top w:type="dxa" w:w="70"/>
              <w:left w:type="dxa" w:w="90"/>
              <w:bottom w:type="dxa" w:w="70"/>
              <w:right w:type="dxa" w:w="90"/>
            </w:tcMar>
          </w:tcPr>
          <w:p>
            <w:r>
              <w:rPr>
                <w:b w:val="false"/>
                <w:bCs w:val="false"/>
                <w:color w:val="000000"/>
                <w:sz w:val="19"/>
                <w:szCs w:val="19"/>
              </w:rPr>
              <w:t xml:space="preserve">Booster pump inspected; capacitor replaced on 8 Mar 2025; pressure restored</w:t>
            </w:r>
          </w:p>
        </w:tc>
      </w:tr>
      <w:tr>
        <w:tc>
          <w:tcPr>
            <w:tcW w:type="dxa" w:w="1500"/>
            <w:tcMar>
              <w:top w:type="dxa" w:w="70"/>
              <w:left w:type="dxa" w:w="90"/>
              <w:bottom w:type="dxa" w:w="70"/>
              <w:right w:type="dxa" w:w="90"/>
            </w:tcMar>
          </w:tcPr>
          <w:p>
            <w:r>
              <w:rPr>
                <w:b w:val="false"/>
                <w:bCs w:val="false"/>
                <w:color w:val="000000"/>
                <w:sz w:val="19"/>
                <w:szCs w:val="19"/>
              </w:rPr>
              <w:t xml:space="preserve">19 Apr 2025</w:t>
            </w:r>
          </w:p>
        </w:tc>
        <w:tc>
          <w:tcPr>
            <w:tcW w:type="dxa" w:w="2600"/>
            <w:tcMar>
              <w:top w:type="dxa" w:w="70"/>
              <w:left w:type="dxa" w:w="90"/>
              <w:bottom w:type="dxa" w:w="70"/>
              <w:right w:type="dxa" w:w="90"/>
            </w:tcMar>
          </w:tcPr>
          <w:p>
            <w:r>
              <w:rPr>
                <w:b w:val="false"/>
                <w:bCs w:val="false"/>
                <w:color w:val="000000"/>
                <w:sz w:val="19"/>
                <w:szCs w:val="19"/>
              </w:rPr>
              <w:t xml:space="preserve">Stray dog feeding near Tower D entrance attracting more strays</w:t>
            </w:r>
          </w:p>
        </w:tc>
        <w:tc>
          <w:tcPr>
            <w:tcW w:type="dxa" w:w="1800"/>
            <w:tcMar>
              <w:top w:type="dxa" w:w="70"/>
              <w:left w:type="dxa" w:w="90"/>
              <w:bottom w:type="dxa" w:w="70"/>
              <w:right w:type="dxa" w:w="90"/>
            </w:tcMar>
          </w:tcPr>
          <w:p>
            <w:r>
              <w:rPr>
                <w:b w:val="false"/>
                <w:bCs w:val="false"/>
                <w:color w:val="000000"/>
                <w:sz w:val="19"/>
                <w:szCs w:val="19"/>
              </w:rPr>
              <w:t xml:space="preserve">Flat 0311, Tower D</w:t>
            </w:r>
          </w:p>
        </w:tc>
        <w:tc>
          <w:tcPr>
            <w:tcW w:type="dxa" w:w="3900"/>
            <w:tcMar>
              <w:top w:type="dxa" w:w="70"/>
              <w:left w:type="dxa" w:w="90"/>
              <w:bottom w:type="dxa" w:w="70"/>
              <w:right w:type="dxa" w:w="90"/>
            </w:tcMar>
          </w:tcPr>
          <w:p>
            <w:r>
              <w:rPr>
                <w:b w:val="false"/>
                <w:bCs w:val="false"/>
                <w:color w:val="000000"/>
                <w:sz w:val="19"/>
                <w:szCs w:val="19"/>
              </w:rPr>
              <w:t xml:space="preserve">Committee issued notice restricting feeding to designated area near waste yard; ongoing monitoring</w:t>
            </w:r>
          </w:p>
        </w:tc>
      </w:tr>
      <w:tr>
        <w:tc>
          <w:tcPr>
            <w:tcW w:type="dxa" w:w="1500"/>
            <w:tcMar>
              <w:top w:type="dxa" w:w="70"/>
              <w:left w:type="dxa" w:w="90"/>
              <w:bottom w:type="dxa" w:w="70"/>
              <w:right w:type="dxa" w:w="90"/>
            </w:tcMar>
          </w:tcPr>
          <w:p>
            <w:r>
              <w:rPr>
                <w:b w:val="false"/>
                <w:bCs w:val="false"/>
                <w:color w:val="000000"/>
                <w:sz w:val="19"/>
                <w:szCs w:val="19"/>
              </w:rPr>
              <w:t xml:space="preserve">30 May 2025</w:t>
            </w:r>
          </w:p>
        </w:tc>
        <w:tc>
          <w:tcPr>
            <w:tcW w:type="dxa" w:w="2600"/>
            <w:tcMar>
              <w:top w:type="dxa" w:w="70"/>
              <w:left w:type="dxa" w:w="90"/>
              <w:bottom w:type="dxa" w:w="70"/>
              <w:right w:type="dxa" w:w="90"/>
            </w:tcMar>
          </w:tcPr>
          <w:p>
            <w:r>
              <w:rPr>
                <w:b w:val="false"/>
                <w:bCs w:val="false"/>
                <w:color w:val="000000"/>
                <w:sz w:val="19"/>
                <w:szCs w:val="19"/>
              </w:rPr>
              <w:t xml:space="preserve">Seepage in basement parking level P1 after heavy rain</w:t>
            </w:r>
          </w:p>
        </w:tc>
        <w:tc>
          <w:tcPr>
            <w:tcW w:type="dxa" w:w="1800"/>
            <w:tcMar>
              <w:top w:type="dxa" w:w="70"/>
              <w:left w:type="dxa" w:w="90"/>
              <w:bottom w:type="dxa" w:w="70"/>
              <w:right w:type="dxa" w:w="90"/>
            </w:tcMar>
          </w:tcPr>
          <w:p>
            <w:r>
              <w:rPr>
                <w:b w:val="false"/>
                <w:bCs w:val="false"/>
                <w:color w:val="000000"/>
                <w:sz w:val="19"/>
                <w:szCs w:val="19"/>
              </w:rPr>
              <w:t xml:space="preserve">Security staff report</w:t>
            </w:r>
          </w:p>
        </w:tc>
        <w:tc>
          <w:tcPr>
            <w:tcW w:type="dxa" w:w="3900"/>
            <w:tcMar>
              <w:top w:type="dxa" w:w="70"/>
              <w:left w:type="dxa" w:w="90"/>
              <w:bottom w:type="dxa" w:w="70"/>
              <w:right w:type="dxa" w:w="90"/>
            </w:tcMar>
          </w:tcPr>
          <w:p>
            <w:r>
              <w:rPr>
                <w:b w:val="false"/>
                <w:bCs w:val="false"/>
                <w:color w:val="000000"/>
                <w:sz w:val="19"/>
                <w:szCs w:val="19"/>
              </w:rPr>
              <w:t xml:space="preserve">Waterproofing contractor engaged; remedial work completed 15 Jun 2025; being monitored through monsoon season</w:t>
            </w:r>
          </w:p>
        </w:tc>
      </w:tr>
      <w:tr>
        <w:tc>
          <w:tcPr>
            <w:tcW w:type="dxa" w:w="1500"/>
            <w:tcMar>
              <w:top w:type="dxa" w:w="70"/>
              <w:left w:type="dxa" w:w="90"/>
              <w:bottom w:type="dxa" w:w="70"/>
              <w:right w:type="dxa" w:w="90"/>
            </w:tcMar>
          </w:tcPr>
          <w:p>
            <w:r>
              <w:rPr>
                <w:b w:val="false"/>
                <w:bCs w:val="false"/>
                <w:color w:val="000000"/>
                <w:sz w:val="19"/>
                <w:szCs w:val="19"/>
              </w:rPr>
              <w:t xml:space="preserve">22 Jun 2025</w:t>
            </w:r>
          </w:p>
        </w:tc>
        <w:tc>
          <w:tcPr>
            <w:tcW w:type="dxa" w:w="2600"/>
            <w:tcMar>
              <w:top w:type="dxa" w:w="70"/>
              <w:left w:type="dxa" w:w="90"/>
              <w:bottom w:type="dxa" w:w="70"/>
              <w:right w:type="dxa" w:w="90"/>
            </w:tcMar>
          </w:tcPr>
          <w:p>
            <w:r>
              <w:rPr>
                <w:b w:val="false"/>
                <w:bCs w:val="false"/>
                <w:color w:val="000000"/>
                <w:sz w:val="19"/>
                <w:szCs w:val="19"/>
              </w:rPr>
              <w:t xml:space="preserve">Unauthorized commercial signage installed by a resident running a business from home</w:t>
            </w:r>
          </w:p>
        </w:tc>
        <w:tc>
          <w:tcPr>
            <w:tcW w:type="dxa" w:w="1800"/>
            <w:tcMar>
              <w:top w:type="dxa" w:w="70"/>
              <w:left w:type="dxa" w:w="90"/>
              <w:bottom w:type="dxa" w:w="70"/>
              <w:right w:type="dxa" w:w="90"/>
            </w:tcMar>
          </w:tcPr>
          <w:p>
            <w:r>
              <w:rPr>
                <w:b w:val="false"/>
                <w:bCs w:val="false"/>
                <w:color w:val="000000"/>
                <w:sz w:val="19"/>
                <w:szCs w:val="19"/>
              </w:rPr>
              <w:t xml:space="preserve">Flat 0602, Tower A (Secretary's own observation)</w:t>
            </w:r>
          </w:p>
        </w:tc>
        <w:tc>
          <w:tcPr>
            <w:tcW w:type="dxa" w:w="3900"/>
            <w:tcMar>
              <w:top w:type="dxa" w:w="70"/>
              <w:left w:type="dxa" w:w="90"/>
              <w:bottom w:type="dxa" w:w="70"/>
              <w:right w:type="dxa" w:w="90"/>
            </w:tcMar>
          </w:tcPr>
          <w:p>
            <w:r>
              <w:rPr>
                <w:b w:val="false"/>
                <w:bCs w:val="false"/>
                <w:color w:val="000000"/>
                <w:sz w:val="19"/>
                <w:szCs w:val="19"/>
              </w:rPr>
              <w:t xml:space="preserve">Notice issued citing society bylaw on commercial use; signage removed by resident on 28 Jun 2025</w:t>
            </w:r>
          </w:p>
        </w:tc>
      </w:tr>
    </w:tbl>
    <w:p>
      <w:pPr>
        <w:pStyle w:val="Heading1"/>
        <w:spacing w:after="120" w:before="240"/>
      </w:pPr>
      <w:r>
        <w:t xml:space="preserve">4. Rule Violations and Fines Levied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5200"/>
      </w:tblGrid>
      <w:tr>
        <w:tc>
          <w:tcPr>
            <w:tcW w:type="dxa" w:w="1600"/>
            <w:shd w:fill="5C2E4A" w:color="auto" w:val="clear"/>
            <w:tcMar>
              <w:top w:type="dxa" w:w="70"/>
              <w:left w:type="dxa" w:w="90"/>
              <w:bottom w:type="dxa" w:w="70"/>
              <w:right w:type="dxa" w:w="90"/>
            </w:tcMar>
          </w:tcPr>
          <w:p>
            <w:r>
              <w:rPr>
                <w:b/>
                <w:bCs/>
                <w:color w:val="FFFFFF"/>
                <w:sz w:val="19"/>
                <w:szCs w:val="19"/>
              </w:rPr>
              <w:t xml:space="preserve">Flat No.</w:t>
            </w:r>
          </w:p>
        </w:tc>
        <w:tc>
          <w:tcPr>
            <w:tcW w:type="dxa" w:w="3000"/>
            <w:shd w:fill="5C2E4A" w:color="auto" w:val="clear"/>
            <w:tcMar>
              <w:top w:type="dxa" w:w="70"/>
              <w:left w:type="dxa" w:w="90"/>
              <w:bottom w:type="dxa" w:w="70"/>
              <w:right w:type="dxa" w:w="90"/>
            </w:tcMar>
          </w:tcPr>
          <w:p>
            <w:r>
              <w:rPr>
                <w:b/>
                <w:bCs/>
                <w:color w:val="FFFFFF"/>
                <w:sz w:val="19"/>
                <w:szCs w:val="19"/>
              </w:rPr>
              <w:t xml:space="preserve">Violation</w:t>
            </w:r>
          </w:p>
        </w:tc>
        <w:tc>
          <w:tcPr>
            <w:tcW w:type="dxa" w:w="5200"/>
            <w:shd w:fill="5C2E4A" w:color="auto" w:val="clear"/>
            <w:tcMar>
              <w:top w:type="dxa" w:w="70"/>
              <w:left w:type="dxa" w:w="90"/>
              <w:bottom w:type="dxa" w:w="70"/>
              <w:right w:type="dxa" w:w="90"/>
            </w:tcMar>
          </w:tcPr>
          <w:p>
            <w:r>
              <w:rPr>
                <w:b/>
                <w:bCs/>
                <w:color w:val="FFFFFF"/>
                <w:sz w:val="19"/>
                <w:szCs w:val="19"/>
              </w:rPr>
              <w:t xml:space="preserve">Fine and Status</w:t>
            </w:r>
          </w:p>
        </w:tc>
      </w:tr>
      <w:tr>
        <w:tc>
          <w:tcPr>
            <w:tcW w:type="dxa" w:w="1600"/>
            <w:tcMar>
              <w:top w:type="dxa" w:w="70"/>
              <w:left w:type="dxa" w:w="90"/>
              <w:bottom w:type="dxa" w:w="70"/>
              <w:right w:type="dxa" w:w="90"/>
            </w:tcMar>
          </w:tcPr>
          <w:p>
            <w:r>
              <w:rPr>
                <w:b w:val="false"/>
                <w:bCs w:val="false"/>
                <w:color w:val="000000"/>
                <w:sz w:val="19"/>
                <w:szCs w:val="19"/>
              </w:rPr>
              <w:t xml:space="preserve">Tower A, 1104</w:t>
            </w:r>
          </w:p>
        </w:tc>
        <w:tc>
          <w:tcPr>
            <w:tcW w:type="dxa" w:w="3000"/>
            <w:tcMar>
              <w:top w:type="dxa" w:w="70"/>
              <w:left w:type="dxa" w:w="90"/>
              <w:bottom w:type="dxa" w:w="70"/>
              <w:right w:type="dxa" w:w="90"/>
            </w:tcMar>
          </w:tcPr>
          <w:p>
            <w:r>
              <w:rPr>
                <w:b w:val="false"/>
                <w:bCs w:val="false"/>
                <w:color w:val="000000"/>
                <w:sz w:val="19"/>
                <w:szCs w:val="19"/>
              </w:rPr>
              <w:t xml:space="preserve">Loud party beyond quiet hours, 8 Mar 2025</w:t>
            </w:r>
          </w:p>
        </w:tc>
        <w:tc>
          <w:tcPr>
            <w:tcW w:type="dxa" w:w="5200"/>
            <w:tcMar>
              <w:top w:type="dxa" w:w="70"/>
              <w:left w:type="dxa" w:w="90"/>
              <w:bottom w:type="dxa" w:w="70"/>
              <w:right w:type="dxa" w:w="90"/>
            </w:tcMar>
          </w:tcPr>
          <w:p>
            <w:r>
              <w:rPr>
                <w:b w:val="false"/>
                <w:bCs w:val="false"/>
                <w:color w:val="000000"/>
                <w:sz w:val="19"/>
                <w:szCs w:val="19"/>
              </w:rPr>
              <w:t xml:space="preserve">₹2,000 fine levied and paid on 15 Mar 2025</w:t>
            </w:r>
          </w:p>
        </w:tc>
      </w:tr>
      <w:tr>
        <w:tc>
          <w:tcPr>
            <w:tcW w:type="dxa" w:w="1600"/>
            <w:tcMar>
              <w:top w:type="dxa" w:w="70"/>
              <w:left w:type="dxa" w:w="90"/>
              <w:bottom w:type="dxa" w:w="70"/>
              <w:right w:type="dxa" w:w="90"/>
            </w:tcMar>
          </w:tcPr>
          <w:p>
            <w:r>
              <w:rPr>
                <w:b w:val="false"/>
                <w:bCs w:val="false"/>
                <w:color w:val="000000"/>
                <w:sz w:val="19"/>
                <w:szCs w:val="19"/>
              </w:rPr>
              <w:t xml:space="preserve">Tower D, 0908</w:t>
            </w:r>
          </w:p>
        </w:tc>
        <w:tc>
          <w:tcPr>
            <w:tcW w:type="dxa" w:w="3000"/>
            <w:tcMar>
              <w:top w:type="dxa" w:w="70"/>
              <w:left w:type="dxa" w:w="90"/>
              <w:bottom w:type="dxa" w:w="70"/>
              <w:right w:type="dxa" w:w="90"/>
            </w:tcMar>
          </w:tcPr>
          <w:p>
            <w:r>
              <w:rPr>
                <w:b w:val="false"/>
                <w:bCs w:val="false"/>
                <w:color w:val="000000"/>
                <w:sz w:val="19"/>
                <w:szCs w:val="19"/>
              </w:rPr>
              <w:t xml:space="preserve">Pet off-leash in clubhouse lawn, 2 Apr 2025</w:t>
            </w:r>
          </w:p>
        </w:tc>
        <w:tc>
          <w:tcPr>
            <w:tcW w:type="dxa" w:w="5200"/>
            <w:tcMar>
              <w:top w:type="dxa" w:w="70"/>
              <w:left w:type="dxa" w:w="90"/>
              <w:bottom w:type="dxa" w:w="70"/>
              <w:right w:type="dxa" w:w="90"/>
            </w:tcMar>
          </w:tcPr>
          <w:p>
            <w:r>
              <w:rPr>
                <w:b w:val="false"/>
                <w:bCs w:val="false"/>
                <w:color w:val="000000"/>
                <w:sz w:val="19"/>
                <w:szCs w:val="19"/>
              </w:rPr>
              <w:t xml:space="preserve">₹500 fine levied; paid on 10 Apr 2025</w:t>
            </w:r>
          </w:p>
        </w:tc>
      </w:tr>
      <w:tr>
        <w:tc>
          <w:tcPr>
            <w:tcW w:type="dxa" w:w="1600"/>
            <w:tcMar>
              <w:top w:type="dxa" w:w="70"/>
              <w:left w:type="dxa" w:w="90"/>
              <w:bottom w:type="dxa" w:w="70"/>
              <w:right w:type="dxa" w:w="90"/>
            </w:tcMar>
          </w:tcPr>
          <w:p>
            <w:r>
              <w:rPr>
                <w:b w:val="false"/>
                <w:bCs w:val="false"/>
                <w:color w:val="000000"/>
                <w:sz w:val="19"/>
                <w:szCs w:val="19"/>
              </w:rPr>
              <w:t xml:space="preserve">Tower B, 1502</w:t>
            </w:r>
          </w:p>
        </w:tc>
        <w:tc>
          <w:tcPr>
            <w:tcW w:type="dxa" w:w="3000"/>
            <w:tcMar>
              <w:top w:type="dxa" w:w="70"/>
              <w:left w:type="dxa" w:w="90"/>
              <w:bottom w:type="dxa" w:w="70"/>
              <w:right w:type="dxa" w:w="90"/>
            </w:tcMar>
          </w:tcPr>
          <w:p>
            <w:r>
              <w:rPr>
                <w:b w:val="false"/>
                <w:bCs w:val="false"/>
                <w:color w:val="000000"/>
                <w:sz w:val="19"/>
                <w:szCs w:val="19"/>
              </w:rPr>
              <w:t xml:space="preserve">Unauthorized balcony enclosure discovered during facade inspection, 12 May 2025</w:t>
            </w:r>
          </w:p>
        </w:tc>
        <w:tc>
          <w:tcPr>
            <w:tcW w:type="dxa" w:w="5200"/>
            <w:tcMar>
              <w:top w:type="dxa" w:w="70"/>
              <w:left w:type="dxa" w:w="90"/>
              <w:bottom w:type="dxa" w:w="70"/>
              <w:right w:type="dxa" w:w="90"/>
            </w:tcMar>
          </w:tcPr>
          <w:p>
            <w:r>
              <w:rPr>
                <w:b w:val="false"/>
                <w:bCs w:val="false"/>
                <w:color w:val="000000"/>
                <w:sz w:val="19"/>
                <w:szCs w:val="19"/>
              </w:rPr>
              <w:t xml:space="preserve">₹10,000 fine levied; reversal work in progress, deadline 30 Sep 2025</w:t>
            </w:r>
          </w:p>
        </w:tc>
      </w:tr>
    </w:tbl>
    <w:p>
      <w:pPr>
        <w:pStyle w:val="Heading1"/>
        <w:spacing w:after="120" w:before="240"/>
      </w:pPr>
      <w:r>
        <w:t xml:space="preserve">5. AGM Highlights — Annual General Meeting, 15 March 2025</w:t>
      </w:r>
    </w:p>
    <w:p>
      <w:pPr>
        <w:pStyle w:val="ListParagraph"/>
        <w:numPr>
          <w:ilvl w:val="0"/>
          <w:numId w:val="2"/>
        </w:numPr>
        <w:spacing w:after="80"/>
      </w:pPr>
      <w:r>
        <w:t xml:space="preserve">Approved annual budget for FY 2025–26, including a 6% increase in maintenance charges effective 1 July 2025</w:t>
      </w:r>
    </w:p>
    <w:p>
      <w:pPr>
        <w:pStyle w:val="ListParagraph"/>
        <w:numPr>
          <w:ilvl w:val="0"/>
          <w:numId w:val="2"/>
        </w:numPr>
        <w:spacing w:after="80"/>
      </w:pPr>
      <w:r>
        <w:t xml:space="preserve">Approved engagement of a new facade waterproofing contractor for a one-time project estimated at ₹18,00,000, to be funded from the sinking fund</w:t>
      </w:r>
    </w:p>
    <w:p>
      <w:pPr>
        <w:pStyle w:val="ListParagraph"/>
        <w:numPr>
          <w:ilvl w:val="0"/>
          <w:numId w:val="2"/>
        </w:numPr>
        <w:spacing w:after="80"/>
      </w:pPr>
      <w:r>
        <w:t xml:space="preserve">Re-elected Mr. Ashok Kumar Reddy as President and Mrs. Deepa Nair as Secretary for the 2024–2025 term</w:t>
      </w:r>
    </w:p>
    <w:p>
      <w:pPr>
        <w:pStyle w:val="ListParagraph"/>
        <w:numPr>
          <w:ilvl w:val="0"/>
          <w:numId w:val="2"/>
        </w:numPr>
        <w:spacing w:after="80"/>
      </w:pPr>
      <w:r>
        <w:t xml:space="preserve">Resolved to install additional CCTV coverage at the Tower D entrance following the April 2025 stray-animal related complaints</w:t>
      </w:r>
    </w:p>
    <w:p>
      <w:pPr>
        <w:pStyle w:val="ListParagraph"/>
        <w:numPr>
          <w:ilvl w:val="0"/>
          <w:numId w:val="2"/>
        </w:numPr>
        <w:spacing w:after="80"/>
      </w:pPr>
      <w:r>
        <w:t xml:space="preserve">Deferred decision on proposed EV charging points in the basement parking pending a feasibility study, to be presented at the next AGM</w:t>
      </w:r>
    </w:p>
    <w:p>
      <w:pPr>
        <w:pStyle w:val="Heading1"/>
        <w:spacing w:after="120" w:before="240"/>
      </w:pPr>
      <w:r>
        <w:t xml:space="preserve">6. Open Items Carried Forward</w:t>
      </w:r>
    </w:p>
    <w:p>
      <w:pPr>
        <w:pStyle w:val="ListParagraph"/>
        <w:numPr>
          <w:ilvl w:val="0"/>
          <w:numId w:val="2"/>
        </w:numPr>
        <w:spacing w:after="80"/>
      </w:pPr>
      <w:r>
        <w:t xml:space="preserve">Tower C, Flat 1210 — outstanding maintenance dues of ₹34,176; escalation review scheduled for 31 August 2025</w:t>
      </w:r>
    </w:p>
    <w:p>
      <w:pPr>
        <w:pStyle w:val="ListParagraph"/>
        <w:numPr>
          <w:ilvl w:val="0"/>
          <w:numId w:val="2"/>
        </w:numPr>
        <w:spacing w:after="80"/>
      </w:pPr>
      <w:r>
        <w:t xml:space="preserve">Tower D, Flat 1601 — area calculation dispute under review by Treasurer; response pending as of this log</w:t>
      </w:r>
    </w:p>
    <w:p>
      <w:pPr>
        <w:pStyle w:val="ListParagraph"/>
        <w:numPr>
          <w:ilvl w:val="0"/>
          <w:numId w:val="2"/>
        </w:numPr>
        <w:spacing w:after="80"/>
      </w:pPr>
      <w:r>
        <w:t xml:space="preserve">Tower B, Flat 1502 — balcony enclosure reversal deadline of 30 September 2025 to be tracked</w:t>
      </w:r>
    </w:p>
    <w:p>
      <w:pPr>
        <w:pStyle w:val="ListParagraph"/>
        <w:numPr>
          <w:ilvl w:val="0"/>
          <w:numId w:val="2"/>
        </w:numPr>
        <w:spacing w:after="80"/>
      </w:pPr>
      <w:r>
        <w:t xml:space="preserve">EV charging feasibility study — pending presentation at next AGM</w:t>
      </w:r>
    </w:p>
    <w:p>
      <w:pPr>
        <w:pStyle w:val="Heading1"/>
        <w:spacing w:after="120" w:before="240"/>
      </w:pPr>
      <w:r>
        <w:t xml:space="preserve">7. Annual Maintenance Contracts (AMC) Status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5200"/>
      </w:tblGrid>
      <w:tr>
        <w:tc>
          <w:tcPr>
            <w:tcW w:type="dxa" w:w="1600"/>
            <w:shd w:fill="5C2E4A" w:color="auto" w:val="clear"/>
            <w:tcMar>
              <w:top w:type="dxa" w:w="70"/>
              <w:left w:type="dxa" w:w="90"/>
              <w:bottom w:type="dxa" w:w="70"/>
              <w:right w:type="dxa" w:w="90"/>
            </w:tcMar>
          </w:tcPr>
          <w:p>
            <w:r>
              <w:rPr>
                <w:b/>
                <w:bCs/>
                <w:color w:val="FFFFFF"/>
                <w:sz w:val="19"/>
                <w:szCs w:val="19"/>
              </w:rPr>
              <w:t xml:space="preserve">Service</w:t>
            </w:r>
          </w:p>
        </w:tc>
        <w:tc>
          <w:tcPr>
            <w:tcW w:type="dxa" w:w="3000"/>
            <w:shd w:fill="5C2E4A" w:color="auto" w:val="clear"/>
            <w:tcMar>
              <w:top w:type="dxa" w:w="70"/>
              <w:left w:type="dxa" w:w="90"/>
              <w:bottom w:type="dxa" w:w="70"/>
              <w:right w:type="dxa" w:w="90"/>
            </w:tcMar>
          </w:tcPr>
          <w:p>
            <w:r>
              <w:rPr>
                <w:b/>
                <w:bCs/>
                <w:color w:val="FFFFFF"/>
                <w:sz w:val="19"/>
                <w:szCs w:val="19"/>
              </w:rPr>
              <w:t xml:space="preserve">Vendor</w:t>
            </w:r>
          </w:p>
        </w:tc>
        <w:tc>
          <w:tcPr>
            <w:tcW w:type="dxa" w:w="5200"/>
            <w:shd w:fill="5C2E4A" w:color="auto" w:val="clear"/>
            <w:tcMar>
              <w:top w:type="dxa" w:w="70"/>
              <w:left w:type="dxa" w:w="90"/>
              <w:bottom w:type="dxa" w:w="70"/>
              <w:right w:type="dxa" w:w="90"/>
            </w:tcMar>
          </w:tcPr>
          <w:p>
            <w:r>
              <w:rPr>
                <w:b/>
                <w:bCs/>
                <w:color w:val="FFFFFF"/>
                <w:sz w:val="19"/>
                <w:szCs w:val="19"/>
              </w:rPr>
              <w:t xml:space="preserve">Contract Period / Status</w:t>
            </w:r>
          </w:p>
        </w:tc>
      </w:tr>
      <w:tr>
        <w:tc>
          <w:tcPr>
            <w:tcW w:type="dxa" w:w="1600"/>
            <w:tcMar>
              <w:top w:type="dxa" w:w="70"/>
              <w:left w:type="dxa" w:w="90"/>
              <w:bottom w:type="dxa" w:w="70"/>
              <w:right w:type="dxa" w:w="90"/>
            </w:tcMar>
          </w:tcPr>
          <w:p>
            <w:r>
              <w:rPr>
                <w:b w:val="false"/>
                <w:bCs w:val="false"/>
                <w:color w:val="000000"/>
                <w:sz w:val="19"/>
                <w:szCs w:val="19"/>
              </w:rPr>
              <w:t xml:space="preserve">Lift maintenance (all towers)</w:t>
            </w:r>
          </w:p>
        </w:tc>
        <w:tc>
          <w:tcPr>
            <w:tcW w:type="dxa" w:w="3000"/>
            <w:tcMar>
              <w:top w:type="dxa" w:w="70"/>
              <w:left w:type="dxa" w:w="90"/>
              <w:bottom w:type="dxa" w:w="70"/>
              <w:right w:type="dxa" w:w="90"/>
            </w:tcMar>
          </w:tcPr>
          <w:p>
            <w:r>
              <w:rPr>
                <w:b w:val="false"/>
                <w:bCs w:val="false"/>
                <w:color w:val="000000"/>
                <w:sz w:val="19"/>
                <w:szCs w:val="19"/>
              </w:rPr>
              <w:t xml:space="preserve">Speedway Elevators Pvt. Ltd.</w:t>
            </w:r>
          </w:p>
        </w:tc>
        <w:tc>
          <w:tcPr>
            <w:tcW w:type="dxa" w:w="5200"/>
            <w:tcMar>
              <w:top w:type="dxa" w:w="70"/>
              <w:left w:type="dxa" w:w="90"/>
              <w:bottom w:type="dxa" w:w="70"/>
              <w:right w:type="dxa" w:w="90"/>
            </w:tcMar>
          </w:tcPr>
          <w:p>
            <w:r>
              <w:rPr>
                <w:b w:val="false"/>
                <w:bCs w:val="false"/>
                <w:color w:val="000000"/>
                <w:sz w:val="19"/>
                <w:szCs w:val="19"/>
              </w:rPr>
              <w:t xml:space="preserve">1 Apr 2025 – 31 Mar 2026; renewed with 5% rate increase over prior year</w:t>
            </w:r>
          </w:p>
        </w:tc>
      </w:tr>
      <w:tr>
        <w:tc>
          <w:tcPr>
            <w:tcW w:type="dxa" w:w="1600"/>
            <w:tcMar>
              <w:top w:type="dxa" w:w="70"/>
              <w:left w:type="dxa" w:w="90"/>
              <w:bottom w:type="dxa" w:w="70"/>
              <w:right w:type="dxa" w:w="90"/>
            </w:tcMar>
          </w:tcPr>
          <w:p>
            <w:r>
              <w:rPr>
                <w:b w:val="false"/>
                <w:bCs w:val="false"/>
                <w:color w:val="000000"/>
                <w:sz w:val="19"/>
                <w:szCs w:val="19"/>
              </w:rPr>
              <w:t xml:space="preserve">Landscaping and horticulture</w:t>
            </w:r>
          </w:p>
        </w:tc>
        <w:tc>
          <w:tcPr>
            <w:tcW w:type="dxa" w:w="3000"/>
            <w:tcMar>
              <w:top w:type="dxa" w:w="70"/>
              <w:left w:type="dxa" w:w="90"/>
              <w:bottom w:type="dxa" w:w="70"/>
              <w:right w:type="dxa" w:w="90"/>
            </w:tcMar>
          </w:tcPr>
          <w:p>
            <w:r>
              <w:rPr>
                <w:b w:val="false"/>
                <w:bCs w:val="false"/>
                <w:color w:val="000000"/>
                <w:sz w:val="19"/>
                <w:szCs w:val="19"/>
              </w:rPr>
              <w:t xml:space="preserve">GreenScape Gardens</w:t>
            </w:r>
          </w:p>
        </w:tc>
        <w:tc>
          <w:tcPr>
            <w:tcW w:type="dxa" w:w="5200"/>
            <w:tcMar>
              <w:top w:type="dxa" w:w="70"/>
              <w:left w:type="dxa" w:w="90"/>
              <w:bottom w:type="dxa" w:w="70"/>
              <w:right w:type="dxa" w:w="90"/>
            </w:tcMar>
          </w:tcPr>
          <w:p>
            <w:r>
              <w:rPr>
                <w:b w:val="false"/>
                <w:bCs w:val="false"/>
                <w:color w:val="000000"/>
                <w:sz w:val="19"/>
                <w:szCs w:val="19"/>
              </w:rPr>
              <w:t xml:space="preserve">1 Jan 2025 – 31 Dec 2025; under review due to service quality concerns raised in June 2025</w:t>
            </w:r>
          </w:p>
        </w:tc>
      </w:tr>
      <w:tr>
        <w:tc>
          <w:tcPr>
            <w:tcW w:type="dxa" w:w="1600"/>
            <w:tcMar>
              <w:top w:type="dxa" w:w="70"/>
              <w:left w:type="dxa" w:w="90"/>
              <w:bottom w:type="dxa" w:w="70"/>
              <w:right w:type="dxa" w:w="90"/>
            </w:tcMar>
          </w:tcPr>
          <w:p>
            <w:r>
              <w:rPr>
                <w:b w:val="false"/>
                <w:bCs w:val="false"/>
                <w:color w:val="000000"/>
                <w:sz w:val="19"/>
                <w:szCs w:val="19"/>
              </w:rPr>
              <w:t xml:space="preserve">Pest control</w:t>
            </w:r>
          </w:p>
        </w:tc>
        <w:tc>
          <w:tcPr>
            <w:tcW w:type="dxa" w:w="3000"/>
            <w:tcMar>
              <w:top w:type="dxa" w:w="70"/>
              <w:left w:type="dxa" w:w="90"/>
              <w:bottom w:type="dxa" w:w="70"/>
              <w:right w:type="dxa" w:w="90"/>
            </w:tcMar>
          </w:tcPr>
          <w:p>
            <w:r>
              <w:rPr>
                <w:b w:val="false"/>
                <w:bCs w:val="false"/>
                <w:color w:val="000000"/>
                <w:sz w:val="19"/>
                <w:szCs w:val="19"/>
              </w:rPr>
              <w:t xml:space="preserve">SafeGuard Pest Solutions</w:t>
            </w:r>
          </w:p>
        </w:tc>
        <w:tc>
          <w:tcPr>
            <w:tcW w:type="dxa" w:w="5200"/>
            <w:tcMar>
              <w:top w:type="dxa" w:w="70"/>
              <w:left w:type="dxa" w:w="90"/>
              <w:bottom w:type="dxa" w:w="70"/>
              <w:right w:type="dxa" w:w="90"/>
            </w:tcMar>
          </w:tcPr>
          <w:p>
            <w:r>
              <w:rPr>
                <w:b w:val="false"/>
                <w:bCs w:val="false"/>
                <w:color w:val="000000"/>
                <w:sz w:val="19"/>
                <w:szCs w:val="19"/>
              </w:rPr>
              <w:t xml:space="preserve">Quarterly contract; last service 10 Jul 2025, next due 10 Oct 2025</w:t>
            </w:r>
          </w:p>
        </w:tc>
      </w:tr>
      <w:tr>
        <w:tc>
          <w:tcPr>
            <w:tcW w:type="dxa" w:w="1600"/>
            <w:tcMar>
              <w:top w:type="dxa" w:w="70"/>
              <w:left w:type="dxa" w:w="90"/>
              <w:bottom w:type="dxa" w:w="70"/>
              <w:right w:type="dxa" w:w="90"/>
            </w:tcMar>
          </w:tcPr>
          <w:p>
            <w:r>
              <w:rPr>
                <w:b w:val="false"/>
                <w:bCs w:val="false"/>
                <w:color w:val="000000"/>
                <w:sz w:val="19"/>
                <w:szCs w:val="19"/>
              </w:rPr>
              <w:t xml:space="preserve">STP (sewage treatment plant) operation</w:t>
            </w:r>
          </w:p>
        </w:tc>
        <w:tc>
          <w:tcPr>
            <w:tcW w:type="dxa" w:w="3000"/>
            <w:tcMar>
              <w:top w:type="dxa" w:w="70"/>
              <w:left w:type="dxa" w:w="90"/>
              <w:bottom w:type="dxa" w:w="70"/>
              <w:right w:type="dxa" w:w="90"/>
            </w:tcMar>
          </w:tcPr>
          <w:p>
            <w:r>
              <w:rPr>
                <w:b w:val="false"/>
                <w:bCs w:val="false"/>
                <w:color w:val="000000"/>
                <w:sz w:val="19"/>
                <w:szCs w:val="19"/>
              </w:rPr>
              <w:t xml:space="preserve">Trident FM Services Pvt. Ltd.</w:t>
            </w:r>
          </w:p>
        </w:tc>
        <w:tc>
          <w:tcPr>
            <w:tcW w:type="dxa" w:w="5200"/>
            <w:tcMar>
              <w:top w:type="dxa" w:w="70"/>
              <w:left w:type="dxa" w:w="90"/>
              <w:bottom w:type="dxa" w:w="70"/>
              <w:right w:type="dxa" w:w="90"/>
            </w:tcMar>
          </w:tcPr>
          <w:p>
            <w:r>
              <w:rPr>
                <w:b w:val="false"/>
                <w:bCs w:val="false"/>
                <w:color w:val="000000"/>
                <w:sz w:val="19"/>
                <w:szCs w:val="19"/>
              </w:rPr>
              <w:t xml:space="preserve">Included in overall facility management contract; last compliance audit passed 5 May 2025</w:t>
            </w:r>
          </w:p>
        </w:tc>
      </w:tr>
      <w:tr>
        <w:tc>
          <w:tcPr>
            <w:tcW w:type="dxa" w:w="1600"/>
            <w:tcMar>
              <w:top w:type="dxa" w:w="70"/>
              <w:left w:type="dxa" w:w="90"/>
              <w:bottom w:type="dxa" w:w="70"/>
              <w:right w:type="dxa" w:w="90"/>
            </w:tcMar>
          </w:tcPr>
          <w:p>
            <w:r>
              <w:rPr>
                <w:b w:val="false"/>
                <w:bCs w:val="false"/>
                <w:color w:val="000000"/>
                <w:sz w:val="19"/>
                <w:szCs w:val="19"/>
              </w:rPr>
              <w:t xml:space="preserve">Fire safety systems</w:t>
            </w:r>
          </w:p>
        </w:tc>
        <w:tc>
          <w:tcPr>
            <w:tcW w:type="dxa" w:w="3000"/>
            <w:tcMar>
              <w:top w:type="dxa" w:w="70"/>
              <w:left w:type="dxa" w:w="90"/>
              <w:bottom w:type="dxa" w:w="70"/>
              <w:right w:type="dxa" w:w="90"/>
            </w:tcMar>
          </w:tcPr>
          <w:p>
            <w:r>
              <w:rPr>
                <w:b w:val="false"/>
                <w:bCs w:val="false"/>
                <w:color w:val="000000"/>
                <w:sz w:val="19"/>
                <w:szCs w:val="19"/>
              </w:rPr>
              <w:t xml:space="preserve">Safeway Fire Systems</w:t>
            </w:r>
          </w:p>
        </w:tc>
        <w:tc>
          <w:tcPr>
            <w:tcW w:type="dxa" w:w="5200"/>
            <w:tcMar>
              <w:top w:type="dxa" w:w="70"/>
              <w:left w:type="dxa" w:w="90"/>
              <w:bottom w:type="dxa" w:w="70"/>
              <w:right w:type="dxa" w:w="90"/>
            </w:tcMar>
          </w:tcPr>
          <w:p>
            <w:r>
              <w:rPr>
                <w:b w:val="false"/>
                <w:bCs w:val="false"/>
                <w:color w:val="000000"/>
                <w:sz w:val="19"/>
                <w:szCs w:val="19"/>
              </w:rPr>
              <w:t xml:space="preserve">Annual inspection completed 18 Feb 2025; all towers certified compliant</w:t>
            </w:r>
          </w:p>
        </w:tc>
      </w:tr>
    </w:tbl>
    <w:p>
      <w:pPr>
        <w:pStyle w:val="Heading1"/>
        <w:spacing w:after="120" w:before="240"/>
      </w:pPr>
      <w:r>
        <w:t xml:space="preserve">8. Sinking Fund Utilization Summary (2025 Financial Year to Date)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5200"/>
      </w:tblGrid>
      <w:tr>
        <w:tc>
          <w:tcPr>
            <w:tcW w:type="dxa" w:w="1600"/>
            <w:shd w:fill="5C2E4A" w:color="auto" w:val="clear"/>
            <w:tcMar>
              <w:top w:type="dxa" w:w="70"/>
              <w:left w:type="dxa" w:w="90"/>
              <w:bottom w:type="dxa" w:w="70"/>
              <w:right w:type="dxa" w:w="90"/>
            </w:tcMar>
          </w:tcPr>
          <w:p>
            <w:r>
              <w:rPr>
                <w:b/>
                <w:bCs/>
                <w:color w:val="FFFFFF"/>
                <w:sz w:val="19"/>
                <w:szCs w:val="19"/>
              </w:rPr>
              <w:t xml:space="preserve">Date</w:t>
            </w:r>
          </w:p>
        </w:tc>
        <w:tc>
          <w:tcPr>
            <w:tcW w:type="dxa" w:w="3000"/>
            <w:shd w:fill="5C2E4A" w:color="auto" w:val="clear"/>
            <w:tcMar>
              <w:top w:type="dxa" w:w="70"/>
              <w:left w:type="dxa" w:w="90"/>
              <w:bottom w:type="dxa" w:w="70"/>
              <w:right w:type="dxa" w:w="90"/>
            </w:tcMar>
          </w:tcPr>
          <w:p>
            <w:r>
              <w:rPr>
                <w:b/>
                <w:bCs/>
                <w:color w:val="FFFFFF"/>
                <w:sz w:val="19"/>
                <w:szCs w:val="19"/>
              </w:rPr>
              <w:t xml:space="preserve">Item</w:t>
            </w:r>
          </w:p>
        </w:tc>
        <w:tc>
          <w:tcPr>
            <w:tcW w:type="dxa" w:w="5200"/>
            <w:shd w:fill="5C2E4A" w:color="auto" w:val="clear"/>
            <w:tcMar>
              <w:top w:type="dxa" w:w="70"/>
              <w:left w:type="dxa" w:w="90"/>
              <w:bottom w:type="dxa" w:w="70"/>
              <w:right w:type="dxa" w:w="90"/>
            </w:tcMar>
          </w:tcPr>
          <w:p>
            <w:r>
              <w:rPr>
                <w:b/>
                <w:bCs/>
                <w:color w:val="FFFFFF"/>
                <w:sz w:val="19"/>
                <w:szCs w:val="19"/>
              </w:rPr>
              <w:t xml:space="preserve">Amount</w:t>
            </w:r>
          </w:p>
        </w:tc>
      </w:tr>
      <w:tr>
        <w:tc>
          <w:tcPr>
            <w:tcW w:type="dxa" w:w="1600"/>
            <w:tcMar>
              <w:top w:type="dxa" w:w="70"/>
              <w:left w:type="dxa" w:w="90"/>
              <w:bottom w:type="dxa" w:w="70"/>
              <w:right w:type="dxa" w:w="90"/>
            </w:tcMar>
          </w:tcPr>
          <w:p>
            <w:r>
              <w:rPr>
                <w:b w:val="false"/>
                <w:bCs w:val="false"/>
                <w:color w:val="000000"/>
                <w:sz w:val="19"/>
                <w:szCs w:val="19"/>
              </w:rPr>
              <w:t xml:space="preserve">8 Mar 2025</w:t>
            </w:r>
          </w:p>
        </w:tc>
        <w:tc>
          <w:tcPr>
            <w:tcW w:type="dxa" w:w="3000"/>
            <w:tcMar>
              <w:top w:type="dxa" w:w="70"/>
              <w:left w:type="dxa" w:w="90"/>
              <w:bottom w:type="dxa" w:w="70"/>
              <w:right w:type="dxa" w:w="90"/>
            </w:tcMar>
          </w:tcPr>
          <w:p>
            <w:r>
              <w:rPr>
                <w:b w:val="false"/>
                <w:bCs w:val="false"/>
                <w:color w:val="000000"/>
                <w:sz w:val="19"/>
                <w:szCs w:val="19"/>
              </w:rPr>
              <w:t xml:space="preserve">Booster pump capacitor replacement (Tower C)</w:t>
            </w:r>
          </w:p>
        </w:tc>
        <w:tc>
          <w:tcPr>
            <w:tcW w:type="dxa" w:w="5200"/>
            <w:tcMar>
              <w:top w:type="dxa" w:w="70"/>
              <w:left w:type="dxa" w:w="90"/>
              <w:bottom w:type="dxa" w:w="70"/>
              <w:right w:type="dxa" w:w="90"/>
            </w:tcMar>
          </w:tcPr>
          <w:p>
            <w:r>
              <w:rPr>
                <w:b w:val="false"/>
                <w:bCs w:val="false"/>
                <w:color w:val="000000"/>
                <w:sz w:val="19"/>
                <w:szCs w:val="19"/>
              </w:rPr>
              <w:t xml:space="preserve">₹18,500</w:t>
            </w:r>
          </w:p>
        </w:tc>
      </w:tr>
      <w:tr>
        <w:tc>
          <w:tcPr>
            <w:tcW w:type="dxa" w:w="1600"/>
            <w:tcMar>
              <w:top w:type="dxa" w:w="70"/>
              <w:left w:type="dxa" w:w="90"/>
              <w:bottom w:type="dxa" w:w="70"/>
              <w:right w:type="dxa" w:w="90"/>
            </w:tcMar>
          </w:tcPr>
          <w:p>
            <w:r>
              <w:rPr>
                <w:b w:val="false"/>
                <w:bCs w:val="false"/>
                <w:color w:val="000000"/>
                <w:sz w:val="19"/>
                <w:szCs w:val="19"/>
              </w:rPr>
              <w:t xml:space="preserve">15 Jun 2025</w:t>
            </w:r>
          </w:p>
        </w:tc>
        <w:tc>
          <w:tcPr>
            <w:tcW w:type="dxa" w:w="3000"/>
            <w:tcMar>
              <w:top w:type="dxa" w:w="70"/>
              <w:left w:type="dxa" w:w="90"/>
              <w:bottom w:type="dxa" w:w="70"/>
              <w:right w:type="dxa" w:w="90"/>
            </w:tcMar>
          </w:tcPr>
          <w:p>
            <w:r>
              <w:rPr>
                <w:b w:val="false"/>
                <w:bCs w:val="false"/>
                <w:color w:val="000000"/>
                <w:sz w:val="19"/>
                <w:szCs w:val="19"/>
              </w:rPr>
              <w:t xml:space="preserve">Basement waterproofing, level P1</w:t>
            </w:r>
          </w:p>
        </w:tc>
        <w:tc>
          <w:tcPr>
            <w:tcW w:type="dxa" w:w="5200"/>
            <w:tcMar>
              <w:top w:type="dxa" w:w="70"/>
              <w:left w:type="dxa" w:w="90"/>
              <w:bottom w:type="dxa" w:w="70"/>
              <w:right w:type="dxa" w:w="90"/>
            </w:tcMar>
          </w:tcPr>
          <w:p>
            <w:r>
              <w:rPr>
                <w:b w:val="false"/>
                <w:bCs w:val="false"/>
                <w:color w:val="000000"/>
                <w:sz w:val="19"/>
                <w:szCs w:val="19"/>
              </w:rPr>
              <w:t xml:space="preserve">₹4,25,000</w:t>
            </w:r>
          </w:p>
        </w:tc>
      </w:tr>
      <w:tr>
        <w:tc>
          <w:tcPr>
            <w:tcW w:type="dxa" w:w="1600"/>
            <w:tcMar>
              <w:top w:type="dxa" w:w="70"/>
              <w:left w:type="dxa" w:w="90"/>
              <w:bottom w:type="dxa" w:w="70"/>
              <w:right w:type="dxa" w:w="90"/>
            </w:tcMar>
          </w:tcPr>
          <w:p>
            <w:r>
              <w:rPr>
                <w:b w:val="false"/>
                <w:bCs w:val="false"/>
                <w:color w:val="000000"/>
                <w:sz w:val="19"/>
                <w:szCs w:val="19"/>
              </w:rPr>
              <w:t xml:space="preserve">30 Jun 2025</w:t>
            </w:r>
          </w:p>
        </w:tc>
        <w:tc>
          <w:tcPr>
            <w:tcW w:type="dxa" w:w="3000"/>
            <w:tcMar>
              <w:top w:type="dxa" w:w="70"/>
              <w:left w:type="dxa" w:w="90"/>
              <w:bottom w:type="dxa" w:w="70"/>
              <w:right w:type="dxa" w:w="90"/>
            </w:tcMar>
          </w:tcPr>
          <w:p>
            <w:r>
              <w:rPr>
                <w:b w:val="false"/>
                <w:bCs w:val="false"/>
                <w:color w:val="000000"/>
                <w:sz w:val="19"/>
                <w:szCs w:val="19"/>
              </w:rPr>
              <w:t xml:space="preserve">CCTV expansion, Tower D entrance (approved in AGM)</w:t>
            </w:r>
          </w:p>
        </w:tc>
        <w:tc>
          <w:tcPr>
            <w:tcW w:type="dxa" w:w="5200"/>
            <w:tcMar>
              <w:top w:type="dxa" w:w="70"/>
              <w:left w:type="dxa" w:w="90"/>
              <w:bottom w:type="dxa" w:w="70"/>
              <w:right w:type="dxa" w:w="90"/>
            </w:tcMar>
          </w:tcPr>
          <w:p>
            <w:r>
              <w:rPr>
                <w:b w:val="false"/>
                <w:bCs w:val="false"/>
                <w:color w:val="000000"/>
                <w:sz w:val="19"/>
                <w:szCs w:val="19"/>
              </w:rPr>
              <w:t xml:space="preserve">₹1,10,000</w:t>
            </w:r>
          </w:p>
        </w:tc>
      </w:tr>
      <w:tr>
        <w:tc>
          <w:tcPr>
            <w:tcW w:type="dxa" w:w="1600"/>
            <w:tcMar>
              <w:top w:type="dxa" w:w="70"/>
              <w:left w:type="dxa" w:w="90"/>
              <w:bottom w:type="dxa" w:w="70"/>
              <w:right w:type="dxa" w:w="90"/>
            </w:tcMar>
          </w:tcPr>
          <w:p>
            <w:r>
              <w:rPr>
                <w:b w:val="false"/>
                <w:bCs w:val="false"/>
                <w:color w:val="000000"/>
                <w:sz w:val="19"/>
                <w:szCs w:val="19"/>
              </w:rPr>
              <w:t xml:space="preserve">Balance as of 31 Jul 2025</w:t>
            </w:r>
          </w:p>
        </w:tc>
        <w:tc>
          <w:tcPr>
            <w:tcW w:type="dxa" w:w="3000"/>
            <w:tcMar>
              <w:top w:type="dxa" w:w="70"/>
              <w:left w:type="dxa" w:w="90"/>
              <w:bottom w:type="dxa" w:w="70"/>
              <w:right w:type="dxa" w:w="90"/>
            </w:tcMar>
          </w:tcPr>
          <w:p>
            <w:r>
              <w:rPr>
                <w:b w:val="false"/>
                <w:bCs w:val="false"/>
                <w:color w:val="000000"/>
                <w:sz w:val="19"/>
                <w:szCs w:val="19"/>
              </w:rPr>
              <w:t xml:space="preserve">Remaining sinking fund balance</w:t>
            </w:r>
          </w:p>
        </w:tc>
        <w:tc>
          <w:tcPr>
            <w:tcW w:type="dxa" w:w="5200"/>
            <w:tcMar>
              <w:top w:type="dxa" w:w="70"/>
              <w:left w:type="dxa" w:w="90"/>
              <w:bottom w:type="dxa" w:w="70"/>
              <w:right w:type="dxa" w:w="90"/>
            </w:tcMar>
          </w:tcPr>
          <w:p>
            <w:r>
              <w:rPr>
                <w:b w:val="false"/>
                <w:bCs w:val="false"/>
                <w:color w:val="000000"/>
                <w:sz w:val="19"/>
                <w:szCs w:val="19"/>
              </w:rPr>
              <w:t xml:space="preserve">₹62,40,000 (approx.)</w:t>
            </w:r>
          </w:p>
        </w:tc>
      </w:tr>
    </w:tbl>
    <w:p>
      <w:pPr>
        <w:spacing w:after="160"/>
      </w:pPr>
      <w:r>
        <w:t xml:space="preserve"/>
      </w:r>
    </w:p>
    <w:p>
      <w:pPr>
        <w:spacing w:after="160"/>
      </w:pPr>
      <w:r>
        <w:t xml:space="preserve">The facade waterproofing project approved at the March 2025 AGM (₹18,00,000 budget) has not yet commenced and is not reflected in the utilization above; vendor selection is in progress and is expected to be finalized by September 2025.</w:t>
      </w:r>
    </w:p>
    <w:p>
      <w:pPr>
        <w:pStyle w:val="Heading1"/>
        <w:spacing w:after="120" w:before="240"/>
      </w:pPr>
      <w:r>
        <w:t xml:space="preserve">9. Security Incident Log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1800"/>
        <w:gridCol w:w="3900"/>
      </w:tblGrid>
      <w:tr>
        <w:tc>
          <w:tcPr>
            <w:tcW w:type="dxa" w:w="1500"/>
            <w:shd w:fill="5C2E4A" w:color="auto" w:val="clear"/>
            <w:tcMar>
              <w:top w:type="dxa" w:w="70"/>
              <w:left w:type="dxa" w:w="90"/>
              <w:bottom w:type="dxa" w:w="70"/>
              <w:right w:type="dxa" w:w="90"/>
            </w:tcMar>
          </w:tcPr>
          <w:p>
            <w:r>
              <w:rPr>
                <w:b/>
                <w:bCs/>
                <w:color w:val="FFFFFF"/>
                <w:sz w:val="19"/>
                <w:szCs w:val="19"/>
              </w:rPr>
              <w:t xml:space="preserve">Date</w:t>
            </w:r>
          </w:p>
        </w:tc>
        <w:tc>
          <w:tcPr>
            <w:tcW w:type="dxa" w:w="2600"/>
            <w:shd w:fill="5C2E4A" w:color="auto" w:val="clear"/>
            <w:tcMar>
              <w:top w:type="dxa" w:w="70"/>
              <w:left w:type="dxa" w:w="90"/>
              <w:bottom w:type="dxa" w:w="70"/>
              <w:right w:type="dxa" w:w="90"/>
            </w:tcMar>
          </w:tcPr>
          <w:p>
            <w:r>
              <w:rPr>
                <w:b/>
                <w:bCs/>
                <w:color w:val="FFFFFF"/>
                <w:sz w:val="19"/>
                <w:szCs w:val="19"/>
              </w:rPr>
              <w:t xml:space="preserve">Incident</w:t>
            </w:r>
          </w:p>
        </w:tc>
        <w:tc>
          <w:tcPr>
            <w:tcW w:type="dxa" w:w="1800"/>
            <w:shd w:fill="5C2E4A" w:color="auto" w:val="clear"/>
            <w:tcMar>
              <w:top w:type="dxa" w:w="70"/>
              <w:left w:type="dxa" w:w="90"/>
              <w:bottom w:type="dxa" w:w="70"/>
              <w:right w:type="dxa" w:w="90"/>
            </w:tcMar>
          </w:tcPr>
          <w:p>
            <w:r>
              <w:rPr>
                <w:b/>
                <w:bCs/>
                <w:color w:val="FFFFFF"/>
                <w:sz w:val="19"/>
                <w:szCs w:val="19"/>
              </w:rPr>
              <w:t xml:space="preserve">Reported By</w:t>
            </w:r>
          </w:p>
        </w:tc>
        <w:tc>
          <w:tcPr>
            <w:tcW w:type="dxa" w:w="3900"/>
            <w:shd w:fill="5C2E4A" w:color="auto" w:val="clear"/>
            <w:tcMar>
              <w:top w:type="dxa" w:w="70"/>
              <w:left w:type="dxa" w:w="90"/>
              <w:bottom w:type="dxa" w:w="70"/>
              <w:right w:type="dxa" w:w="90"/>
            </w:tcMar>
          </w:tcPr>
          <w:p>
            <w:r>
              <w:rPr>
                <w:b/>
                <w:bCs/>
                <w:color w:val="FFFFFF"/>
                <w:sz w:val="19"/>
                <w:szCs w:val="19"/>
              </w:rPr>
              <w:t xml:space="preserve">Action Taken</w:t>
            </w:r>
          </w:p>
        </w:tc>
      </w:tr>
      <w:tr>
        <w:tc>
          <w:tcPr>
            <w:tcW w:type="dxa" w:w="1500"/>
            <w:tcMar>
              <w:top w:type="dxa" w:w="70"/>
              <w:left w:type="dxa" w:w="90"/>
              <w:bottom w:type="dxa" w:w="70"/>
              <w:right w:type="dxa" w:w="90"/>
            </w:tcMar>
          </w:tcPr>
          <w:p>
            <w:r>
              <w:rPr>
                <w:b w:val="false"/>
                <w:bCs w:val="false"/>
                <w:color w:val="000000"/>
                <w:sz w:val="19"/>
                <w:szCs w:val="19"/>
              </w:rPr>
              <w:t xml:space="preserve">9 Feb 2025</w:t>
            </w:r>
          </w:p>
        </w:tc>
        <w:tc>
          <w:tcPr>
            <w:tcW w:type="dxa" w:w="2600"/>
            <w:tcMar>
              <w:top w:type="dxa" w:w="70"/>
              <w:left w:type="dxa" w:w="90"/>
              <w:bottom w:type="dxa" w:w="70"/>
              <w:right w:type="dxa" w:w="90"/>
            </w:tcMar>
          </w:tcPr>
          <w:p>
            <w:r>
              <w:rPr>
                <w:b w:val="false"/>
                <w:bCs w:val="false"/>
                <w:color w:val="000000"/>
                <w:sz w:val="19"/>
                <w:szCs w:val="19"/>
              </w:rPr>
              <w:t xml:space="preserve">Unregistered delivery rider found on residential floor, Tower A</w:t>
            </w:r>
          </w:p>
        </w:tc>
        <w:tc>
          <w:tcPr>
            <w:tcW w:type="dxa" w:w="1800"/>
            <w:tcMar>
              <w:top w:type="dxa" w:w="70"/>
              <w:left w:type="dxa" w:w="90"/>
              <w:bottom w:type="dxa" w:w="70"/>
              <w:right w:type="dxa" w:w="90"/>
            </w:tcMar>
          </w:tcPr>
          <w:p>
            <w:r>
              <w:rPr>
                <w:b w:val="false"/>
                <w:bCs w:val="false"/>
                <w:color w:val="000000"/>
                <w:sz w:val="19"/>
                <w:szCs w:val="19"/>
              </w:rPr>
              <w:t xml:space="preserve">Security patrol</w:t>
            </w:r>
          </w:p>
        </w:tc>
        <w:tc>
          <w:tcPr>
            <w:tcW w:type="dxa" w:w="3900"/>
            <w:tcMar>
              <w:top w:type="dxa" w:w="70"/>
              <w:left w:type="dxa" w:w="90"/>
              <w:bottom w:type="dxa" w:w="70"/>
              <w:right w:type="dxa" w:w="90"/>
            </w:tcMar>
          </w:tcPr>
          <w:p>
            <w:r>
              <w:rPr>
                <w:b w:val="false"/>
                <w:bCs w:val="false"/>
                <w:color w:val="000000"/>
                <w:sz w:val="19"/>
                <w:szCs w:val="19"/>
              </w:rPr>
              <w:t xml:space="preserve">Rider escorted out; visitor log procedure reinforced with security staff at next briefing</w:t>
            </w:r>
          </w:p>
        </w:tc>
      </w:tr>
      <w:tr>
        <w:tc>
          <w:tcPr>
            <w:tcW w:type="dxa" w:w="1500"/>
            <w:tcMar>
              <w:top w:type="dxa" w:w="70"/>
              <w:left w:type="dxa" w:w="90"/>
              <w:bottom w:type="dxa" w:w="70"/>
              <w:right w:type="dxa" w:w="90"/>
            </w:tcMar>
          </w:tcPr>
          <w:p>
            <w:r>
              <w:rPr>
                <w:b w:val="false"/>
                <w:bCs w:val="false"/>
                <w:color w:val="000000"/>
                <w:sz w:val="19"/>
                <w:szCs w:val="19"/>
              </w:rPr>
              <w:t xml:space="preserve">27 Apr 2025</w:t>
            </w:r>
          </w:p>
        </w:tc>
        <w:tc>
          <w:tcPr>
            <w:tcW w:type="dxa" w:w="2600"/>
            <w:tcMar>
              <w:top w:type="dxa" w:w="70"/>
              <w:left w:type="dxa" w:w="90"/>
              <w:bottom w:type="dxa" w:w="70"/>
              <w:right w:type="dxa" w:w="90"/>
            </w:tcMar>
          </w:tcPr>
          <w:p>
            <w:r>
              <w:rPr>
                <w:b w:val="false"/>
                <w:bCs w:val="false"/>
                <w:color w:val="000000"/>
                <w:sz w:val="19"/>
                <w:szCs w:val="19"/>
              </w:rPr>
              <w:t xml:space="preserve">Minor scuffle between residents over parking slot at basement P2</w:t>
            </w:r>
          </w:p>
        </w:tc>
        <w:tc>
          <w:tcPr>
            <w:tcW w:type="dxa" w:w="1800"/>
            <w:tcMar>
              <w:top w:type="dxa" w:w="70"/>
              <w:left w:type="dxa" w:w="90"/>
              <w:bottom w:type="dxa" w:w="70"/>
              <w:right w:type="dxa" w:w="90"/>
            </w:tcMar>
          </w:tcPr>
          <w:p>
            <w:r>
              <w:rPr>
                <w:b w:val="false"/>
                <w:bCs w:val="false"/>
                <w:color w:val="000000"/>
                <w:sz w:val="19"/>
                <w:szCs w:val="19"/>
              </w:rPr>
              <w:t xml:space="preserve">Security control room</w:t>
            </w:r>
          </w:p>
        </w:tc>
        <w:tc>
          <w:tcPr>
            <w:tcW w:type="dxa" w:w="3900"/>
            <w:tcMar>
              <w:top w:type="dxa" w:w="70"/>
              <w:left w:type="dxa" w:w="90"/>
              <w:bottom w:type="dxa" w:w="70"/>
              <w:right w:type="dxa" w:w="90"/>
            </w:tcMar>
          </w:tcPr>
          <w:p>
            <w:r>
              <w:rPr>
                <w:b w:val="false"/>
                <w:bCs w:val="false"/>
                <w:color w:val="000000"/>
                <w:sz w:val="19"/>
                <w:szCs w:val="19"/>
              </w:rPr>
              <w:t xml:space="preserve">Both residents counselled by committee; parking allocation for both flats reconfirmed as per Section 5 policy</w:t>
            </w:r>
          </w:p>
        </w:tc>
      </w:tr>
      <w:tr>
        <w:tc>
          <w:tcPr>
            <w:tcW w:type="dxa" w:w="1500"/>
            <w:tcMar>
              <w:top w:type="dxa" w:w="70"/>
              <w:left w:type="dxa" w:w="90"/>
              <w:bottom w:type="dxa" w:w="70"/>
              <w:right w:type="dxa" w:w="90"/>
            </w:tcMar>
          </w:tcPr>
          <w:p>
            <w:r>
              <w:rPr>
                <w:b w:val="false"/>
                <w:bCs w:val="false"/>
                <w:color w:val="000000"/>
                <w:sz w:val="19"/>
                <w:szCs w:val="19"/>
              </w:rPr>
              <w:t xml:space="preserve">11 Jun 2025</w:t>
            </w:r>
          </w:p>
        </w:tc>
        <w:tc>
          <w:tcPr>
            <w:tcW w:type="dxa" w:w="2600"/>
            <w:tcMar>
              <w:top w:type="dxa" w:w="70"/>
              <w:left w:type="dxa" w:w="90"/>
              <w:bottom w:type="dxa" w:w="70"/>
              <w:right w:type="dxa" w:w="90"/>
            </w:tcMar>
          </w:tcPr>
          <w:p>
            <w:r>
              <w:rPr>
                <w:b w:val="false"/>
                <w:bCs w:val="false"/>
                <w:color w:val="000000"/>
                <w:sz w:val="19"/>
                <w:szCs w:val="19"/>
              </w:rPr>
              <w:t xml:space="preserve">CCTV outage in Tower C corridor, floors 10–15, for approximately 6 hours</w:t>
            </w:r>
          </w:p>
        </w:tc>
        <w:tc>
          <w:tcPr>
            <w:tcW w:type="dxa" w:w="1800"/>
            <w:tcMar>
              <w:top w:type="dxa" w:w="70"/>
              <w:left w:type="dxa" w:w="90"/>
              <w:bottom w:type="dxa" w:w="70"/>
              <w:right w:type="dxa" w:w="90"/>
            </w:tcMar>
          </w:tcPr>
          <w:p>
            <w:r>
              <w:rPr>
                <w:b w:val="false"/>
                <w:bCs w:val="false"/>
                <w:color w:val="000000"/>
                <w:sz w:val="19"/>
                <w:szCs w:val="19"/>
              </w:rPr>
              <w:t xml:space="preserve">Facility management routine check</w:t>
            </w:r>
          </w:p>
        </w:tc>
        <w:tc>
          <w:tcPr>
            <w:tcW w:type="dxa" w:w="3900"/>
            <w:tcMar>
              <w:top w:type="dxa" w:w="70"/>
              <w:left w:type="dxa" w:w="90"/>
              <w:bottom w:type="dxa" w:w="70"/>
              <w:right w:type="dxa" w:w="90"/>
            </w:tcMar>
          </w:tcPr>
          <w:p>
            <w:r>
              <w:rPr>
                <w:b w:val="false"/>
                <w:bCs w:val="false"/>
                <w:color w:val="000000"/>
                <w:sz w:val="19"/>
                <w:szCs w:val="19"/>
              </w:rPr>
              <w:t xml:space="preserve">DVR unit replaced same day; incident logged and reported to committee at next meeting</w:t>
            </w:r>
          </w:p>
        </w:tc>
      </w:tr>
    </w:tbl>
    <w:p>
      <w:pPr>
        <w:pStyle w:val="Heading1"/>
        <w:spacing w:after="120" w:before="240"/>
      </w:pPr>
      <w:r>
        <w:t xml:space="preserve">10. Upcoming Action Calendar</w:t>
      </w:r>
    </w:p>
    <w:p>
      <w:pPr>
        <w:pStyle w:val="ListParagraph"/>
        <w:numPr>
          <w:ilvl w:val="0"/>
          <w:numId w:val="2"/>
        </w:numPr>
        <w:spacing w:after="80"/>
      </w:pPr>
      <w:r>
        <w:t xml:space="preserve">31 Aug 2025: Escalation review for Tower C, Flat 1210 maintenance default</w:t>
      </w:r>
    </w:p>
    <w:p>
      <w:pPr>
        <w:pStyle w:val="ListParagraph"/>
        <w:numPr>
          <w:ilvl w:val="0"/>
          <w:numId w:val="2"/>
        </w:numPr>
        <w:spacing w:after="80"/>
      </w:pPr>
      <w:r>
        <w:t xml:space="preserve">Sep 2025: Finalize vendor selection for facade waterproofing project</w:t>
      </w:r>
    </w:p>
    <w:p>
      <w:pPr>
        <w:pStyle w:val="ListParagraph"/>
        <w:numPr>
          <w:ilvl w:val="0"/>
          <w:numId w:val="2"/>
        </w:numPr>
        <w:spacing w:after="80"/>
      </w:pPr>
      <w:r>
        <w:t xml:space="preserve">30 Sep 2025: Deadline for balcony enclosure reversal, Tower B, Flat 1502</w:t>
      </w:r>
    </w:p>
    <w:p>
      <w:pPr>
        <w:pStyle w:val="ListParagraph"/>
        <w:numPr>
          <w:ilvl w:val="0"/>
          <w:numId w:val="2"/>
        </w:numPr>
        <w:spacing w:after="80"/>
      </w:pPr>
      <w:r>
        <w:t xml:space="preserve">Oct 2025: Present EV charging feasibility study findings to residents ahead of next AGM</w:t>
      </w:r>
    </w:p>
    <w:p>
      <w:pPr>
        <w:pStyle w:val="ListParagraph"/>
        <w:numPr>
          <w:ilvl w:val="0"/>
          <w:numId w:val="2"/>
        </w:numPr>
        <w:spacing w:after="80"/>
      </w:pPr>
      <w:r>
        <w:t xml:space="preserve">Ongoing: Monthly review of landscaping vendor performance following June 2025 service quality concerns</w:t>
      </w:r>
    </w:p>
    <w:p>
      <w:pPr>
        <w:pStyle w:val="Heading1"/>
        <w:spacing w:after="120" w:before="240"/>
      </w:pPr>
      <w:r>
        <w:t xml:space="preserve">11. Vendor Performance Notes</w:t>
      </w:r>
    </w:p>
    <w:p>
      <w:pPr>
        <w:spacing w:after="160"/>
      </w:pPr>
      <w:r>
        <w:rPr>
          <w:b/>
          <w:bCs/>
        </w:rPr>
        <w:t xml:space="preserve">GreenScape Gardens (landscaping)</w:t>
      </w:r>
    </w:p>
    <w:p>
      <w:pPr>
        <w:spacing w:after="160"/>
      </w:pPr>
      <w:r>
        <w:t xml:space="preserve">Multiple residents raised concerns in June 2025 about inconsistent lawn maintenance frequency in the central courtyard and party lawn areas. The committee issued a written performance notice on 20 June 2025 requesting a revised service schedule; a follow-up review is scheduled for September 2025 to decide on contract continuation.</w:t>
      </w:r>
    </w:p>
    <w:p>
      <w:pPr>
        <w:spacing w:after="160"/>
      </w:pPr>
      <w:r>
        <w:rPr>
          <w:b/>
          <w:bCs/>
        </w:rPr>
        <w:t xml:space="preserve">Trident FM Services Pvt. Ltd. (overall facility management)</w:t>
      </w:r>
    </w:p>
    <w:p>
      <w:pPr>
        <w:spacing w:after="160"/>
      </w:pPr>
      <w:r>
        <w:t xml:space="preserve">Overall performance rated satisfactory in the FY 2025 mid-year review conducted by the committee on 5 Jul 2025, with particular commendation for prompt handling of the basement seepage issue (Section 3) and STP compliance audit (Section 7).</w:t>
      </w:r>
    </w:p>
    <w:p>
      <w:pPr>
        <w:pStyle w:val="Heading1"/>
        <w:spacing w:after="120" w:before="240"/>
      </w:pPr>
      <w:r>
        <w:t xml:space="preserve">12. Distribution</w:t>
      </w:r>
    </w:p>
    <w:p>
      <w:pPr>
        <w:spacing w:after="160"/>
      </w:pPr>
      <w:r>
        <w:t xml:space="preserve">This log is circulated to all Managing Committee members and the appointed facility management agency point of contact. It is not intended for general resident circulation in this consolidated form; individual complaint status may be shared with the concerned resident on request.</w:t>
      </w:r>
    </w:p>
    <w:p>
      <w:pPr>
        <w:pStyle w:val="Heading1"/>
        <w:spacing w:after="120" w:before="240"/>
      </w:pPr>
      <w:r>
        <w:t xml:space="preserve">13. Summary Statistics (H1 2025)</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5200"/>
      </w:tblGrid>
      <w:tr>
        <w:tc>
          <w:tcPr>
            <w:tcW w:type="dxa" w:w="1600"/>
            <w:shd w:fill="5C2E4A" w:color="auto" w:val="clear"/>
            <w:tcMar>
              <w:top w:type="dxa" w:w="70"/>
              <w:left w:type="dxa" w:w="90"/>
              <w:bottom w:type="dxa" w:w="70"/>
              <w:right w:type="dxa" w:w="90"/>
            </w:tcMar>
          </w:tcPr>
          <w:p>
            <w:r>
              <w:rPr>
                <w:b/>
                <w:bCs/>
                <w:color w:val="FFFFFF"/>
                <w:sz w:val="19"/>
                <w:szCs w:val="19"/>
              </w:rPr>
              <w:t xml:space="preserve">Metric</w:t>
            </w:r>
          </w:p>
        </w:tc>
        <w:tc>
          <w:tcPr>
            <w:tcW w:type="dxa" w:w="3000"/>
            <w:shd w:fill="5C2E4A" w:color="auto" w:val="clear"/>
            <w:tcMar>
              <w:top w:type="dxa" w:w="70"/>
              <w:left w:type="dxa" w:w="90"/>
              <w:bottom w:type="dxa" w:w="70"/>
              <w:right w:type="dxa" w:w="90"/>
            </w:tcMar>
          </w:tcPr>
          <w:p>
            <w:r>
              <w:rPr>
                <w:b/>
                <w:bCs/>
                <w:color w:val="FFFFFF"/>
                <w:sz w:val="19"/>
                <w:szCs w:val="19"/>
              </w:rPr>
              <w:t xml:space="preserve">Value</w:t>
            </w:r>
          </w:p>
        </w:tc>
        <w:tc>
          <w:tcPr>
            <w:tcW w:type="dxa" w:w="5200"/>
            <w:shd w:fill="5C2E4A" w:color="auto" w:val="clear"/>
            <w:tcMar>
              <w:top w:type="dxa" w:w="70"/>
              <w:left w:type="dxa" w:w="90"/>
              <w:bottom w:type="dxa" w:w="70"/>
              <w:right w:type="dxa" w:w="90"/>
            </w:tcMar>
          </w:tcPr>
          <w:p>
            <w:r>
              <w:rPr>
                <w:b/>
                <w:bCs/>
                <w:color w:val="FFFFFF"/>
                <w:sz w:val="19"/>
                <w:szCs w:val="19"/>
              </w:rPr>
              <w:t xml:space="preserve">Comment</w:t>
            </w:r>
          </w:p>
        </w:tc>
      </w:tr>
      <w:tr>
        <w:tc>
          <w:tcPr>
            <w:tcW w:type="dxa" w:w="1600"/>
            <w:tcMar>
              <w:top w:type="dxa" w:w="70"/>
              <w:left w:type="dxa" w:w="90"/>
              <w:bottom w:type="dxa" w:w="70"/>
              <w:right w:type="dxa" w:w="90"/>
            </w:tcMar>
          </w:tcPr>
          <w:p>
            <w:r>
              <w:rPr>
                <w:b w:val="false"/>
                <w:bCs w:val="false"/>
                <w:color w:val="000000"/>
                <w:sz w:val="19"/>
                <w:szCs w:val="19"/>
              </w:rPr>
              <w:t xml:space="preserve">Total complaints logged</w:t>
            </w:r>
          </w:p>
        </w:tc>
        <w:tc>
          <w:tcPr>
            <w:tcW w:type="dxa" w:w="3000"/>
            <w:tcMar>
              <w:top w:type="dxa" w:w="70"/>
              <w:left w:type="dxa" w:w="90"/>
              <w:bottom w:type="dxa" w:w="70"/>
              <w:right w:type="dxa" w:w="90"/>
            </w:tcMar>
          </w:tcPr>
          <w:p>
            <w:r>
              <w:rPr>
                <w:b w:val="false"/>
                <w:bCs w:val="false"/>
                <w:color w:val="000000"/>
                <w:sz w:val="19"/>
                <w:szCs w:val="19"/>
              </w:rPr>
              <w:t xml:space="preserve">5</w:t>
            </w:r>
          </w:p>
        </w:tc>
        <w:tc>
          <w:tcPr>
            <w:tcW w:type="dxa" w:w="5200"/>
            <w:tcMar>
              <w:top w:type="dxa" w:w="70"/>
              <w:left w:type="dxa" w:w="90"/>
              <w:bottom w:type="dxa" w:w="70"/>
              <w:right w:type="dxa" w:w="90"/>
            </w:tcMar>
          </w:tcPr>
          <w:p>
            <w:r>
              <w:rPr>
                <w:b w:val="false"/>
                <w:bCs w:val="false"/>
                <w:color w:val="000000"/>
                <w:sz w:val="19"/>
                <w:szCs w:val="19"/>
              </w:rPr>
              <w:t xml:space="preserve">All resolved or under active monitoring as of this log</w:t>
            </w:r>
          </w:p>
        </w:tc>
      </w:tr>
      <w:tr>
        <w:tc>
          <w:tcPr>
            <w:tcW w:type="dxa" w:w="1600"/>
            <w:tcMar>
              <w:top w:type="dxa" w:w="70"/>
              <w:left w:type="dxa" w:w="90"/>
              <w:bottom w:type="dxa" w:w="70"/>
              <w:right w:type="dxa" w:w="90"/>
            </w:tcMar>
          </w:tcPr>
          <w:p>
            <w:r>
              <w:rPr>
                <w:b w:val="false"/>
                <w:bCs w:val="false"/>
                <w:color w:val="000000"/>
                <w:sz w:val="19"/>
                <w:szCs w:val="19"/>
              </w:rPr>
              <w:t xml:space="preserve">Average resolution time (routine complaints)</w:t>
            </w:r>
          </w:p>
        </w:tc>
        <w:tc>
          <w:tcPr>
            <w:tcW w:type="dxa" w:w="3000"/>
            <w:tcMar>
              <w:top w:type="dxa" w:w="70"/>
              <w:left w:type="dxa" w:w="90"/>
              <w:bottom w:type="dxa" w:w="70"/>
              <w:right w:type="dxa" w:w="90"/>
            </w:tcMar>
          </w:tcPr>
          <w:p>
            <w:r>
              <w:rPr>
                <w:b w:val="false"/>
                <w:bCs w:val="false"/>
                <w:color w:val="000000"/>
                <w:sz w:val="19"/>
                <w:szCs w:val="19"/>
              </w:rPr>
              <w:t xml:space="preserve">6 days</w:t>
            </w:r>
          </w:p>
        </w:tc>
        <w:tc>
          <w:tcPr>
            <w:tcW w:type="dxa" w:w="5200"/>
            <w:tcMar>
              <w:top w:type="dxa" w:w="70"/>
              <w:left w:type="dxa" w:w="90"/>
              <w:bottom w:type="dxa" w:w="70"/>
              <w:right w:type="dxa" w:w="90"/>
            </w:tcMar>
          </w:tcPr>
          <w:p>
            <w:r>
              <w:rPr>
                <w:b w:val="false"/>
                <w:bCs w:val="false"/>
                <w:color w:val="000000"/>
                <w:sz w:val="19"/>
                <w:szCs w:val="19"/>
              </w:rPr>
              <w:t xml:space="preserve">Within managing agency's committed 3-day window for simple issues, longer for structural items like waterproofing</w:t>
            </w:r>
          </w:p>
        </w:tc>
      </w:tr>
      <w:tr>
        <w:tc>
          <w:tcPr>
            <w:tcW w:type="dxa" w:w="1600"/>
            <w:tcMar>
              <w:top w:type="dxa" w:w="70"/>
              <w:left w:type="dxa" w:w="90"/>
              <w:bottom w:type="dxa" w:w="70"/>
              <w:right w:type="dxa" w:w="90"/>
            </w:tcMar>
          </w:tcPr>
          <w:p>
            <w:r>
              <w:rPr>
                <w:b w:val="false"/>
                <w:bCs w:val="false"/>
                <w:color w:val="000000"/>
                <w:sz w:val="19"/>
                <w:szCs w:val="19"/>
              </w:rPr>
              <w:t xml:space="preserve">Fines levied</w:t>
            </w:r>
          </w:p>
        </w:tc>
        <w:tc>
          <w:tcPr>
            <w:tcW w:type="dxa" w:w="3000"/>
            <w:tcMar>
              <w:top w:type="dxa" w:w="70"/>
              <w:left w:type="dxa" w:w="90"/>
              <w:bottom w:type="dxa" w:w="70"/>
              <w:right w:type="dxa" w:w="90"/>
            </w:tcMar>
          </w:tcPr>
          <w:p>
            <w:r>
              <w:rPr>
                <w:b w:val="false"/>
                <w:bCs w:val="false"/>
                <w:color w:val="000000"/>
                <w:sz w:val="19"/>
                <w:szCs w:val="19"/>
              </w:rPr>
              <w:t xml:space="preserve">3 instances, ₹12,500 total</w:t>
            </w:r>
          </w:p>
        </w:tc>
        <w:tc>
          <w:tcPr>
            <w:tcW w:type="dxa" w:w="5200"/>
            <w:tcMar>
              <w:top w:type="dxa" w:w="70"/>
              <w:left w:type="dxa" w:w="90"/>
              <w:bottom w:type="dxa" w:w="70"/>
              <w:right w:type="dxa" w:w="90"/>
            </w:tcMar>
          </w:tcPr>
          <w:p>
            <w:r>
              <w:rPr>
                <w:b w:val="false"/>
                <w:bCs w:val="false"/>
                <w:color w:val="000000"/>
                <w:sz w:val="19"/>
                <w:szCs w:val="19"/>
              </w:rPr>
              <w:t xml:space="preserve">₹2,500 collected to date; ₹10,000 balance tied to ongoing balcony reversal</w:t>
            </w:r>
          </w:p>
        </w:tc>
      </w:tr>
      <w:tr>
        <w:tc>
          <w:tcPr>
            <w:tcW w:type="dxa" w:w="1600"/>
            <w:tcMar>
              <w:top w:type="dxa" w:w="70"/>
              <w:left w:type="dxa" w:w="90"/>
              <w:bottom w:type="dxa" w:w="70"/>
              <w:right w:type="dxa" w:w="90"/>
            </w:tcMar>
          </w:tcPr>
          <w:p>
            <w:r>
              <w:rPr>
                <w:b w:val="false"/>
                <w:bCs w:val="false"/>
                <w:color w:val="000000"/>
                <w:sz w:val="19"/>
                <w:szCs w:val="19"/>
              </w:rPr>
              <w:t xml:space="preserve">Maintenance default rate</w:t>
            </w:r>
          </w:p>
        </w:tc>
        <w:tc>
          <w:tcPr>
            <w:tcW w:type="dxa" w:w="3000"/>
            <w:tcMar>
              <w:top w:type="dxa" w:w="70"/>
              <w:left w:type="dxa" w:w="90"/>
              <w:bottom w:type="dxa" w:w="70"/>
              <w:right w:type="dxa" w:w="90"/>
            </w:tcMar>
          </w:tcPr>
          <w:p>
            <w:r>
              <w:rPr>
                <w:b w:val="false"/>
                <w:bCs w:val="false"/>
                <w:color w:val="000000"/>
                <w:sz w:val="19"/>
                <w:szCs w:val="19"/>
              </w:rPr>
              <w:t xml:space="preserve">2 of 288 flats with dues over one quarter overdue</w:t>
            </w:r>
          </w:p>
        </w:tc>
        <w:tc>
          <w:tcPr>
            <w:tcW w:type="dxa" w:w="5200"/>
            <w:tcMar>
              <w:top w:type="dxa" w:w="70"/>
              <w:left w:type="dxa" w:w="90"/>
              <w:bottom w:type="dxa" w:w="70"/>
              <w:right w:type="dxa" w:w="90"/>
            </w:tcMar>
          </w:tcPr>
          <w:p>
            <w:r>
              <w:rPr>
                <w:b w:val="false"/>
                <w:bCs w:val="false"/>
                <w:color w:val="000000"/>
                <w:sz w:val="19"/>
                <w:szCs w:val="19"/>
              </w:rPr>
              <w:t xml:space="preserve">Considered within normal range by Treasurer</w:t>
            </w:r>
          </w:p>
        </w:tc>
      </w:tr>
    </w:tbl>
    <w:p>
      <w:pPr>
        <w:spacing w:after="200"/>
      </w:pPr>
      <w:r>
        <w:rPr>
          <w:i/>
          <w:iCs/>
          <w:color w:val="666666"/>
          <w:sz w:val="20"/>
          <w:szCs w:val="20"/>
        </w:rPr>
        <w:t xml:space="preserve">End of document. Internal reference: EEOA-LOG-2025-H1 (synthetic training corpus).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6"/>
        <w:szCs w:val="16"/>
      </w:rPr>
      <w:t xml:space="preserve">Emerald Enclave Owners' Association — Maintenance &amp; Compliance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2026-08-23T14:03:30.968Z</dcterms:created>
  <dcterms:modified xsi:type="dcterms:W3CDTF">2026-08-23T14:03:30.969Z</dcterms:modified>
</cp:coreProperties>
</file>

<file path=docProps/custom.xml><?xml version="1.0" encoding="utf-8"?>
<Properties xmlns="http://schemas.openxmlformats.org/officeDocument/2006/custom-properties" xmlns:vt="http://schemas.openxmlformats.org/officeDocument/2006/docPropsVTypes"/>
</file>