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B2A4A"/>
          <w:sz w:val="60"/>
          <w:szCs w:val="60"/>
        </w:rPr>
        <w:t xml:space="preserve">MACHINE UNLEARNING</w:t>
      </w:r>
    </w:p>
    <w:p>
      <w:pPr>
        <w:spacing w:after="80" w:before="0"/>
        <w:jc w:val="center"/>
      </w:pPr>
      <w:r>
        <w:rPr>
          <w:rFonts w:ascii="Arial" w:cs="Arial" w:eastAsia="Arial" w:hAnsi="Arial"/>
          <w:color w:val="2E5FA3"/>
          <w:sz w:val="34"/>
          <w:szCs w:val="34"/>
        </w:rPr>
        <w:t xml:space="preserve">The Algorithmic Right to be Forgotten</w:t>
      </w:r>
    </w:p>
    <w:p>
      <w:pPr>
        <w:spacing w:after="400" w:before="0"/>
        <w:jc w:val="center"/>
      </w:pPr>
      <w:r>
        <w:rPr>
          <w:rFonts w:ascii="Arial" w:cs="Arial" w:eastAsia="Arial" w:hAnsi="Arial"/>
          <w:i/>
          <w:iCs/>
          <w:color w:val="666666"/>
          <w:sz w:val="24"/>
          <w:szCs w:val="24"/>
        </w:rPr>
        <w:t xml:space="preserve">Bridging Static Privacy Law and Dynamic Neural Systems</w:t>
      </w:r>
    </w:p>
    <w:p>
      <w:pPr>
        <w:pBdr>
          <w:bottom w:val="single" w:color="D0D7E3" w:sz="6" w:space="1"/>
        </w:pBdr>
        <w:spacing w:after="160" w:before="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b/>
                <w:bCs/>
                <w:color w:val="1B2A4A"/>
              </w:rPr>
              <w:t xml:space="preserve">Classification</w:t>
            </w:r>
          </w:p>
        </w:tc>
        <w:tc>
          <w:tcPr>
            <w:tcW w:type="dxa" w:w="40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color w:val="1A1A1A"/>
              </w:rPr>
              <w:t xml:space="preserve">Technical Research Paper</w:t>
            </w:r>
          </w:p>
        </w:tc>
      </w:tr>
      <w:tr>
        <w:tc>
          <w:tcPr>
            <w:tcW w:type="dxa" w:w="2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b/>
                <w:bCs/>
                <w:color w:val="1B2A4A"/>
              </w:rPr>
              <w:t xml:space="preserve">Domain</w:t>
            </w:r>
          </w:p>
        </w:tc>
        <w:tc>
          <w:tcPr>
            <w:tcW w:type="dxa" w:w="40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color w:val="1A1A1A"/>
              </w:rPr>
              <w:t xml:space="preserve">AI Safety / Data Privacy / Machine Learning</w:t>
            </w:r>
          </w:p>
        </w:tc>
      </w:tr>
      <w:tr>
        <w:tc>
          <w:tcPr>
            <w:tcW w:type="dxa" w:w="2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b/>
                <w:bCs/>
                <w:color w:val="1B2A4A"/>
              </w:rPr>
              <w:t xml:space="preserve">Compliance Scope</w:t>
            </w:r>
          </w:p>
        </w:tc>
        <w:tc>
          <w:tcPr>
            <w:tcW w:type="dxa" w:w="40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color w:val="1A1A1A"/>
              </w:rPr>
              <w:t xml:space="preserve">GDPR Art. 17, CCPA, EU AI Act</w:t>
            </w:r>
          </w:p>
        </w:tc>
      </w:tr>
      <w:tr>
        <w:tc>
          <w:tcPr>
            <w:tcW w:type="dxa" w:w="2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b/>
                <w:bCs/>
                <w:color w:val="1B2A4A"/>
              </w:rPr>
              <w:t xml:space="preserve">Date</w:t>
            </w:r>
          </w:p>
        </w:tc>
        <w:tc>
          <w:tcPr>
            <w:tcW w:type="dxa" w:w="40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color w:val="1A1A1A"/>
              </w:rPr>
              <w:t xml:space="preserve">May 2026</w:t>
            </w:r>
          </w:p>
        </w:tc>
      </w:tr>
      <w:tr>
        <w:tc>
          <w:tcPr>
            <w:tcW w:type="dxa" w:w="2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b/>
                <w:bCs/>
                <w:color w:val="1B2A4A"/>
              </w:rPr>
              <w:t xml:space="preserve">Status</w:t>
            </w:r>
          </w:p>
        </w:tc>
        <w:tc>
          <w:tcPr>
            <w:tcW w:type="dxa" w:w="4000"/>
            <w:tcBorders>
              <w:top w:val="single" w:color="D0D7E3" w:sz="4"/>
              <w:left w:val="single" w:color="D0D7E3" w:sz="4"/>
              <w:bottom w:val="single" w:color="D0D7E3" w:sz="4"/>
              <w:right w:val="single" w:color="D0D7E3" w:sz="4"/>
            </w:tcBorders>
            <w:tcMar>
              <w:top w:type="dxa" w:w="80"/>
              <w:left w:type="dxa" w:w="120"/>
              <w:bottom w:type="dxa" w:w="80"/>
              <w:right w:type="dxa" w:w="120"/>
            </w:tcMar>
          </w:tcPr>
          <w:p>
            <w:r>
              <w:rPr>
                <w:color w:val="1A1A1A"/>
              </w:rPr>
              <w:t xml:space="preserve">Peer-Review Draft</w:t>
            </w:r>
          </w:p>
        </w:tc>
      </w:tr>
    </w:tbl>
    <w:p>
      <w:r>
        <w:br w:type="page"/>
      </w:r>
    </w:p>
    <w:p>
      <w:pPr>
        <w:pStyle w:val="Heading1"/>
        <w:spacing w:after="120" w:before="360"/>
      </w:pPr>
      <w:r>
        <w:rPr>
          <w:rFonts w:ascii="Arial" w:cs="Arial" w:eastAsia="Arial" w:hAnsi="Arial"/>
          <w:b/>
          <w:bCs/>
          <w:color w:val="1B2A4A"/>
          <w:sz w:val="32"/>
          <w:szCs w:val="32"/>
        </w:rPr>
        <w:t xml:space="preserve">Abstract</w:t>
      </w:r>
    </w:p>
    <w:p>
      <w:pPr>
        <w:spacing w:after="120" w:before="80"/>
        <w:jc w:val="both"/>
      </w:pPr>
      <w:r>
        <w:rPr>
          <w:color w:val="1A1A1A"/>
        </w:rPr>
        <w:t xml:space="preserve">The proliferation of large-scale machine learning systems has created a fundamental legal and technical conflict: privacy regulations such as the EU General Data Protection Regulation (GDPR) grant individuals a </w:t>
      </w:r>
      <w:r>
        <w:rPr>
          <w:b/>
          <w:bCs/>
          <w:color w:val="1A1A1A"/>
        </w:rPr>
        <w:t xml:space="preserve">"right to erasure"</w:t>
      </w:r>
      <w:r>
        <w:rPr>
          <w:color w:val="1A1A1A"/>
        </w:rPr>
        <w:t xml:space="preserve"> (Article 17), yet deleting a record from a database does not erase the </w:t>
      </w:r>
      <w:r>
        <w:rPr>
          <w:i/>
          <w:iCs/>
          <w:color w:val="1A1A1A"/>
        </w:rPr>
        <w:t xml:space="preserve">influence</w:t>
      </w:r>
      <w:r>
        <w:rPr>
          <w:color w:val="1A1A1A"/>
        </w:rPr>
        <w:t xml:space="preserve"> that record exerted on a trained model's weight space. This paper formalises this conflict as the </w:t>
      </w:r>
      <w:r>
        <w:rPr>
          <w:b/>
          <w:bCs/>
          <w:color w:val="1A1A1A"/>
        </w:rPr>
        <w:t xml:space="preserve">Machine Unlearning Problem</w:t>
      </w:r>
      <w:r>
        <w:rPr>
          <w:color w:val="1A1A1A"/>
        </w:rPr>
        <w:t xml:space="preserve">, surveys the three dominant technical classes of solution — Sharding/SISA training, Influence-Function gradient reversal, and Differential Privacy noise injection — and proposes a hybrid </w:t>
      </w:r>
      <w:r>
        <w:rPr>
          <w:b/>
          <w:bCs/>
          <w:color w:val="1A1A1A"/>
        </w:rPr>
        <w:t xml:space="preserve">Shard-and-Reduce (SAR) architecture</w:t>
      </w:r>
      <w:r>
        <w:rPr>
          <w:color w:val="1A1A1A"/>
        </w:rPr>
        <w:t xml:space="preserve"> that achieves O(log n) unlearning complexity versus the O(n) cost of full retraining. We define a </w:t>
      </w:r>
      <w:r>
        <w:rPr>
          <w:b/>
          <w:bCs/>
          <w:color w:val="1A1A1A"/>
        </w:rPr>
        <w:t xml:space="preserve">Verification Score (V-Score)</w:t>
      </w:r>
      <w:r>
        <w:rPr>
          <w:color w:val="1A1A1A"/>
        </w:rPr>
        <w:t xml:space="preserve"> to formally certify that unlearning has occurred and demonstrate resistance to Membership Inference Attacks (MIA). Our empirical results on a tabular medical dataset show a 94.3% reduction in retraining cost with a V-Score of 0.98, approaching the gold-standard of full retraining (1.00).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Keywords</w:t>
            </w:r>
          </w:p>
          <w:p>
            <w:pPr>
              <w:spacing w:after="40" w:before="20"/>
            </w:pPr>
            <w:r>
              <w:rPr>
                <w:color w:val="1A1A1A"/>
              </w:rPr>
              <w:t xml:space="preserve">Machine Unlearning · Differential Privacy · Membership Inference Attack · GDPR Article 17 ·</w:t>
            </w:r>
          </w:p>
          <w:p>
            <w:pPr>
              <w:spacing w:after="40" w:before="20"/>
            </w:pPr>
            <w:r>
              <w:rPr>
                <w:color w:val="1A1A1A"/>
              </w:rPr>
              <w:t xml:space="preserve">Influence Functions · SISA Training · Federated Forgetting · Gradient Descent · Privacy Audit</w:t>
            </w:r>
          </w:p>
        </w:tc>
      </w:tr>
    </w:tbl>
    <w:p>
      <w:r>
        <w:br w:type="page"/>
      </w:r>
    </w:p>
    <w:p>
      <w:pPr>
        <w:pStyle w:val="Heading1"/>
        <w:spacing w:after="120" w:before="360"/>
      </w:pPr>
      <w:r>
        <w:rPr>
          <w:rFonts w:ascii="Arial" w:cs="Arial" w:eastAsia="Arial" w:hAnsi="Arial"/>
          <w:b/>
          <w:bCs/>
          <w:color w:val="1B2A4A"/>
          <w:sz w:val="32"/>
          <w:szCs w:val="32"/>
        </w:rPr>
        <w:t xml:space="preserve">1.  Introduction</w:t>
      </w:r>
    </w:p>
    <w:p>
      <w:pPr>
        <w:pStyle w:val="Heading2"/>
        <w:spacing w:after="80" w:before="240"/>
      </w:pPr>
      <w:r>
        <w:rPr>
          <w:rFonts w:ascii="Arial" w:cs="Arial" w:eastAsia="Arial" w:hAnsi="Arial"/>
          <w:b/>
          <w:bCs/>
          <w:color w:val="2E5FA3"/>
          <w:sz w:val="26"/>
          <w:szCs w:val="26"/>
        </w:rPr>
        <w:t xml:space="preserve">1.1  The Regulatory Landscape</w:t>
      </w:r>
    </w:p>
    <w:p>
      <w:pPr>
        <w:spacing w:after="120" w:before="80"/>
        <w:jc w:val="both"/>
      </w:pPr>
      <w:r>
        <w:rPr>
          <w:color w:val="1A1A1A"/>
        </w:rPr>
        <w:t xml:space="preserve">Modern data-protection law operates on a transaction model: a data subject provides consent, the controller processes data for a defined purpose, and — if consent is withdrawn — the data is deleted. This model was designed for relational databases where deletion is an </w:t>
      </w:r>
      <w:r>
        <w:rPr>
          <w:i/>
          <w:iCs/>
          <w:color w:val="1A1A1A"/>
        </w:rPr>
        <w:t xml:space="preserve">idempotent</w:t>
      </w:r>
      <w:r>
        <w:rPr>
          <w:color w:val="1A1A1A"/>
        </w:rPr>
        <w:t xml:space="preserve"> operation. Neural networks, however, are not databases. They are continuous, high-dimensional parameter spaces shaped by every training example they have ever seen.</w:t>
      </w:r>
    </w:p>
    <w:p>
      <w:pPr>
        <w:spacing w:after="120" w:before="80"/>
        <w:jc w:val="both"/>
      </w:pPr>
      <w:r>
        <w:rPr>
          <w:color w:val="1A1A1A"/>
        </w:rPr>
        <w:t xml:space="preserve">Three landmark regulations have forced this collision into corporate boardrooms:</w:t>
      </w:r>
    </w:p>
    <w:p>
      <w:pPr>
        <w:pStyle w:val="ListParagraph"/>
        <w:numPr>
          <w:ilvl w:val="0"/>
          <w:numId w:val="2"/>
        </w:numPr>
        <w:spacing w:after="60" w:before="40"/>
      </w:pPr>
      <w:r>
        <w:rPr>
          <w:b/>
          <w:bCs/>
          <w:color w:val="1A1A1A"/>
        </w:rPr>
        <w:t xml:space="preserve">GDPR (EU, 2018) — </w:t>
      </w:r>
      <w:r>
        <w:rPr>
          <w:color w:val="1A1A1A"/>
        </w:rPr>
        <w:t xml:space="preserve">Article 17 mandates erasure "without undue delay" upon withdrawal of consent. Fines reach €20 million or 4% of global annual turnover, whichever is higher.</w:t>
      </w:r>
    </w:p>
    <w:p>
      <w:pPr>
        <w:pStyle w:val="ListParagraph"/>
        <w:numPr>
          <w:ilvl w:val="0"/>
          <w:numId w:val="2"/>
        </w:numPr>
        <w:spacing w:after="60" w:before="40"/>
      </w:pPr>
      <w:r>
        <w:rPr>
          <w:b/>
          <w:bCs/>
          <w:color w:val="1A1A1A"/>
        </w:rPr>
        <w:t xml:space="preserve">CCPA (California, 2020) — </w:t>
      </w:r>
      <w:r>
        <w:rPr>
          <w:color w:val="1A1A1A"/>
        </w:rPr>
        <w:t xml:space="preserve">Section 1798.105 grants consumers the right to deletion. Non-compliance carries $7,500 per intentional violation.</w:t>
      </w:r>
    </w:p>
    <w:p>
      <w:pPr>
        <w:pStyle w:val="ListParagraph"/>
        <w:numPr>
          <w:ilvl w:val="0"/>
          <w:numId w:val="2"/>
        </w:numPr>
        <w:spacing w:after="60" w:before="40"/>
      </w:pPr>
      <w:r>
        <w:rPr>
          <w:b/>
          <w:bCs/>
          <w:color w:val="1A1A1A"/>
        </w:rPr>
        <w:t xml:space="preserve">EU AI Act (2024) — </w:t>
      </w:r>
      <w:r>
        <w:rPr>
          <w:color w:val="1A1A1A"/>
        </w:rPr>
        <w:t xml:space="preserve">High-risk AI systems must maintain technical documentation enabling data deletion from training pipelines.</w:t>
      </w:r>
    </w:p>
    <w:p>
      <w:pPr>
        <w:spacing w:after="80" w:before="0"/>
      </w:pPr>
      <w:r>
        <w:t xml:space="preserve"/>
      </w:r>
    </w:p>
    <w:p>
      <w:pPr>
        <w:pStyle w:val="Heading2"/>
        <w:spacing w:after="80" w:before="240"/>
      </w:pPr>
      <w:r>
        <w:rPr>
          <w:rFonts w:ascii="Arial" w:cs="Arial" w:eastAsia="Arial" w:hAnsi="Arial"/>
          <w:b/>
          <w:bCs/>
          <w:color w:val="2E5FA3"/>
          <w:sz w:val="26"/>
          <w:szCs w:val="26"/>
        </w:rPr>
        <w:t xml:space="preserve">1.2  Why the Database Paradigm Fails</w:t>
      </w:r>
    </w:p>
    <w:p>
      <w:pPr>
        <w:spacing w:after="120" w:before="80"/>
        <w:jc w:val="both"/>
      </w:pPr>
      <w:r>
        <w:rPr>
          <w:color w:val="1A1A1A"/>
        </w:rPr>
        <w:t xml:space="preserve">A neural network trained on a dataset </w:t>
      </w:r>
      <w:r>
        <w:rPr>
          <w:i/>
          <w:iCs/>
          <w:color w:val="1A1A1A"/>
        </w:rPr>
        <w:t xml:space="preserve">D</w:t>
      </w:r>
      <w:r>
        <w:rPr>
          <w:color w:val="1A1A1A"/>
        </w:rPr>
        <w:t xml:space="preserve"> produces a weight vector </w:t>
      </w:r>
      <w:r>
        <w:rPr>
          <w:i/>
          <w:iCs/>
          <w:color w:val="1A1A1A"/>
        </w:rPr>
        <w:t xml:space="preserve">θ* = argmin L(θ, D)</w:t>
      </w:r>
      <w:r>
        <w:rPr>
          <w:color w:val="1A1A1A"/>
        </w:rPr>
        <w:t xml:space="preserve"> that is a compressed, non-linear function of every training sample simultaneously. Deleting a row from </w:t>
      </w:r>
      <w:r>
        <w:rPr>
          <w:i/>
          <w:iCs/>
          <w:color w:val="1A1A1A"/>
        </w:rPr>
        <w:t xml:space="preserve">D</w:t>
      </w:r>
      <w:r>
        <w:rPr>
          <w:color w:val="1A1A1A"/>
        </w:rPr>
        <w:t xml:space="preserve"> leaves </w:t>
      </w:r>
      <w:r>
        <w:rPr>
          <w:i/>
          <w:iCs/>
          <w:color w:val="1A1A1A"/>
        </w:rPr>
        <w:t xml:space="preserve">θ*</w:t>
      </w:r>
      <w:r>
        <w:rPr>
          <w:color w:val="1A1A1A"/>
        </w:rPr>
        <w:t xml:space="preserve"> unchanged. The model has effectively </w:t>
      </w:r>
      <w:r>
        <w:rPr>
          <w:b/>
          <w:bCs/>
          <w:color w:val="1A1A1A"/>
        </w:rPr>
        <w:t xml:space="preserve">"memorised"</w:t>
      </w:r>
      <w:r>
        <w:rPr>
          <w:color w:val="1A1A1A"/>
        </w:rPr>
        <w:t xml:space="preserve"> aspects of the deleted record — a phenomenon demonstrated concretely via Membership Inference Attacks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1A" w:sz="18"/>
              <w:left w:val="single" w:color="E8501A"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E8501A"/>
              </w:rPr>
              <w:t xml:space="preserve">Core Research Problem</w:t>
            </w:r>
          </w:p>
          <w:p>
            <w:pPr>
              <w:spacing w:after="40" w:before="20"/>
            </w:pPr>
            <w:r>
              <w:rPr>
                <w:color w:val="1A1A1A"/>
              </w:rPr>
              <w:t xml:space="preserve">Given a trained model θ* and a forget set S_f ⊂ D, produce an unlearned model θ_u that is</w:t>
            </w:r>
          </w:p>
          <w:p>
            <w:pPr>
              <w:spacing w:after="40" w:before="20"/>
            </w:pPr>
            <w:r>
              <w:rPr>
                <w:color w:val="1A1A1A"/>
              </w:rPr>
              <w:t xml:space="preserve">statistically indistinguishable from a model retrained from scratch on D \ S_f —</w:t>
            </w:r>
          </w:p>
          <w:p>
            <w:pPr>
              <w:spacing w:after="40" w:before="20"/>
            </w:pPr>
            <w:r>
              <w:rPr>
                <w:color w:val="1A1A1A"/>
              </w:rPr>
              <w:t xml:space="preserve">without performing that full retraining.</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1.3  Contribution Summary</w:t>
      </w:r>
    </w:p>
    <w:p>
      <w:pPr>
        <w:pStyle w:val="ListParagraph"/>
        <w:numPr>
          <w:ilvl w:val="0"/>
          <w:numId w:val="3"/>
        </w:numPr>
        <w:spacing w:after="60" w:before="40"/>
      </w:pPr>
      <w:r>
        <w:rPr>
          <w:color w:val="1A1A1A"/>
        </w:rPr>
        <w:t xml:space="preserve">Formal definition of Machine Unlearning as a constrained optimisation problem.</w:t>
      </w:r>
    </w:p>
    <w:p>
      <w:pPr>
        <w:pStyle w:val="ListParagraph"/>
        <w:numPr>
          <w:ilvl w:val="0"/>
          <w:numId w:val="3"/>
        </w:numPr>
        <w:spacing w:after="60" w:before="40"/>
      </w:pPr>
      <w:r>
        <w:rPr>
          <w:color w:val="1A1A1A"/>
        </w:rPr>
        <w:t xml:space="preserve">Survey and complexity analysis of three primary unlearning paradigms.</w:t>
      </w:r>
    </w:p>
    <w:p>
      <w:pPr>
        <w:pStyle w:val="ListParagraph"/>
        <w:numPr>
          <w:ilvl w:val="0"/>
          <w:numId w:val="3"/>
        </w:numPr>
        <w:spacing w:after="60" w:before="40"/>
      </w:pPr>
      <w:r>
        <w:rPr>
          <w:color w:val="1A1A1A"/>
        </w:rPr>
        <w:t xml:space="preserve">A novel hybrid Shard-and-Reduce (SAR) architecture achieving O(log n) unlearning time.</w:t>
      </w:r>
    </w:p>
    <w:p>
      <w:pPr>
        <w:pStyle w:val="ListParagraph"/>
        <w:numPr>
          <w:ilvl w:val="0"/>
          <w:numId w:val="3"/>
        </w:numPr>
        <w:spacing w:after="60" w:before="40"/>
      </w:pPr>
      <w:r>
        <w:rPr>
          <w:color w:val="1A1A1A"/>
        </w:rPr>
        <w:t xml:space="preserve">Definition of the Verification Score (V-Score) and an auditable MIA-resistance protocol.</w:t>
      </w:r>
    </w:p>
    <w:p>
      <w:pPr>
        <w:pStyle w:val="ListParagraph"/>
        <w:numPr>
          <w:ilvl w:val="0"/>
          <w:numId w:val="3"/>
        </w:numPr>
        <w:spacing w:after="60" w:before="40"/>
      </w:pPr>
      <w:r>
        <w:rPr>
          <w:color w:val="1A1A1A"/>
        </w:rPr>
        <w:t xml:space="preserve">Empirical evaluation on the MIMIC-III clinical dataset subset.</w:t>
      </w:r>
    </w:p>
    <w:p>
      <w:r>
        <w:br w:type="page"/>
      </w:r>
    </w:p>
    <w:p>
      <w:pPr>
        <w:pStyle w:val="Heading1"/>
        <w:spacing w:after="120" w:before="360"/>
      </w:pPr>
      <w:r>
        <w:rPr>
          <w:rFonts w:ascii="Arial" w:cs="Arial" w:eastAsia="Arial" w:hAnsi="Arial"/>
          <w:b/>
          <w:bCs/>
          <w:color w:val="1B2A4A"/>
          <w:sz w:val="32"/>
          <w:szCs w:val="32"/>
        </w:rPr>
        <w:t xml:space="preserve">2.  Background &amp; Related Work</w:t>
      </w:r>
    </w:p>
    <w:p>
      <w:pPr>
        <w:pStyle w:val="Heading2"/>
        <w:spacing w:after="80" w:before="240"/>
      </w:pPr>
      <w:r>
        <w:rPr>
          <w:rFonts w:ascii="Arial" w:cs="Arial" w:eastAsia="Arial" w:hAnsi="Arial"/>
          <w:b/>
          <w:bCs/>
          <w:color w:val="2E5FA3"/>
          <w:sz w:val="26"/>
          <w:szCs w:val="26"/>
        </w:rPr>
        <w:t xml:space="preserve">2.1  Formal Problem Statement</w:t>
      </w:r>
    </w:p>
    <w:p>
      <w:pPr>
        <w:spacing w:after="120" w:before="80"/>
        <w:jc w:val="both"/>
      </w:pPr>
      <w:r>
        <w:rPr>
          <w:color w:val="1A1A1A"/>
        </w:rPr>
        <w:t xml:space="preserve">Let </w:t>
      </w:r>
      <w:r>
        <w:rPr>
          <w:i/>
          <w:iCs/>
          <w:color w:val="1A1A1A"/>
        </w:rPr>
        <w:t xml:space="preserve">D = {(x_i, y_i)}</w:t>
      </w:r>
      <w:r>
        <w:rPr>
          <w:color w:val="1A1A1A"/>
        </w:rPr>
        <w:t xml:space="preserve">  be the full training corpus, and let </w:t>
      </w:r>
      <w:r>
        <w:rPr>
          <w:i/>
          <w:iCs/>
          <w:color w:val="1A1A1A"/>
        </w:rPr>
        <w:t xml:space="preserve">M(θ, D)</w:t>
      </w:r>
      <w:r>
        <w:rPr>
          <w:color w:val="1A1A1A"/>
        </w:rPr>
        <w:t xml:space="preserve"> denote a machine-learning model with parameters θ trained on D. Define:</w:t>
      </w:r>
    </w:p>
    <w:p>
      <w:pPr>
        <w:pStyle w:val="ListParagraph"/>
        <w:numPr>
          <w:ilvl w:val="0"/>
          <w:numId w:val="2"/>
        </w:numPr>
        <w:spacing w:after="60" w:before="40"/>
      </w:pPr>
      <w:r>
        <w:rPr>
          <w:b/>
          <w:bCs/>
          <w:color w:val="1A1A1A"/>
        </w:rPr>
        <w:t xml:space="preserve">Retain set: </w:t>
      </w:r>
      <w:r>
        <w:rPr>
          <w:i/>
          <w:iCs/>
          <w:color w:val="1A1A1A"/>
        </w:rPr>
        <w:t xml:space="preserve">S_r = D \ S_f</w:t>
      </w:r>
    </w:p>
    <w:p>
      <w:pPr>
        <w:pStyle w:val="ListParagraph"/>
        <w:numPr>
          <w:ilvl w:val="0"/>
          <w:numId w:val="2"/>
        </w:numPr>
        <w:spacing w:after="60" w:before="40"/>
      </w:pPr>
      <w:r>
        <w:rPr>
          <w:b/>
          <w:bCs/>
          <w:color w:val="1A1A1A"/>
        </w:rPr>
        <w:t xml:space="preserve">Forget set: </w:t>
      </w:r>
      <w:r>
        <w:rPr>
          <w:i/>
          <w:iCs/>
          <w:color w:val="1A1A1A"/>
        </w:rPr>
        <w:t xml:space="preserve">S_f ⊂ D</w:t>
      </w:r>
    </w:p>
    <w:p>
      <w:pPr>
        <w:pStyle w:val="ListParagraph"/>
        <w:numPr>
          <w:ilvl w:val="0"/>
          <w:numId w:val="2"/>
        </w:numPr>
        <w:spacing w:after="60" w:before="40"/>
      </w:pPr>
      <w:r>
        <w:rPr>
          <w:b/>
          <w:bCs/>
          <w:color w:val="1A1A1A"/>
        </w:rPr>
        <w:t xml:space="preserve">Gold standard: </w:t>
      </w:r>
      <w:r>
        <w:rPr>
          <w:color w:val="1A1A1A"/>
        </w:rPr>
        <w:t xml:space="preserve">Retrained model </w:t>
      </w:r>
      <w:r>
        <w:rPr>
          <w:i/>
          <w:iCs/>
          <w:color w:val="1A1A1A"/>
        </w:rPr>
        <w:t xml:space="preserve">M_r = M(θ, S_r)</w:t>
      </w:r>
    </w:p>
    <w:p>
      <w:pPr>
        <w:spacing w:after="80" w:before="0"/>
      </w:pPr>
      <w:r>
        <w:t xml:space="preserve"/>
      </w:r>
    </w:p>
    <w:p>
      <w:pPr>
        <w:spacing w:after="120" w:before="80"/>
        <w:jc w:val="both"/>
      </w:pPr>
      <w:r>
        <w:rPr>
          <w:color w:val="1A1A1A"/>
        </w:rPr>
        <w:t xml:space="preserve">The Machine Unlearning objective is to compute </w:t>
      </w:r>
      <w:r>
        <w:rPr>
          <w:i/>
          <w:iCs/>
          <w:color w:val="1A1A1A"/>
        </w:rPr>
        <w:t xml:space="preserve">θ_u</w:t>
      </w:r>
      <w:r>
        <w:rPr>
          <w:color w:val="1A1A1A"/>
        </w:rPr>
        <w:t xml:space="preserve"> such that the distribution of model outputs </w:t>
      </w:r>
      <w:r>
        <w:rPr>
          <w:i/>
          <w:iCs/>
          <w:color w:val="1A1A1A"/>
        </w:rPr>
        <w:t xml:space="preserve">P(M(θ_u, ·)) ≈ P(M_r(·))</w:t>
      </w:r>
      <w:r>
        <w:rPr>
          <w:color w:val="1A1A1A"/>
        </w:rPr>
        <w:t xml:space="preserve"> subject to a computational budget constraint </w:t>
      </w:r>
      <w:r>
        <w:rPr>
          <w:i/>
          <w:iCs/>
          <w:color w:val="1A1A1A"/>
        </w:rPr>
        <w:t xml:space="preserve">T(unlearn) &lt;&lt; T(retrain)</w:t>
      </w:r>
      <w:r>
        <w:rPr>
          <w:color w:val="1A1A1A"/>
        </w:rPr>
        <w:t xml:space="preserve">.</w:t>
      </w:r>
    </w:p>
    <w:p>
      <w:pPr>
        <w:pStyle w:val="Heading2"/>
        <w:spacing w:after="80" w:before="240"/>
      </w:pPr>
      <w:r>
        <w:rPr>
          <w:rFonts w:ascii="Arial" w:cs="Arial" w:eastAsia="Arial" w:hAnsi="Arial"/>
          <w:b/>
          <w:bCs/>
          <w:color w:val="2E5FA3"/>
          <w:sz w:val="26"/>
          <w:szCs w:val="26"/>
        </w:rPr>
        <w:t xml:space="preserve">2.2  Membership Inference Attacks (MIA)</w:t>
      </w:r>
    </w:p>
    <w:p>
      <w:pPr>
        <w:spacing w:after="120" w:before="80"/>
        <w:jc w:val="both"/>
      </w:pPr>
      <w:r>
        <w:rPr>
          <w:color w:val="1A1A1A"/>
        </w:rPr>
        <w:t xml:space="preserve">A Membership Inference Attack is a black-box adversarial query strategy that determines, with probability greater than chance, whether a target record </w:t>
      </w:r>
      <w:r>
        <w:rPr>
          <w:i/>
          <w:iCs/>
          <w:color w:val="1A1A1A"/>
        </w:rPr>
        <w:t xml:space="preserve">z = (x, y)</w:t>
      </w:r>
      <w:r>
        <w:rPr>
          <w:color w:val="1A1A1A"/>
        </w:rPr>
        <w:t xml:space="preserve"> was a member of the training set. The attack exploits the statistical phenomenon that models overfit to training data, producing characteristically lower loss (higher confidence) on training samples versus unseen data.</w:t>
      </w:r>
    </w:p>
    <w:p>
      <w:pPr>
        <w:spacing w:after="120" w:before="80"/>
        <w:jc w:val="both"/>
      </w:pPr>
      <w:r>
        <w:rPr>
          <w:color w:val="1A1A1A"/>
        </w:rPr>
        <w:t xml:space="preserve">The standard MIA follows a shadow model strategy:</w:t>
      </w:r>
    </w:p>
    <w:p>
      <w:pPr>
        <w:pStyle w:val="ListParagraph"/>
        <w:numPr>
          <w:ilvl w:val="0"/>
          <w:numId w:val="3"/>
        </w:numPr>
        <w:spacing w:after="60" w:before="40"/>
      </w:pPr>
      <w:r>
        <w:rPr>
          <w:color w:val="1A1A1A"/>
        </w:rPr>
        <w:t xml:space="preserve">Train a "shadow" model identical in architecture to the target on a known dataset.</w:t>
      </w:r>
    </w:p>
    <w:p>
      <w:pPr>
        <w:pStyle w:val="ListParagraph"/>
        <w:numPr>
          <w:ilvl w:val="0"/>
          <w:numId w:val="3"/>
        </w:numPr>
        <w:spacing w:after="60" w:before="40"/>
      </w:pPr>
      <w:r>
        <w:rPr>
          <w:color w:val="1A1A1A"/>
        </w:rPr>
        <w:t xml:space="preserve">Use loss values on shadow training/test sets to train a binary attack classifier.</w:t>
      </w:r>
    </w:p>
    <w:p>
      <w:pPr>
        <w:pStyle w:val="ListParagraph"/>
        <w:numPr>
          <w:ilvl w:val="0"/>
          <w:numId w:val="3"/>
        </w:numPr>
        <w:spacing w:after="60" w:before="40"/>
      </w:pPr>
      <w:r>
        <w:rPr>
          <w:color w:val="1A1A1A"/>
        </w:rPr>
        <w:t xml:space="preserve">Query the target model for z and feed the loss to the attack classifier.</w:t>
      </w:r>
    </w:p>
    <w:p>
      <w:pPr>
        <w:pStyle w:val="ListParagraph"/>
        <w:numPr>
          <w:ilvl w:val="0"/>
          <w:numId w:val="3"/>
        </w:numPr>
        <w:spacing w:after="60" w:before="40"/>
      </w:pPr>
      <w:r>
        <w:rPr>
          <w:color w:val="1A1A1A"/>
        </w:rPr>
        <w:t xml:space="preserve">Output: MEMBER or NON-MEMBER.</w:t>
      </w:r>
    </w:p>
    <w:p>
      <w:pPr>
        <w:spacing w:after="80" w:before="0"/>
      </w:pPr>
      <w:r>
        <w:t xml:space="preserve"/>
      </w:r>
    </w:p>
    <w:p>
      <w:pPr>
        <w:spacing w:after="120" w:before="80"/>
        <w:jc w:val="both"/>
      </w:pPr>
      <w:r>
        <w:rPr>
          <w:color w:val="1A1A1A"/>
        </w:rPr>
        <w:t xml:space="preserve">Post-unlearning, a successful unlearning system must reduce MIA accuracy to the level of random guessing (AUC ≈ 0.50).</w:t>
      </w:r>
    </w:p>
    <w:p>
      <w:r>
        <w:br w:type="page"/>
      </w:r>
    </w:p>
    <w:p>
      <w:pPr>
        <w:pStyle w:val="Heading1"/>
        <w:spacing w:after="120" w:before="360"/>
      </w:pPr>
      <w:r>
        <w:rPr>
          <w:rFonts w:ascii="Arial" w:cs="Arial" w:eastAsia="Arial" w:hAnsi="Arial"/>
          <w:b/>
          <w:bCs/>
          <w:color w:val="1B2A4A"/>
          <w:sz w:val="32"/>
          <w:szCs w:val="32"/>
        </w:rPr>
        <w:t xml:space="preserve">3.  The Attack Model: Data Extraction After Deletion</w:t>
      </w:r>
    </w:p>
    <w:p>
      <w:pPr>
        <w:pStyle w:val="Heading2"/>
        <w:spacing w:after="80" w:before="240"/>
      </w:pPr>
      <w:r>
        <w:rPr>
          <w:rFonts w:ascii="Arial" w:cs="Arial" w:eastAsia="Arial" w:hAnsi="Arial"/>
          <w:b/>
          <w:bCs/>
          <w:color w:val="2E5FA3"/>
          <w:sz w:val="26"/>
          <w:szCs w:val="26"/>
        </w:rPr>
        <w:t xml:space="preserve">3.1  Threat Model</w:t>
      </w:r>
    </w:p>
    <w:p>
      <w:pPr>
        <w:spacing w:after="120" w:before="80"/>
        <w:jc w:val="both"/>
      </w:pPr>
      <w:r>
        <w:rPr>
          <w:color w:val="1A1A1A"/>
        </w:rPr>
        <w:t xml:space="preserve">We consider a semi-honest adversary with:</w:t>
      </w:r>
    </w:p>
    <w:p>
      <w:pPr>
        <w:pStyle w:val="ListParagraph"/>
        <w:numPr>
          <w:ilvl w:val="0"/>
          <w:numId w:val="2"/>
        </w:numPr>
        <w:spacing w:after="60" w:before="40"/>
      </w:pPr>
      <w:r>
        <w:rPr>
          <w:color w:val="1A1A1A"/>
        </w:rPr>
        <w:t xml:space="preserve">Black-box query access to the production model API.</w:t>
      </w:r>
    </w:p>
    <w:p>
      <w:pPr>
        <w:pStyle w:val="ListParagraph"/>
        <w:numPr>
          <w:ilvl w:val="0"/>
          <w:numId w:val="2"/>
        </w:numPr>
        <w:spacing w:after="60" w:before="40"/>
      </w:pPr>
      <w:r>
        <w:rPr>
          <w:color w:val="1A1A1A"/>
        </w:rPr>
        <w:t xml:space="preserve">Knowledge of the model architecture (white-box variants are discussed in §3.3).</w:t>
      </w:r>
    </w:p>
    <w:p>
      <w:pPr>
        <w:pStyle w:val="ListParagraph"/>
        <w:numPr>
          <w:ilvl w:val="0"/>
          <w:numId w:val="2"/>
        </w:numPr>
        <w:spacing w:after="60" w:before="40"/>
      </w:pPr>
      <w:r>
        <w:rPr>
          <w:color w:val="1A1A1A"/>
        </w:rPr>
        <w:t xml:space="preserve">A partial dataset D_adv ⊂ D (obtained via a data breach or public scraping).</w:t>
      </w:r>
    </w:p>
    <w:p>
      <w:pPr>
        <w:pStyle w:val="Heading2"/>
        <w:spacing w:after="80" w:before="240"/>
      </w:pPr>
      <w:r>
        <w:rPr>
          <w:rFonts w:ascii="Arial" w:cs="Arial" w:eastAsia="Arial" w:hAnsi="Arial"/>
          <w:b/>
          <w:bCs/>
          <w:color w:val="2E5FA3"/>
          <w:sz w:val="26"/>
          <w:szCs w:val="26"/>
        </w:rPr>
        <w:t xml:space="preserve">3.2  MIA Implementation</w:t>
      </w:r>
    </w:p>
    <w:p>
      <w:pPr>
        <w:spacing w:after="120" w:before="80"/>
        <w:jc w:val="both"/>
      </w:pPr>
      <w:r>
        <w:rPr>
          <w:color w:val="1A1A1A"/>
        </w:rPr>
        <w:t xml:space="preserve">The following Python pseudocode illustrates a standard loss-based MIA: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6"/>
              <w:left w:val="single" w:color="2E5FA3" w:sz="24"/>
              <w:bottom w:val="single" w:color="2E2E2E" w:sz="6"/>
              <w:right w:val="single" w:color="2E2E2E" w:sz="6"/>
            </w:tcBorders>
            <w:shd w:fill="1E1E2E" w:val="clear"/>
            <w:tcMar>
              <w:top w:type="dxa" w:w="120"/>
              <w:left w:type="dxa" w:w="200"/>
              <w:bottom w:type="dxa" w:w="120"/>
              <w:right w:type="dxa" w:w="200"/>
            </w:tcMar>
          </w:tcPr>
          <w:p>
            <w:pPr>
              <w:spacing w:after="20" w:before="0"/>
            </w:pPr>
            <w:r>
              <w:rPr>
                <w:rFonts w:ascii="Courier New" w:cs="Courier New" w:eastAsia="Courier New" w:hAnsi="Courier New"/>
                <w:color w:val="A8D8A8"/>
                <w:sz w:val="18"/>
                <w:szCs w:val="18"/>
              </w:rPr>
              <w:t xml:space="preserve"># Membership Inference Attack — Loss-Threshold Method</w:t>
            </w:r>
          </w:p>
          <w:p>
            <w:pPr>
              <w:spacing w:after="20" w:before="0"/>
            </w:pPr>
            <w:r>
              <w:rPr>
                <w:rFonts w:ascii="Courier New" w:cs="Courier New" w:eastAsia="Courier New" w:hAnsi="Courier New"/>
                <w:color w:val="A8D8A8"/>
                <w:sz w:val="18"/>
                <w:szCs w:val="18"/>
              </w:rPr>
              <w:t xml:space="preserve">import numpy as np</w:t>
            </w:r>
          </w:p>
          <w:p>
            <w:pPr>
              <w:spacing w:after="20" w:before="0"/>
            </w:pPr>
            <w:r>
              <w:rPr>
                <w:rFonts w:ascii="Courier New" w:cs="Courier New" w:eastAsia="Courier New" w:hAnsi="Courier New"/>
                <w:color w:val="A8D8A8"/>
                <w:sz w:val="18"/>
                <w:szCs w:val="18"/>
              </w:rPr>
              <w:t xml:space="preserve">from sklearn.metrics import roc_auc_score</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def compute_loss(model, x, y):</w:t>
            </w:r>
          </w:p>
          <w:p>
            <w:pPr>
              <w:spacing w:after="20" w:before="0"/>
            </w:pPr>
            <w:r>
              <w:rPr>
                <w:rFonts w:ascii="Courier New" w:cs="Courier New" w:eastAsia="Courier New" w:hAnsi="Courier New"/>
                <w:color w:val="A8D8A8"/>
                <w:sz w:val="18"/>
                <w:szCs w:val="18"/>
              </w:rPr>
              <w:t xml:space="preserve">    logits = model.predict(x)</w:t>
            </w:r>
          </w:p>
          <w:p>
            <w:pPr>
              <w:spacing w:after="20" w:before="0"/>
            </w:pPr>
            <w:r>
              <w:rPr>
                <w:rFonts w:ascii="Courier New" w:cs="Courier New" w:eastAsia="Courier New" w:hAnsi="Courier New"/>
                <w:color w:val="A8D8A8"/>
                <w:sz w:val="18"/>
                <w:szCs w:val="18"/>
              </w:rPr>
              <w:t xml:space="preserve">    return cross_entropy(logits, y)          # lower = more likely member</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def mia_attack(model, forget_set, holdout_set, threshold=None):</w:t>
            </w:r>
          </w:p>
          <w:p>
            <w:pPr>
              <w:spacing w:after="20" w:before="0"/>
            </w:pPr>
            <w:r>
              <w:rPr>
                <w:rFonts w:ascii="Courier New" w:cs="Courier New" w:eastAsia="Courier New" w:hAnsi="Courier New"/>
                <w:color w:val="A8D8A8"/>
                <w:sz w:val="18"/>
                <w:szCs w:val="18"/>
              </w:rPr>
              <w:t xml:space="preserve">    member_losses    = [compute_loss(model, x, y) for x,y in forget_set]</w:t>
            </w:r>
          </w:p>
          <w:p>
            <w:pPr>
              <w:spacing w:after="20" w:before="0"/>
            </w:pPr>
            <w:r>
              <w:rPr>
                <w:rFonts w:ascii="Courier New" w:cs="Courier New" w:eastAsia="Courier New" w:hAnsi="Courier New"/>
                <w:color w:val="A8D8A8"/>
                <w:sz w:val="18"/>
                <w:szCs w:val="18"/>
              </w:rPr>
              <w:t xml:space="preserve">    nonmember_losses = [compute_loss(model, x, y) for x,y in holdout_set]</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labels = [1]*len(member_losses) + [0]*len(nonmember_losses)</w:t>
            </w:r>
          </w:p>
          <w:p>
            <w:pPr>
              <w:spacing w:after="20" w:before="0"/>
            </w:pPr>
            <w:r>
              <w:rPr>
                <w:rFonts w:ascii="Courier New" w:cs="Courier New" w:eastAsia="Courier New" w:hAnsi="Courier New"/>
                <w:color w:val="A8D8A8"/>
                <w:sz w:val="18"/>
                <w:szCs w:val="18"/>
              </w:rPr>
              <w:t xml:space="preserve">    scores = member_losses + nonmember_losses        # lower = predicted member</w:t>
            </w:r>
          </w:p>
          <w:p>
            <w:pPr>
              <w:spacing w:after="20" w:before="0"/>
            </w:pPr>
            <w:r>
              <w:rPr>
                <w:rFonts w:ascii="Courier New" w:cs="Courier New" w:eastAsia="Courier New" w:hAnsi="Courier New"/>
                <w:color w:val="A8D8A8"/>
                <w:sz w:val="18"/>
                <w:szCs w:val="18"/>
              </w:rPr>
              <w:t xml:space="preserve">    scores_inv = [-s for s in scores]</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return roc_auc_score(labels, scores_inv)         # target: AUC ~ 0.50 post-unlearn</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Baseline (before unlearning): AUC = 0.79  --&gt;  data is leaking</w:t>
            </w:r>
          </w:p>
          <w:p>
            <w:pPr>
              <w:spacing w:after="20" w:before="0"/>
            </w:pPr>
            <w:r>
              <w:rPr>
                <w:rFonts w:ascii="Courier New" w:cs="Courier New" w:eastAsia="Courier New" w:hAnsi="Courier New"/>
                <w:color w:val="A8D8A8"/>
                <w:sz w:val="18"/>
                <w:szCs w:val="18"/>
              </w:rPr>
              <w:t xml:space="preserve"># After SAR unlearning:          AUC = 0.51  --&gt;  statistically forgotten</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3.3  Gradient Inversion Attacks</w:t>
      </w:r>
    </w:p>
    <w:p>
      <w:pPr>
        <w:spacing w:after="120" w:before="80"/>
        <w:jc w:val="both"/>
      </w:pPr>
      <w:r>
        <w:rPr>
          <w:color w:val="1A1A1A"/>
        </w:rPr>
        <w:t xml:space="preserve">Beyond MIA, gradient inversion attacks (Zhu et al., 2019) can reconstruct raw training images from gradient updates alone. This is especially relevant in federated learning contexts where model deltas are shared publicly. Our proposed SAR architecture mitigates this by isolating shard gradients so no cross-shard reconstruction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1A" w:sz="18"/>
              <w:left w:val="single" w:color="E8501A" w:sz="18"/>
              <w:bottom w:val="single" w:color="D0D7E3" w:sz="4"/>
              <w:right w:val="single" w:color="D0D7E3" w:sz="4"/>
            </w:tcBorders>
            <w:shd w:fill="FFF3F0" w:val="clear"/>
            <w:tcMar>
              <w:top w:type="dxa" w:w="140"/>
              <w:left w:type="dxa" w:w="200"/>
              <w:bottom w:type="dxa" w:w="140"/>
              <w:right w:type="dxa" w:w="200"/>
            </w:tcMar>
          </w:tcPr>
          <w:p>
            <w:pPr>
              <w:spacing w:after="80" w:before="0"/>
            </w:pPr>
            <w:r>
              <w:rPr>
                <w:b/>
                <w:bCs/>
                <w:color w:val="E8501A"/>
              </w:rPr>
              <w:t xml:space="preserve">Key Finding — Baseline Risk</w:t>
            </w:r>
          </w:p>
          <w:p>
            <w:pPr>
              <w:spacing w:after="40" w:before="20"/>
            </w:pPr>
            <w:r>
              <w:rPr>
                <w:color w:val="1A1A1A"/>
              </w:rPr>
              <w:t xml:space="preserve">On our MIMIC-III subset (n = 14,000 patient records), the baseline MIA AUC prior</w:t>
            </w:r>
          </w:p>
          <w:p>
            <w:pPr>
              <w:spacing w:after="40" w:before="20"/>
            </w:pPr>
            <w:r>
              <w:rPr>
                <w:color w:val="1A1A1A"/>
              </w:rPr>
              <w:t xml:space="preserve">to any unlearning was 0.79 — well above the 0.50 random-chance threshold.</w:t>
            </w:r>
          </w:p>
          <w:p>
            <w:pPr>
              <w:spacing w:after="40" w:before="20"/>
            </w:pPr>
            <w:r>
              <w:rPr>
                <w:color w:val="1A1A1A"/>
              </w:rPr>
              <w:t xml:space="preserve">This confirms that a trained clinical model leaks significant membership information</w:t>
            </w:r>
          </w:p>
          <w:p>
            <w:pPr>
              <w:spacing w:after="40" w:before="20"/>
            </w:pPr>
            <w:r>
              <w:rPr>
                <w:color w:val="1A1A1A"/>
              </w:rPr>
              <w:t xml:space="preserve">and would fail a GDPR Article 17 compliance audit.</w:t>
            </w:r>
          </w:p>
        </w:tc>
      </w:tr>
    </w:tbl>
    <w:p>
      <w:r>
        <w:br w:type="page"/>
      </w:r>
    </w:p>
    <w:p>
      <w:pPr>
        <w:pStyle w:val="Heading1"/>
        <w:spacing w:after="120" w:before="360"/>
      </w:pPr>
      <w:r>
        <w:rPr>
          <w:rFonts w:ascii="Arial" w:cs="Arial" w:eastAsia="Arial" w:hAnsi="Arial"/>
          <w:b/>
          <w:bCs/>
          <w:color w:val="1B2A4A"/>
          <w:sz w:val="32"/>
          <w:szCs w:val="32"/>
        </w:rPr>
        <w:t xml:space="preserve">4.  Technical Approaches to Machine Unlearning</w:t>
      </w:r>
    </w:p>
    <w:p>
      <w:pPr>
        <w:pStyle w:val="Heading2"/>
        <w:spacing w:after="80" w:before="240"/>
      </w:pPr>
      <w:r>
        <w:rPr>
          <w:rFonts w:ascii="Arial" w:cs="Arial" w:eastAsia="Arial" w:hAnsi="Arial"/>
          <w:b/>
          <w:bCs/>
          <w:color w:val="2E5FA3"/>
          <w:sz w:val="26"/>
          <w:szCs w:val="26"/>
        </w:rPr>
        <w:t xml:space="preserve">4.1  Approach A — SISA Training (Sharding)</w:t>
      </w:r>
    </w:p>
    <w:p>
      <w:pPr>
        <w:spacing w:after="120" w:before="80"/>
        <w:jc w:val="both"/>
      </w:pPr>
      <w:r>
        <w:rPr>
          <w:color w:val="1A1A1A"/>
        </w:rPr>
        <w:t xml:space="preserve">SISA (Sharded, Isolated, Sliced, and Aggregated) training, introduced by Bourtoule et al. (2021), replaces the monolithic training paradigm with a federated ensemble of </w:t>
      </w:r>
      <w:r>
        <w:rPr>
          <w:i/>
          <w:iCs/>
          <w:color w:val="1A1A1A"/>
        </w:rPr>
        <w:t xml:space="preserve">constituent models</w:t>
      </w:r>
      <w:r>
        <w:rPr>
          <w:color w:val="1A1A1A"/>
        </w:rPr>
        <w:t xml:space="preserve">, each trained on a disjoint shard of the dataset.</w:t>
      </w:r>
    </w:p>
    <w:p>
      <w:pPr>
        <w:pStyle w:val="Heading3"/>
        <w:spacing w:after="60" w:before="180"/>
      </w:pPr>
      <w:r>
        <w:rPr>
          <w:rFonts w:ascii="Arial" w:cs="Arial" w:eastAsia="Arial" w:hAnsi="Arial"/>
          <w:b/>
          <w:bCs/>
          <w:color w:val="1B2A4A"/>
          <w:sz w:val="23"/>
          <w:szCs w:val="23"/>
        </w:rPr>
        <w:t xml:space="preserve">4.1.1  Architecture</w:t>
      </w:r>
    </w:p>
    <w:p>
      <w:pPr>
        <w:spacing w:after="120" w:before="80"/>
        <w:jc w:val="both"/>
      </w:pPr>
      <w:r>
        <w:rPr>
          <w:color w:val="1A1A1A"/>
        </w:rPr>
        <w:t xml:space="preserve">Given a dataset D of n samples and k shards:</w:t>
      </w:r>
    </w:p>
    <w:p>
      <w:pPr>
        <w:pStyle w:val="ListParagraph"/>
        <w:numPr>
          <w:ilvl w:val="0"/>
          <w:numId w:val="2"/>
        </w:numPr>
        <w:spacing w:after="60" w:before="40"/>
      </w:pPr>
      <w:r>
        <w:rPr>
          <w:color w:val="1A1A1A"/>
        </w:rPr>
        <w:t xml:space="preserve">Each shard S_i = D[(i-1)·n/k : i·n/k] is used to train a constituent model M_i independently.</w:t>
      </w:r>
    </w:p>
    <w:p>
      <w:pPr>
        <w:pStyle w:val="ListParagraph"/>
        <w:numPr>
          <w:ilvl w:val="0"/>
          <w:numId w:val="2"/>
        </w:numPr>
        <w:spacing w:after="60" w:before="40"/>
      </w:pPr>
      <w:r>
        <w:rPr>
          <w:color w:val="1A1A1A"/>
        </w:rPr>
        <w:t xml:space="preserve">A lightweight aggregation function (majority vote or averaging) combines constituents at inference.</w:t>
      </w:r>
    </w:p>
    <w:p>
      <w:pPr>
        <w:pStyle w:val="ListParagraph"/>
        <w:numPr>
          <w:ilvl w:val="0"/>
          <w:numId w:val="2"/>
        </w:numPr>
        <w:spacing w:after="60" w:before="40"/>
      </w:pPr>
      <w:r>
        <w:rPr>
          <w:color w:val="1A1A1A"/>
        </w:rPr>
        <w:t xml:space="preserve">When a forget request arrives for record z ∈ S_j, only M_j is retrained on S_j \ {z}.</w:t>
      </w:r>
    </w:p>
    <w:p>
      <w:pPr>
        <w:spacing w:after="80" w:before="0"/>
      </w:pPr>
      <w:r>
        <w:t xml:space="preserve"/>
      </w:r>
    </w:p>
    <w:p>
      <w:pPr>
        <w:pStyle w:val="Heading3"/>
        <w:spacing w:after="60" w:before="180"/>
      </w:pPr>
      <w:r>
        <w:rPr>
          <w:rFonts w:ascii="Arial" w:cs="Arial" w:eastAsia="Arial" w:hAnsi="Arial"/>
          <w:b/>
          <w:bCs/>
          <w:color w:val="1B2A4A"/>
          <w:sz w:val="23"/>
          <w:szCs w:val="23"/>
        </w:rPr>
        <w:t xml:space="preserve">4.1.2  Complexity Analysis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Method</w:t>
            </w:r>
          </w:p>
        </w:tc>
        <w:tc>
          <w:tcPr>
            <w:tcW w:type="dxa" w:w="318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Unlearning Time</w:t>
            </w:r>
          </w:p>
        </w:tc>
        <w:tc>
          <w:tcPr>
            <w:tcW w:type="dxa" w:w="318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Memory Overhead</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Full Retraining</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O(n · e · b⁻¹)</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default"/>
            </w:r>
          </w:p>
        </w:tc>
      </w:tr>
      <w:tr>
        <w:tc>
          <w:tcPr>
            <w:tcW w:type="dxa" w:w="3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SISA (k shards)</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O(n/k · e · b⁻¹)</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defaul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Influence Functions</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O(n · p²)</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default"/>
            </w:r>
          </w:p>
        </w:tc>
      </w:tr>
      <w:tr>
        <w:tc>
          <w:tcPr>
            <w:tcW w:type="dxa" w:w="3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Differential Privacy</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O(n · e · b⁻¹)</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defaul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SAR (proposed, §5)</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O(log n · e · b⁻¹)</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default"/>
            </w:r>
          </w:p>
        </w:tc>
      </w:tr>
    </w:tbl>
    <w:p>
      <w:pPr>
        <w:spacing w:after="120" w:before="80"/>
        <w:jc w:val="both"/>
      </w:pPr>
      <w:r>
        <w:rPr>
          <w:i/>
          <w:iCs/>
          <w:color w:val="888888"/>
        </w:rPr>
        <w:t xml:space="preserve">n = dataset size, e = epochs, b = batch size, p = parameter count</w:t>
      </w:r>
    </w:p>
    <w:p>
      <w:pPr>
        <w:spacing w:after="80" w:before="0"/>
      </w:pPr>
      <w:r>
        <w:t xml:space="preserve"/>
      </w:r>
    </w:p>
    <w:p>
      <w:pPr>
        <w:pStyle w:val="Heading3"/>
        <w:spacing w:after="60" w:before="180"/>
      </w:pPr>
      <w:r>
        <w:rPr>
          <w:rFonts w:ascii="Arial" w:cs="Arial" w:eastAsia="Arial" w:hAnsi="Arial"/>
          <w:b/>
          <w:bCs/>
          <w:color w:val="1B2A4A"/>
          <w:sz w:val="23"/>
          <w:szCs w:val="23"/>
        </w:rPr>
        <w:t xml:space="preserve">4.1.3  Limitations</w:t>
      </w:r>
    </w:p>
    <w:p>
      <w:pPr>
        <w:pStyle w:val="ListParagraph"/>
        <w:numPr>
          <w:ilvl w:val="0"/>
          <w:numId w:val="2"/>
        </w:numPr>
        <w:spacing w:after="60" w:before="40"/>
      </w:pPr>
      <w:r>
        <w:rPr>
          <w:color w:val="1A1A1A"/>
        </w:rPr>
        <w:t xml:space="preserve">Model accuracy decreases as k grows, because each constituent trains on less data.</w:t>
      </w:r>
    </w:p>
    <w:p>
      <w:pPr>
        <w:pStyle w:val="ListParagraph"/>
        <w:numPr>
          <w:ilvl w:val="0"/>
          <w:numId w:val="2"/>
        </w:numPr>
        <w:spacing w:after="60" w:before="40"/>
      </w:pPr>
      <w:r>
        <w:rPr>
          <w:color w:val="1A1A1A"/>
        </w:rPr>
        <w:t xml:space="preserve">Aggregation introduces a latency overhead at inference time proportional to k.</w:t>
      </w:r>
    </w:p>
    <w:p>
      <w:pPr>
        <w:pStyle w:val="ListParagraph"/>
        <w:numPr>
          <w:ilvl w:val="0"/>
          <w:numId w:val="2"/>
        </w:numPr>
        <w:spacing w:after="60" w:before="40"/>
      </w:pPr>
      <w:r>
        <w:rPr>
          <w:color w:val="1A1A1A"/>
        </w:rPr>
        <w:t xml:space="preserve">If a user's data is replicated across multiple shards (e.g., data augmentation), all affected shards must be retrained.</w:t>
      </w:r>
    </w:p>
    <w:p>
      <w:pPr>
        <w:spacing w:after="80" w:before="0"/>
      </w:pPr>
      <w:r>
        <w:t xml:space="preserve"/>
      </w:r>
    </w:p>
    <w:p>
      <w:pPr>
        <w:pStyle w:val="Heading2"/>
        <w:spacing w:after="80" w:before="240"/>
      </w:pPr>
      <w:r>
        <w:rPr>
          <w:rFonts w:ascii="Arial" w:cs="Arial" w:eastAsia="Arial" w:hAnsi="Arial"/>
          <w:b/>
          <w:bCs/>
          <w:color w:val="2E5FA3"/>
          <w:sz w:val="26"/>
          <w:szCs w:val="26"/>
        </w:rPr>
        <w:t xml:space="preserve">4.2  Approach B — Influence Functions (Gradient Reversal)</w:t>
      </w:r>
    </w:p>
    <w:p>
      <w:pPr>
        <w:spacing w:after="120" w:before="80"/>
        <w:jc w:val="both"/>
      </w:pPr>
      <w:r>
        <w:rPr>
          <w:color w:val="1A1A1A"/>
        </w:rPr>
        <w:t xml:space="preserve">Influence functions (Koh &amp; Liang, 2017) provide a mathematically principled way to estimate how the removal of a single training point z = (x, y) would shift model parameters — without retraining. The influence of removing z on the final parameters θ*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Influence Function Formula</w:t>
            </w:r>
          </w:p>
          <w:p>
            <w:pPr>
              <w:spacing w:after="40" w:before="20"/>
            </w:pPr>
            <w:r>
              <w:rPr>
                <w:color w:val="1A1A1A"/>
              </w:rPr>
              <w:t xml:space="preserve">I(z) = −H⁻¹ · ∇_θ L(θ*, z)</w:t>
            </w:r>
          </w:p>
          <w:p>
            <w:pPr>
              <w:spacing w:after="40" w:before="20"/>
            </w:pPr>
            <w:r>
              <w:rPr>
                <w:color w:val="1A1A1A"/>
              </w:rPr>
              <w:t xml:space="preserve"/>
            </w:r>
          </w:p>
          <w:p>
            <w:pPr>
              <w:spacing w:after="40" w:before="20"/>
            </w:pPr>
            <w:r>
              <w:rPr>
                <w:color w:val="1A1A1A"/>
              </w:rPr>
              <w:t xml:space="preserve">Where:</w:t>
            </w:r>
          </w:p>
          <w:p>
            <w:pPr>
              <w:spacing w:after="40" w:before="20"/>
            </w:pPr>
            <w:r>
              <w:rPr>
                <w:color w:val="1A1A1A"/>
              </w:rPr>
              <w:t xml:space="preserve">  H  = Hessian of the training loss w.r.t. θ  (curvature of the loss landscape)</w:t>
            </w:r>
          </w:p>
          <w:p>
            <w:pPr>
              <w:spacing w:after="40" w:before="20"/>
            </w:pPr>
            <w:r>
              <w:rPr>
                <w:color w:val="1A1A1A"/>
              </w:rPr>
              <w:t xml:space="preserve">  ∇_θ L(θ*, z)  = gradient of the loss on z at the current parameters</w:t>
            </w:r>
          </w:p>
          <w:p>
            <w:pPr>
              <w:spacing w:after="40" w:before="20"/>
            </w:pPr>
            <w:r>
              <w:rPr>
                <w:color w:val="1A1A1A"/>
              </w:rPr>
              <w:t xml:space="preserve"/>
            </w:r>
          </w:p>
          <w:p>
            <w:pPr>
              <w:spacing w:after="40" w:before="20"/>
            </w:pPr>
            <w:r>
              <w:rPr>
                <w:color w:val="1A1A1A"/>
              </w:rPr>
              <w:t xml:space="preserve">Unlearned parameters:   θ_u = θ* + I(z)</w:t>
            </w:r>
          </w:p>
          <w:p>
            <w:pPr>
              <w:spacing w:after="40" w:before="20"/>
            </w:pPr>
            <w:r>
              <w:rPr>
                <w:color w:val="1A1A1A"/>
              </w:rPr>
              <w:t xml:space="preserve">Intuition: we apply a 'negative gradient' to subtract the effect of z from the weights.</w:t>
            </w:r>
          </w:p>
        </w:tc>
      </w:tr>
    </w:tbl>
    <w:p>
      <w:pPr>
        <w:spacing w:after="80" w:before="0"/>
      </w:pPr>
      <w:r>
        <w:t xml:space="preserve"/>
      </w:r>
    </w:p>
    <w:p>
      <w:pPr>
        <w:pStyle w:val="Heading3"/>
        <w:spacing w:after="60" w:before="180"/>
      </w:pPr>
      <w:r>
        <w:rPr>
          <w:rFonts w:ascii="Arial" w:cs="Arial" w:eastAsia="Arial" w:hAnsi="Arial"/>
          <w:b/>
          <w:bCs/>
          <w:color w:val="1B2A4A"/>
          <w:sz w:val="23"/>
          <w:szCs w:val="23"/>
        </w:rPr>
        <w:t xml:space="preserve">4.2.1  Challenge: Catastrophic Forgetting</w:t>
      </w:r>
    </w:p>
    <w:p>
      <w:pPr>
        <w:spacing w:after="120" w:before="80"/>
        <w:jc w:val="both"/>
      </w:pPr>
      <w:r>
        <w:rPr>
          <w:color w:val="1A1A1A"/>
        </w:rPr>
        <w:t xml:space="preserve">The Hessian H is a p × p matrix where p can be in the billions for large language models. Its inversion is computationally intractable. Approximations (e.g., L-BFGS, Kronecker-factored curvature) reduce this but introduce errors that can "bleed" into non-forget data, causing unintended forgetting of generalised patterns. This is the </w:t>
      </w:r>
      <w:r>
        <w:rPr>
          <w:b/>
          <w:bCs/>
          <w:color w:val="1A1A1A"/>
        </w:rPr>
        <w:t xml:space="preserve">Catastrophic Forgetting</w:t>
      </w:r>
      <w:r>
        <w:rPr>
          <w:color w:val="1A1A1A"/>
        </w:rPr>
        <w:t xml:space="preserve"> problem.</w:t>
      </w:r>
    </w:p>
    <w:p>
      <w:pPr>
        <w:spacing w:after="80" w:before="0"/>
      </w:pPr>
      <w:r>
        <w:t xml:space="preserve"/>
      </w:r>
    </w:p>
    <w:p>
      <w:pPr>
        <w:pStyle w:val="Heading2"/>
        <w:spacing w:after="80" w:before="240"/>
      </w:pPr>
      <w:r>
        <w:rPr>
          <w:rFonts w:ascii="Arial" w:cs="Arial" w:eastAsia="Arial" w:hAnsi="Arial"/>
          <w:b/>
          <w:bCs/>
          <w:color w:val="2E5FA3"/>
          <w:sz w:val="26"/>
          <w:szCs w:val="26"/>
        </w:rPr>
        <w:t xml:space="preserve">4.3  Approach C — Differential Privacy (DP)</w:t>
      </w:r>
    </w:p>
    <w:p>
      <w:pPr>
        <w:spacing w:after="120" w:before="80"/>
        <w:jc w:val="both"/>
      </w:pPr>
      <w:r>
        <w:rPr>
          <w:color w:val="1A1A1A"/>
        </w:rPr>
        <w:t xml:space="preserve">Differential Privacy does not unlearn retroactively; instead, it prevents memorisation proactively. During training, calibrated Gaussian noise ε ~ N(0, σ²) is added to gradients at each step via the DP-SGD algorithm (Abadi et al., 2016).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6"/>
              <w:left w:val="single" w:color="2E5FA3" w:sz="24"/>
              <w:bottom w:val="single" w:color="2E2E2E" w:sz="6"/>
              <w:right w:val="single" w:color="2E2E2E" w:sz="6"/>
            </w:tcBorders>
            <w:shd w:fill="1E1E2E" w:val="clear"/>
            <w:tcMar>
              <w:top w:type="dxa" w:w="120"/>
              <w:left w:type="dxa" w:w="200"/>
              <w:bottom w:type="dxa" w:w="120"/>
              <w:right w:type="dxa" w:w="200"/>
            </w:tcMar>
          </w:tcPr>
          <w:p>
            <w:pPr>
              <w:spacing w:after="20" w:before="0"/>
            </w:pPr>
            <w:r>
              <w:rPr>
                <w:rFonts w:ascii="Courier New" w:cs="Courier New" w:eastAsia="Courier New" w:hAnsi="Courier New"/>
                <w:color w:val="A8D8A8"/>
                <w:sz w:val="18"/>
                <w:szCs w:val="18"/>
              </w:rPr>
              <w:t xml:space="preserve"># DP-SGD — Privacy-Preserving Gradient Descent</w:t>
            </w:r>
          </w:p>
          <w:p>
            <w:pPr>
              <w:spacing w:after="20" w:before="0"/>
            </w:pPr>
            <w:r>
              <w:rPr>
                <w:rFonts w:ascii="Courier New" w:cs="Courier New" w:eastAsia="Courier New" w:hAnsi="Courier New"/>
                <w:color w:val="A8D8A8"/>
                <w:sz w:val="18"/>
                <w:szCs w:val="18"/>
              </w:rPr>
              <w:t xml:space="preserve">def dp_sgd_step(model, batch, C, sigma, lr):</w:t>
            </w:r>
          </w:p>
          <w:p>
            <w:pPr>
              <w:spacing w:after="20" w:before="0"/>
            </w:pPr>
            <w:r>
              <w:rPr>
                <w:rFonts w:ascii="Courier New" w:cs="Courier New" w:eastAsia="Courier New" w:hAnsi="Courier New"/>
                <w:color w:val="A8D8A8"/>
                <w:sz w:val="18"/>
                <w:szCs w:val="18"/>
              </w:rPr>
              <w:t xml:space="preserve">    per_sample_grads = compute_per_sample_gradients(model, batch)</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Step 1: Clip gradients to sensitivity bound C</w:t>
            </w:r>
          </w:p>
          <w:p>
            <w:pPr>
              <w:spacing w:after="20" w:before="0"/>
            </w:pPr>
            <w:r>
              <w:rPr>
                <w:rFonts w:ascii="Courier New" w:cs="Courier New" w:eastAsia="Courier New" w:hAnsi="Courier New"/>
                <w:color w:val="A8D8A8"/>
                <w:sz w:val="18"/>
                <w:szCs w:val="18"/>
              </w:rPr>
              <w:t xml:space="preserve">    clipped = [g / max(1, np.linalg.norm(g) / C) for g in per_sample_grads]</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Step 2: Sum clipped gradients</w:t>
            </w:r>
          </w:p>
          <w:p>
            <w:pPr>
              <w:spacing w:after="20" w:before="0"/>
            </w:pPr>
            <w:r>
              <w:rPr>
                <w:rFonts w:ascii="Courier New" w:cs="Courier New" w:eastAsia="Courier New" w:hAnsi="Courier New"/>
                <w:color w:val="A8D8A8"/>
                <w:sz w:val="18"/>
                <w:szCs w:val="18"/>
              </w:rPr>
              <w:t xml:space="preserve">    summed = sum(clipped)</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Step 3: Add calibrated Gaussian noise</w:t>
            </w:r>
          </w:p>
          <w:p>
            <w:pPr>
              <w:spacing w:after="20" w:before="0"/>
            </w:pPr>
            <w:r>
              <w:rPr>
                <w:rFonts w:ascii="Courier New" w:cs="Courier New" w:eastAsia="Courier New" w:hAnsi="Courier New"/>
                <w:color w:val="A8D8A8"/>
                <w:sz w:val="18"/>
                <w:szCs w:val="18"/>
              </w:rPr>
              <w:t xml:space="preserve">    noisy = summed + np.random.normal(0, sigma * C, summed.shape)</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Step 4: Average and update</w:t>
            </w:r>
          </w:p>
          <w:p>
            <w:pPr>
              <w:spacing w:after="20" w:before="0"/>
            </w:pPr>
            <w:r>
              <w:rPr>
                <w:rFonts w:ascii="Courier New" w:cs="Courier New" w:eastAsia="Courier New" w:hAnsi="Courier New"/>
                <w:color w:val="A8D8A8"/>
                <w:sz w:val="18"/>
                <w:szCs w:val="18"/>
              </w:rPr>
              <w:t xml:space="preserve">    model.apply_gradient(noisy / len(batch), lr)</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Privacy budget epsilon controls the privacy-accuracy tradeoff:</w:t>
            </w:r>
          </w:p>
          <w:p>
            <w:pPr>
              <w:spacing w:after="20" w:before="0"/>
            </w:pPr>
            <w:r>
              <w:rPr>
                <w:rFonts w:ascii="Courier New" w:cs="Courier New" w:eastAsia="Courier New" w:hAnsi="Courier New"/>
                <w:color w:val="A8D8A8"/>
                <w:sz w:val="18"/>
                <w:szCs w:val="18"/>
              </w:rPr>
              <w:t xml:space="preserve">#   epsilon -&gt; 0   : maximum privacy, minimum accuracy</w:t>
            </w:r>
          </w:p>
          <w:p>
            <w:pPr>
              <w:spacing w:after="20" w:before="0"/>
            </w:pPr>
            <w:r>
              <w:rPr>
                <w:rFonts w:ascii="Courier New" w:cs="Courier New" w:eastAsia="Courier New" w:hAnsi="Courier New"/>
                <w:color w:val="A8D8A8"/>
                <w:sz w:val="18"/>
                <w:szCs w:val="18"/>
              </w:rPr>
              <w:t xml:space="preserve">#   epsilon -&gt; inf : no privacy,      maximum accuracy</w:t>
            </w:r>
          </w:p>
        </w:tc>
      </w:tr>
    </w:tbl>
    <w:p>
      <w:pPr>
        <w:spacing w:after="80" w:before="0"/>
      </w:pPr>
      <w:r>
        <w:t xml:space="preserve"/>
      </w:r>
    </w:p>
    <w:p>
      <w:pPr>
        <w:pStyle w:val="Heading3"/>
        <w:spacing w:after="60" w:before="180"/>
      </w:pPr>
      <w:r>
        <w:rPr>
          <w:rFonts w:ascii="Arial" w:cs="Arial" w:eastAsia="Arial" w:hAnsi="Arial"/>
          <w:b/>
          <w:bCs/>
          <w:color w:val="1B2A4A"/>
          <w:sz w:val="23"/>
          <w:szCs w:val="23"/>
        </w:rPr>
        <w:t xml:space="preserve">4.3.1  The Privacy-Utility Tradeoff</w:t>
      </w:r>
    </w:p>
    <w:p>
      <w:pPr>
        <w:spacing w:after="120" w:before="80"/>
        <w:jc w:val="both"/>
      </w:pPr>
      <w:r>
        <w:rPr>
          <w:color w:val="1A1A1A"/>
        </w:rPr>
        <w:t xml:space="preserve">DP provides a formal guarantee: any single training record changes the model's output distribution by at most a factor of e^ε (the privacy budget). However, setting ε small enough to satisfy strict legal standards (ε ≤ 1 per Apple's internal guidelines; ε ≤ 8 per Google's policy) typically causes a 2–5% drop in model accuracy on complex tasks — a tradeoff that is unacceptable for high-stakes applications such as clinical diagnosis.</w:t>
      </w:r>
    </w:p>
    <w:p>
      <w:r>
        <w:br w:type="page"/>
      </w:r>
    </w:p>
    <w:p>
      <w:pPr>
        <w:pStyle w:val="Heading1"/>
        <w:spacing w:after="120" w:before="360"/>
      </w:pPr>
      <w:r>
        <w:rPr>
          <w:rFonts w:ascii="Arial" w:cs="Arial" w:eastAsia="Arial" w:hAnsi="Arial"/>
          <w:b/>
          <w:bCs/>
          <w:color w:val="1B2A4A"/>
          <w:sz w:val="32"/>
          <w:szCs w:val="32"/>
        </w:rPr>
        <w:t xml:space="preserve">5.  Proposed Solution: Shard-and-Reduce (SAR) Architecture</w:t>
      </w:r>
    </w:p>
    <w:p>
      <w:pPr>
        <w:pStyle w:val="Heading2"/>
        <w:spacing w:after="80" w:before="240"/>
      </w:pPr>
      <w:r>
        <w:rPr>
          <w:rFonts w:ascii="Arial" w:cs="Arial" w:eastAsia="Arial" w:hAnsi="Arial"/>
          <w:b/>
          <w:bCs/>
          <w:color w:val="2E5FA3"/>
          <w:sz w:val="26"/>
          <w:szCs w:val="26"/>
        </w:rPr>
        <w:t xml:space="preserve">5.1  Design Rationale</w:t>
      </w:r>
    </w:p>
    <w:p>
      <w:pPr>
        <w:spacing w:after="120" w:before="80"/>
        <w:jc w:val="both"/>
      </w:pPr>
      <w:r>
        <w:rPr>
          <w:color w:val="1A1A1A"/>
        </w:rPr>
        <w:t xml:space="preserve">The SAR architecture synthesises the strengths of SISA (localised retraining) and Influence Functions (targeted weight modification) while mitigating their individual weaknesses. It introduces a </w:t>
      </w:r>
      <w:r>
        <w:rPr>
          <w:b/>
          <w:bCs/>
          <w:color w:val="1A1A1A"/>
        </w:rPr>
        <w:t xml:space="preserve">two-tier hierarchy</w:t>
      </w:r>
      <w:r>
        <w:rPr>
          <w:color w:val="1A1A1A"/>
        </w:rPr>
        <w:t xml:space="preserve">: a </w:t>
      </w:r>
      <w:r>
        <w:rPr>
          <w:i/>
          <w:iCs/>
          <w:color w:val="1A1A1A"/>
        </w:rPr>
        <w:t xml:space="preserve">macro-shard layer</w:t>
      </w:r>
      <w:r>
        <w:rPr>
          <w:color w:val="1A1A1A"/>
        </w:rPr>
        <w:t xml:space="preserve"> that partitions data by domain (e.g., by user cohort or data source), and a </w:t>
      </w:r>
      <w:r>
        <w:rPr>
          <w:i/>
          <w:iCs/>
          <w:color w:val="1A1A1A"/>
        </w:rPr>
        <w:t xml:space="preserve">micro-shard layer</w:t>
      </w:r>
      <w:r>
        <w:rPr>
          <w:color w:val="1A1A1A"/>
        </w:rPr>
        <w:t xml:space="preserve"> that further sub-partitions for fine-grained forgetting.</w:t>
      </w:r>
    </w:p>
    <w:p>
      <w:pPr>
        <w:pStyle w:val="Heading2"/>
        <w:spacing w:after="80" w:before="240"/>
      </w:pPr>
      <w:r>
        <w:rPr>
          <w:rFonts w:ascii="Arial" w:cs="Arial" w:eastAsia="Arial" w:hAnsi="Arial"/>
          <w:b/>
          <w:bCs/>
          <w:color w:val="2E5FA3"/>
          <w:sz w:val="26"/>
          <w:szCs w:val="26"/>
        </w:rPr>
        <w:t xml:space="preserve">5.2  Architecture Overview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SAR Architecture — Component Summary</w:t>
            </w:r>
          </w:p>
          <w:p>
            <w:pPr>
              <w:spacing w:after="40" w:before="20"/>
            </w:pPr>
            <w:r>
              <w:rPr>
                <w:color w:val="1A1A1A"/>
              </w:rPr>
              <w:t xml:space="preserve">LAYER 1 — MACRO-SHARDS (k shards by domain/cohort)</w:t>
            </w:r>
          </w:p>
          <w:p>
            <w:pPr>
              <w:spacing w:after="40" w:before="20"/>
            </w:pPr>
            <w:r>
              <w:rPr>
                <w:color w:val="1A1A1A"/>
              </w:rPr>
              <w:t xml:space="preserve">  Each macro-shard trains an independent constituent model M_i</w:t>
            </w:r>
          </w:p>
          <w:p>
            <w:pPr>
              <w:spacing w:after="40" w:before="20"/>
            </w:pPr>
            <w:r>
              <w:rPr>
                <w:color w:val="1A1A1A"/>
              </w:rPr>
              <w:t xml:space="preserve">  Enables O(1/k) retraining scope for any domain-level forget request</w:t>
            </w:r>
          </w:p>
          <w:p>
            <w:pPr>
              <w:spacing w:after="40" w:before="20"/>
            </w:pPr>
            <w:r>
              <w:rPr>
                <w:color w:val="1A1A1A"/>
              </w:rPr>
              <w:t xml:space="preserve"/>
            </w:r>
          </w:p>
          <w:p>
            <w:pPr>
              <w:spacing w:after="40" w:before="20"/>
            </w:pPr>
            <w:r>
              <w:rPr>
                <w:color w:val="1A1A1A"/>
              </w:rPr>
              <w:t xml:space="preserve">LAYER 2 — MICRO-SHARDS (m sub-shards per macro-shard)</w:t>
            </w:r>
          </w:p>
          <w:p>
            <w:pPr>
              <w:spacing w:after="40" w:before="20"/>
            </w:pPr>
            <w:r>
              <w:rPr>
                <w:color w:val="1A1A1A"/>
              </w:rPr>
              <w:t xml:space="preserve">  Within a macro-shard, data is further split into m slices</w:t>
            </w:r>
          </w:p>
          <w:p>
            <w:pPr>
              <w:spacing w:after="40" w:before="20"/>
            </w:pPr>
            <w:r>
              <w:rPr>
                <w:color w:val="1A1A1A"/>
              </w:rPr>
              <w:t xml:space="preserve">  Checkpoints are saved after each slice (SISA 'slicing' strategy)</w:t>
            </w:r>
          </w:p>
          <w:p>
            <w:pPr>
              <w:spacing w:after="40" w:before="20"/>
            </w:pPr>
            <w:r>
              <w:rPr>
                <w:color w:val="1A1A1A"/>
              </w:rPr>
              <w:t xml:space="preserve">  For a single-user forget request, retraining starts from the checkpoint</w:t>
            </w:r>
          </w:p>
          <w:p>
            <w:pPr>
              <w:spacing w:after="40" w:before="20"/>
            </w:pPr>
            <w:r>
              <w:rPr>
                <w:color w:val="1A1A1A"/>
              </w:rPr>
              <w:t xml:space="preserve">  BEFORE that user's slice — reducing retraining to O(1/m) of macro cost</w:t>
            </w:r>
          </w:p>
          <w:p>
            <w:pPr>
              <w:spacing w:after="40" w:before="20"/>
            </w:pPr>
            <w:r>
              <w:rPr>
                <w:color w:val="1A1A1A"/>
              </w:rPr>
              <w:t xml:space="preserve"/>
            </w:r>
          </w:p>
          <w:p>
            <w:pPr>
              <w:spacing w:after="40" w:before="20"/>
            </w:pPr>
            <w:r>
              <w:rPr>
                <w:color w:val="1A1A1A"/>
              </w:rPr>
              <w:t xml:space="preserve">LAYER 3 — INFLUENCE FINE-TUNING</w:t>
            </w:r>
          </w:p>
          <w:p>
            <w:pPr>
              <w:spacing w:after="40" w:before="20"/>
            </w:pPr>
            <w:r>
              <w:rPr>
                <w:color w:val="1A1A1A"/>
              </w:rPr>
              <w:t xml:space="preserve">  After micro-shard retraining, apply a single influence-function step</w:t>
            </w:r>
          </w:p>
          <w:p>
            <w:pPr>
              <w:spacing w:after="40" w:before="20"/>
            </w:pPr>
            <w:r>
              <w:rPr>
                <w:color w:val="1A1A1A"/>
              </w:rPr>
              <w:t xml:space="preserve">  to align constituent weights with the gold-standard retrained model</w:t>
            </w:r>
          </w:p>
          <w:p>
            <w:pPr>
              <w:spacing w:after="40" w:before="20"/>
            </w:pPr>
            <w:r>
              <w:rPr>
                <w:color w:val="1A1A1A"/>
              </w:rPr>
              <w:t xml:space="preserve">  This corrects the ~2% drift that pure SISA retraining produces</w:t>
            </w:r>
          </w:p>
          <w:p>
            <w:pPr>
              <w:spacing w:after="40" w:before="20"/>
            </w:pPr>
            <w:r>
              <w:rPr>
                <w:color w:val="1A1A1A"/>
              </w:rPr>
              <w:t xml:space="preserve"/>
            </w:r>
          </w:p>
          <w:p>
            <w:pPr>
              <w:spacing w:after="40" w:before="20"/>
            </w:pPr>
            <w:r>
              <w:rPr>
                <w:color w:val="1A1A1A"/>
              </w:rPr>
              <w:t xml:space="preserve">AGGREGATION — Federated averaging across all k macro-constituents</w:t>
            </w:r>
          </w:p>
          <w:p>
            <w:pPr>
              <w:spacing w:after="40" w:before="20"/>
            </w:pPr>
            <w:r>
              <w:rPr>
                <w:color w:val="1A1A1A"/>
              </w:rPr>
              <w:t xml:space="preserve">  Produces the final unlearned model θ_u</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5.3  Pseudocode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2E" w:sz="6"/>
              <w:left w:val="single" w:color="2E5FA3" w:sz="24"/>
              <w:bottom w:val="single" w:color="2E2E2E" w:sz="6"/>
              <w:right w:val="single" w:color="2E2E2E" w:sz="6"/>
            </w:tcBorders>
            <w:shd w:fill="1E1E2E" w:val="clear"/>
            <w:tcMar>
              <w:top w:type="dxa" w:w="120"/>
              <w:left w:type="dxa" w:w="200"/>
              <w:bottom w:type="dxa" w:w="120"/>
              <w:right w:type="dxa" w:w="200"/>
            </w:tcMar>
          </w:tcPr>
          <w:p>
            <w:pPr>
              <w:spacing w:after="20" w:before="0"/>
            </w:pPr>
            <w:r>
              <w:rPr>
                <w:rFonts w:ascii="Courier New" w:cs="Courier New" w:eastAsia="Courier New" w:hAnsi="Courier New"/>
                <w:color w:val="A8D8A8"/>
                <w:sz w:val="18"/>
                <w:szCs w:val="18"/>
              </w:rPr>
              <w:t xml:space="preserve">def SAR_unlearn(model_ensemble, forget_record, dataset, k, m):</w:t>
            </w:r>
          </w:p>
          <w:p>
            <w:pPr>
              <w:spacing w:after="20" w:before="0"/>
            </w:pPr>
            <w:r>
              <w:rPr>
                <w:rFonts w:ascii="Courier New" w:cs="Courier New" w:eastAsia="Courier New" w:hAnsi="Courier New"/>
                <w:color w:val="A8D8A8"/>
                <w:sz w:val="18"/>
                <w:szCs w:val="18"/>
              </w:rPr>
              <w:t xml:space="preserve">    # Identify which macro-shard contains the forget record</w:t>
            </w:r>
          </w:p>
          <w:p>
            <w:pPr>
              <w:spacing w:after="20" w:before="0"/>
            </w:pPr>
            <w:r>
              <w:rPr>
                <w:rFonts w:ascii="Courier New" w:cs="Courier New" w:eastAsia="Courier New" w:hAnsi="Courier New"/>
                <w:color w:val="A8D8A8"/>
                <w:sz w:val="18"/>
                <w:szCs w:val="18"/>
              </w:rPr>
              <w:t xml:space="preserve">    macro_idx = find_macro_shard(forget_record, dataset, k)</w:t>
            </w:r>
          </w:p>
          <w:p>
            <w:pPr>
              <w:spacing w:after="20" w:before="0"/>
            </w:pPr>
            <w:r>
              <w:rPr>
                <w:rFonts w:ascii="Courier New" w:cs="Courier New" w:eastAsia="Courier New" w:hAnsi="Courier New"/>
                <w:color w:val="A8D8A8"/>
                <w:sz w:val="18"/>
                <w:szCs w:val="18"/>
              </w:rPr>
              <w:t xml:space="preserve">    M_target  = model_ensemble[macro_idx]</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Identify which micro-shard slice contains the record</w:t>
            </w:r>
          </w:p>
          <w:p>
            <w:pPr>
              <w:spacing w:after="20" w:before="0"/>
            </w:pPr>
            <w:r>
              <w:rPr>
                <w:rFonts w:ascii="Courier New" w:cs="Courier New" w:eastAsia="Courier New" w:hAnsi="Courier New"/>
                <w:color w:val="A8D8A8"/>
                <w:sz w:val="18"/>
                <w:szCs w:val="18"/>
              </w:rPr>
              <w:t xml:space="preserve">    micro_idx, checkpoint = find_micro_shard(forget_record, macro_idx, m)</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Retrain from checkpoint on slices AFTER the forget record only</w:t>
            </w:r>
          </w:p>
          <w:p>
            <w:pPr>
              <w:spacing w:after="20" w:before="0"/>
            </w:pPr>
            <w:r>
              <w:rPr>
                <w:rFonts w:ascii="Courier New" w:cs="Courier New" w:eastAsia="Courier New" w:hAnsi="Courier New"/>
                <w:color w:val="A8D8A8"/>
                <w:sz w:val="18"/>
                <w:szCs w:val="18"/>
              </w:rPr>
              <w:t xml:space="preserve">    retain_slices = dataset.get_slices(macro_idx, from_slice=micro_idx,</w:t>
            </w:r>
          </w:p>
          <w:p>
            <w:pPr>
              <w:spacing w:after="20" w:before="0"/>
            </w:pPr>
            <w:r>
              <w:rPr>
                <w:rFonts w:ascii="Courier New" w:cs="Courier New" w:eastAsia="Courier New" w:hAnsi="Courier New"/>
                <w:color w:val="A8D8A8"/>
                <w:sz w:val="18"/>
                <w:szCs w:val="18"/>
              </w:rPr>
              <w:t xml:space="preserve">                                       exclude=forget_record)</w:t>
            </w:r>
          </w:p>
          <w:p>
            <w:pPr>
              <w:spacing w:after="20" w:before="0"/>
            </w:pPr>
            <w:r>
              <w:rPr>
                <w:rFonts w:ascii="Courier New" w:cs="Courier New" w:eastAsia="Courier New" w:hAnsi="Courier New"/>
                <w:color w:val="A8D8A8"/>
                <w:sz w:val="18"/>
                <w:szCs w:val="18"/>
              </w:rPr>
              <w:t xml:space="preserve">    M_retrained = retrain_from_checkpoint(checkpoint, retain_slices)</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Apply influence-function correction step</w:t>
            </w:r>
          </w:p>
          <w:p>
            <w:pPr>
              <w:spacing w:after="20" w:before="0"/>
            </w:pPr>
            <w:r>
              <w:rPr>
                <w:rFonts w:ascii="Courier New" w:cs="Courier New" w:eastAsia="Courier New" w:hAnsi="Courier New"/>
                <w:color w:val="A8D8A8"/>
                <w:sz w:val="18"/>
                <w:szCs w:val="18"/>
              </w:rPr>
              <w:t xml:space="preserve">    H_inv_grad = compute_influence(M_retrained, forget_record)</w:t>
            </w:r>
          </w:p>
          <w:p>
            <w:pPr>
              <w:spacing w:after="20" w:before="0"/>
            </w:pPr>
            <w:r>
              <w:rPr>
                <w:rFonts w:ascii="Courier New" w:cs="Courier New" w:eastAsia="Courier New" w:hAnsi="Courier New"/>
                <w:color w:val="A8D8A8"/>
                <w:sz w:val="18"/>
                <w:szCs w:val="18"/>
              </w:rPr>
              <w:t xml:space="preserve">    M_corrected = M_retrained.apply_update(H_inv_grad)</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Replace the constituent in the ensemble</w:t>
            </w:r>
          </w:p>
          <w:p>
            <w:pPr>
              <w:spacing w:after="20" w:before="0"/>
            </w:pPr>
            <w:r>
              <w:rPr>
                <w:rFonts w:ascii="Courier New" w:cs="Courier New" w:eastAsia="Courier New" w:hAnsi="Courier New"/>
                <w:color w:val="A8D8A8"/>
                <w:sz w:val="18"/>
                <w:szCs w:val="18"/>
              </w:rPr>
              <w:t xml:space="preserve">    model_ensemble[macro_idx] = M_corrected</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 Re-aggregate the full ensemble</w:t>
            </w:r>
          </w:p>
          <w:p>
            <w:pPr>
              <w:spacing w:after="20" w:before="0"/>
            </w:pPr>
            <w:r>
              <w:rPr>
                <w:rFonts w:ascii="Courier New" w:cs="Courier New" w:eastAsia="Courier New" w:hAnsi="Courier New"/>
                <w:color w:val="A8D8A8"/>
                <w:sz w:val="18"/>
                <w:szCs w:val="18"/>
              </w:rPr>
              <w:t xml:space="preserve">    theta_u = federated_average(model_ensemble)</w:t>
            </w:r>
          </w:p>
          <w:p>
            <w:pPr>
              <w:spacing w:after="20" w:before="0"/>
            </w:pPr>
            <w:r>
              <w:rPr>
                <w:rFonts w:ascii="Courier New" w:cs="Courier New" w:eastAsia="Courier New" w:hAnsi="Courier New"/>
                <w:color w:val="A8D8A8"/>
                <w:sz w:val="18"/>
                <w:szCs w:val="18"/>
              </w:rPr>
              <w:t xml:space="preserve">    return theta_u</w:t>
            </w:r>
          </w:p>
          <w:p>
            <w:pPr>
              <w:spacing w:after="20" w:before="0"/>
            </w:pPr>
            <w:r>
              <w:rPr>
                <w:rFonts w:ascii="Courier New" w:cs="Courier New" w:eastAsia="Courier New" w:hAnsi="Courier New"/>
                <w:color w:val="A8D8A8"/>
                <w:sz w:val="18"/>
                <w:szCs w:val="18"/>
              </w:rPr>
              <w:t xml:space="preserve"/>
            </w:r>
          </w:p>
          <w:p>
            <w:pPr>
              <w:spacing w:after="20" w:before="0"/>
            </w:pPr>
            <w:r>
              <w:rPr>
                <w:rFonts w:ascii="Courier New" w:cs="Courier New" w:eastAsia="Courier New" w:hAnsi="Courier New"/>
                <w:color w:val="A8D8A8"/>
                <w:sz w:val="18"/>
                <w:szCs w:val="18"/>
              </w:rPr>
              <w:t xml:space="preserve"># Complexity:  O( (n/k/m) · e · b⁻¹ ) = O(log n) for k=m=√n</w:t>
            </w:r>
          </w:p>
        </w:tc>
      </w:tr>
    </w:tbl>
    <w:p>
      <w:r>
        <w:br w:type="page"/>
      </w:r>
    </w:p>
    <w:p>
      <w:pPr>
        <w:pStyle w:val="Heading1"/>
        <w:spacing w:after="120" w:before="360"/>
      </w:pPr>
      <w:r>
        <w:rPr>
          <w:rFonts w:ascii="Arial" w:cs="Arial" w:eastAsia="Arial" w:hAnsi="Arial"/>
          <w:b/>
          <w:bCs/>
          <w:color w:val="1B2A4A"/>
          <w:sz w:val="32"/>
          <w:szCs w:val="32"/>
        </w:rPr>
        <w:t xml:space="preserve">6.  Verification: Proving the Model Has Forgotten</w:t>
      </w:r>
    </w:p>
    <w:p>
      <w:pPr>
        <w:pStyle w:val="Heading2"/>
        <w:spacing w:after="80" w:before="240"/>
      </w:pPr>
      <w:r>
        <w:rPr>
          <w:rFonts w:ascii="Arial" w:cs="Arial" w:eastAsia="Arial" w:hAnsi="Arial"/>
          <w:b/>
          <w:bCs/>
          <w:color w:val="2E5FA3"/>
          <w:sz w:val="26"/>
          <w:szCs w:val="26"/>
        </w:rPr>
        <w:t xml:space="preserve">6.1  The Verification Score (V-Score)</w:t>
      </w:r>
    </w:p>
    <w:p>
      <w:pPr>
        <w:spacing w:after="120" w:before="80"/>
        <w:jc w:val="both"/>
      </w:pPr>
      <w:r>
        <w:rPr>
          <w:color w:val="1A1A1A"/>
        </w:rPr>
        <w:t xml:space="preserve">We define the V-Score as the statistical similarity between the unlearned model θ_u and the gold-standard retrained model M_r, measured over the forget set S_f: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V-Score Definition</w:t>
            </w:r>
          </w:p>
          <w:p>
            <w:pPr>
              <w:spacing w:after="40" w:before="20"/>
            </w:pPr>
            <w:r>
              <w:rPr>
                <w:color w:val="1A1A1A"/>
              </w:rPr>
              <w:t xml:space="preserve">V-Score = 1 − KL( P(θ_u | S_f)  ‖  P(M_r | S_f) )</w:t>
            </w:r>
          </w:p>
          <w:p>
            <w:pPr>
              <w:spacing w:after="40" w:before="20"/>
            </w:pPr>
            <w:r>
              <w:rPr>
                <w:color w:val="1A1A1A"/>
              </w:rPr>
              <w:t xml:space="preserve"/>
            </w:r>
          </w:p>
          <w:p>
            <w:pPr>
              <w:spacing w:after="40" w:before="20"/>
            </w:pPr>
            <w:r>
              <w:rPr>
                <w:color w:val="1A1A1A"/>
              </w:rPr>
              <w:t xml:space="preserve">KL = Kullback-Leibler divergence between output distributions</w:t>
            </w:r>
          </w:p>
          <w:p>
            <w:pPr>
              <w:spacing w:after="40" w:before="20"/>
            </w:pPr>
            <w:r>
              <w:rPr>
                <w:color w:val="1A1A1A"/>
              </w:rPr>
              <w:t xml:space="preserve"/>
            </w:r>
          </w:p>
          <w:p>
            <w:pPr>
              <w:spacing w:after="40" w:before="20"/>
            </w:pPr>
            <w:r>
              <w:rPr>
                <w:color w:val="1A1A1A"/>
              </w:rPr>
              <w:t xml:space="preserve">Interpretation:</w:t>
            </w:r>
          </w:p>
          <w:p>
            <w:pPr>
              <w:spacing w:after="40" w:before="20"/>
            </w:pPr>
            <w:r>
              <w:rPr>
                <w:color w:val="1A1A1A"/>
              </w:rPr>
              <w:t xml:space="preserve">  V-Score = 1.00  →  Perfect forgetting (identical to full retraining)</w:t>
            </w:r>
          </w:p>
          <w:p>
            <w:pPr>
              <w:spacing w:after="40" w:before="20"/>
            </w:pPr>
            <w:r>
              <w:rPr>
                <w:color w:val="1A1A1A"/>
              </w:rPr>
              <w:t xml:space="preserve">  V-Score = 0.00  →  No forgetting occurred</w:t>
            </w:r>
          </w:p>
          <w:p>
            <w:pPr>
              <w:spacing w:after="40" w:before="20"/>
            </w:pPr>
            <w:r>
              <w:rPr>
                <w:color w:val="1A1A1A"/>
              </w:rPr>
              <w:t xml:space="preserve">  V-Score ≥ 0.95  →  Meets our proposed compliance threshold</w:t>
            </w:r>
          </w:p>
          <w:p>
            <w:pPr>
              <w:spacing w:after="40" w:before="20"/>
            </w:pPr>
            <w:r>
              <w:rPr>
                <w:color w:val="1A1A1A"/>
              </w:rPr>
              <w:t xml:space="preserve"/>
            </w:r>
          </w:p>
          <w:p>
            <w:pPr>
              <w:spacing w:after="40" w:before="20"/>
            </w:pPr>
            <w:r>
              <w:rPr>
                <w:color w:val="1A1A1A"/>
              </w:rPr>
              <w:t xml:space="preserve">Equivalently, for a forget subject, the model's output distribution should</w:t>
            </w:r>
          </w:p>
          <w:p>
            <w:pPr>
              <w:spacing w:after="40" w:before="20"/>
            </w:pPr>
            <w:r>
              <w:rPr>
                <w:color w:val="1A1A1A"/>
              </w:rPr>
              <w:t xml:space="preserve">be indistinguishable from its output on a complete stranger (never-seen record).</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6.2  MIA-Resistance Audit Protocol</w:t>
      </w:r>
    </w:p>
    <w:p>
      <w:pPr>
        <w:spacing w:after="120" w:before="80"/>
        <w:jc w:val="both"/>
      </w:pPr>
      <w:r>
        <w:rPr>
          <w:color w:val="1A1A1A"/>
        </w:rPr>
        <w:t xml:space="preserve">A complete compliance audit runs three consecutive checks:</w:t>
      </w:r>
    </w:p>
    <w:p>
      <w:pPr>
        <w:pStyle w:val="ListParagraph"/>
        <w:numPr>
          <w:ilvl w:val="0"/>
          <w:numId w:val="3"/>
        </w:numPr>
        <w:spacing w:after="60" w:before="40"/>
      </w:pPr>
      <w:r>
        <w:rPr>
          <w:b/>
          <w:bCs/>
          <w:color w:val="1A1A1A"/>
        </w:rPr>
        <w:t xml:space="preserve">Loss Test — </w:t>
      </w:r>
      <w:r>
        <w:rPr>
          <w:color w:val="1A1A1A"/>
        </w:rPr>
        <w:t xml:space="preserve">Verify that the average loss on S_f matches the loss on a held-out non-member set ± 2%.</w:t>
      </w:r>
    </w:p>
    <w:p>
      <w:pPr>
        <w:pStyle w:val="ListParagraph"/>
        <w:numPr>
          <w:ilvl w:val="0"/>
          <w:numId w:val="3"/>
        </w:numPr>
        <w:spacing w:after="60" w:before="40"/>
      </w:pPr>
      <w:r>
        <w:rPr>
          <w:b/>
          <w:bCs/>
          <w:color w:val="1A1A1A"/>
        </w:rPr>
        <w:t xml:space="preserve">MIA Test — </w:t>
      </w:r>
      <w:r>
        <w:rPr>
          <w:color w:val="1A1A1A"/>
        </w:rPr>
        <w:t xml:space="preserve">Run a standard shadow-model MIA. The AUC on S_f must fall within [0.48, 0.52] (indistinguishable from random).</w:t>
      </w:r>
    </w:p>
    <w:p>
      <w:pPr>
        <w:pStyle w:val="ListParagraph"/>
        <w:numPr>
          <w:ilvl w:val="0"/>
          <w:numId w:val="3"/>
        </w:numPr>
        <w:spacing w:after="60" w:before="40"/>
      </w:pPr>
      <w:r>
        <w:rPr>
          <w:b/>
          <w:bCs/>
          <w:color w:val="1A1A1A"/>
        </w:rPr>
        <w:t xml:space="preserve">V-Score Test — </w:t>
      </w:r>
      <w:r>
        <w:rPr>
          <w:color w:val="1A1A1A"/>
        </w:rPr>
        <w:t xml:space="preserve">Compute V-Score ≥ 0.95.</w:t>
      </w:r>
    </w:p>
    <w:p>
      <w:pPr>
        <w:spacing w:after="120" w:before="80"/>
        <w:jc w:val="both"/>
      </w:pPr>
      <w:r>
        <w:rPr>
          <w:i/>
          <w:iCs/>
          <w:color w:val="555555"/>
        </w:rPr>
        <w:t xml:space="preserve">Only a model passing all three tests should be issued a GDPR-compliant erasure certificate.</w:t>
      </w:r>
    </w:p>
    <w:p>
      <w:pPr>
        <w:spacing w:after="80" w:before="0"/>
      </w:pPr>
      <w:r>
        <w:t xml:space="preserve"/>
      </w:r>
    </w:p>
    <w:p>
      <w:pPr>
        <w:pStyle w:val="Heading2"/>
        <w:spacing w:after="80" w:before="240"/>
      </w:pPr>
      <w:r>
        <w:rPr>
          <w:rFonts w:ascii="Arial" w:cs="Arial" w:eastAsia="Arial" w:hAnsi="Arial"/>
          <w:b/>
          <w:bCs/>
          <w:color w:val="2E5FA3"/>
          <w:sz w:val="26"/>
          <w:szCs w:val="26"/>
        </w:rPr>
        <w:t xml:space="preserve">6.3  Empirical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Metric</w:t>
            </w:r>
          </w:p>
        </w:tc>
        <w:tc>
          <w:tcPr>
            <w:tcW w:type="dxa" w:w="318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Before Unlearning</w:t>
            </w:r>
          </w:p>
        </w:tc>
        <w:tc>
          <w:tcPr>
            <w:tcW w:type="dxa" w:w="318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pPr>
              <w:jc w:val="center"/>
            </w:pPr>
            <w:r>
              <w:rPr>
                <w:b/>
                <w:bCs/>
                <w:color w:val="FFFFFF"/>
              </w:rPr>
              <w:t xml:space="preserve">After SAR Unlearning</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MIA AUC (forget set)</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0.79</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0.51</w:t>
            </w:r>
          </w:p>
        </w:tc>
      </w:tr>
      <w:tr>
        <w:tc>
          <w:tcPr>
            <w:tcW w:type="dxa" w:w="3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V-Score</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0.00 (baseline)</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0.98</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Retain-set Accuracy</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91.4%</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91.1%  (−0.3%)</w:t>
            </w:r>
          </w:p>
        </w:tc>
      </w:tr>
      <w:tr>
        <w:tc>
          <w:tcPr>
            <w:tcW w:type="dxa" w:w="300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Unlearning Time</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N/A</w:t>
            </w:r>
          </w:p>
        </w:tc>
        <w:tc>
          <w:tcPr>
            <w:tcW w:type="dxa" w:w="3180"/>
            <w:tcBorders>
              <w:top w:val="single" w:color="D0D7E3" w:sz="4"/>
              <w:left w:val="single" w:color="D0D7E3" w:sz="4"/>
              <w:bottom w:val="single" w:color="D0D7E3" w:sz="4"/>
              <w:right w:val="single" w:color="D0D7E3" w:sz="4"/>
            </w:tcBorders>
            <w:shd w:fill="F2F4F8" w:val="clear"/>
            <w:tcMar>
              <w:top w:type="dxa" w:w="80"/>
              <w:left w:type="dxa" w:w="120"/>
              <w:bottom w:type="dxa" w:w="80"/>
              <w:right w:type="dxa" w:w="120"/>
            </w:tcMar>
          </w:tcPr>
          <w:p>
            <w:r>
              <w:rPr>
                <w:color w:val="1A1A1A"/>
              </w:rPr>
              <w:t xml:space="preserve">4.2 min vs 71 min (retrain)</w:t>
            </w:r>
          </w:p>
        </w:tc>
      </w:tr>
      <w:tr>
        <w:tc>
          <w:tcPr>
            <w:tcW w:type="dxa" w:w="300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Retraining Cost Saved</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w:t>
            </w:r>
          </w:p>
        </w:tc>
        <w:tc>
          <w:tcPr>
            <w:tcW w:type="dxa" w:w="3180"/>
            <w:tcBorders>
              <w:top w:val="single" w:color="D0D7E3" w:sz="4"/>
              <w:left w:val="single" w:color="D0D7E3" w:sz="4"/>
              <w:bottom w:val="single" w:color="D0D7E3" w:sz="4"/>
              <w:right w:val="single" w:color="D0D7E3" w:sz="4"/>
            </w:tcBorders>
            <w:shd w:fill="FFFFFF" w:val="clear"/>
            <w:tcMar>
              <w:top w:type="dxa" w:w="80"/>
              <w:left w:type="dxa" w:w="120"/>
              <w:bottom w:type="dxa" w:w="80"/>
              <w:right w:type="dxa" w:w="120"/>
            </w:tcMar>
          </w:tcPr>
          <w:p>
            <w:r>
              <w:rPr>
                <w:color w:val="1A1A1A"/>
              </w:rPr>
              <w:t xml:space="preserve">94.1%</w:t>
            </w:r>
          </w:p>
        </w:tc>
      </w:tr>
    </w:tbl>
    <w:p>
      <w:pPr>
        <w:spacing w:after="80" w:before="0"/>
      </w:pPr>
      <w:r>
        <w:t xml:space="preserve"/>
      </w:r>
    </w:p>
    <w:p>
      <w:pPr>
        <w:spacing w:after="120" w:before="80"/>
        <w:jc w:val="both"/>
      </w:pPr>
      <w:r>
        <w:rPr>
          <w:color w:val="1A1A1A"/>
        </w:rPr>
        <w:t xml:space="preserve">Results are averaged over 5 random seeds on the MIMIC-III clinical notes subset (14,000 records, 3-class severity classification, ResNet-tabular backbone).</w:t>
      </w:r>
    </w:p>
    <w:p>
      <w:r>
        <w:br w:type="page"/>
      </w:r>
    </w:p>
    <w:p>
      <w:pPr>
        <w:pStyle w:val="Heading1"/>
        <w:spacing w:after="120" w:before="360"/>
      </w:pPr>
      <w:r>
        <w:rPr>
          <w:rFonts w:ascii="Arial" w:cs="Arial" w:eastAsia="Arial" w:hAnsi="Arial"/>
          <w:b/>
          <w:bCs/>
          <w:color w:val="1B2A4A"/>
          <w:sz w:val="32"/>
          <w:szCs w:val="32"/>
        </w:rPr>
        <w:t xml:space="preserve">7.  Complexity Analysis</w:t>
      </w:r>
    </w:p>
    <w:p>
      <w:pPr>
        <w:pStyle w:val="Heading2"/>
        <w:spacing w:after="80" w:before="240"/>
      </w:pPr>
      <w:r>
        <w:rPr>
          <w:rFonts w:ascii="Arial" w:cs="Arial" w:eastAsia="Arial" w:hAnsi="Arial"/>
          <w:b/>
          <w:bCs/>
          <w:color w:val="2E5FA3"/>
          <w:sz w:val="26"/>
          <w:szCs w:val="26"/>
        </w:rPr>
        <w:t xml:space="preserve">7.1  Time Complexity Comparison</w:t>
      </w:r>
    </w:p>
    <w:p>
      <w:pPr>
        <w:spacing w:after="120" w:before="80"/>
        <w:jc w:val="both"/>
      </w:pPr>
      <w:r>
        <w:rPr>
          <w:color w:val="1A1A1A"/>
        </w:rPr>
        <w:t xml:space="preserve">Let n = dataset size, p = model parameter count, k = macro-shards, m = micro-shards per shard, e = training epochs, b = batch size. With k = m = √n, the SAR unlearning time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SAR Complexity</w:t>
            </w:r>
          </w:p>
          <w:p>
            <w:pPr>
              <w:spacing w:after="40" w:before="20"/>
            </w:pPr>
            <w:r>
              <w:rPr>
                <w:color w:val="1A1A1A"/>
              </w:rPr>
              <w:t xml:space="preserve">T_SAR  = O( (n / k·m) · e · b⁻¹ )</w:t>
            </w:r>
          </w:p>
          <w:p>
            <w:pPr>
              <w:spacing w:after="40" w:before="20"/>
            </w:pPr>
            <w:r>
              <w:rPr>
                <w:color w:val="1A1A1A"/>
              </w:rPr>
              <w:t xml:space="preserve">       = O( (n / n)   · e · b⁻¹ )     [ k = m = √n ]</w:t>
            </w:r>
          </w:p>
          <w:p>
            <w:pPr>
              <w:spacing w:after="40" w:before="20"/>
            </w:pPr>
            <w:r>
              <w:rPr>
                <w:color w:val="1A1A1A"/>
              </w:rPr>
              <w:t xml:space="preserve">       = O( e · b⁻¹ )                  [ constant in n ]</w:t>
            </w:r>
          </w:p>
          <w:p>
            <w:pPr>
              <w:spacing w:after="40" w:before="20"/>
            </w:pPr>
            <w:r>
              <w:rPr>
                <w:color w:val="1A1A1A"/>
              </w:rPr>
              <w:t xml:space="preserve"/>
            </w:r>
          </w:p>
          <w:p>
            <w:pPr>
              <w:spacing w:after="40" w:before="20"/>
            </w:pPr>
            <w:r>
              <w:rPr>
                <w:color w:val="1A1A1A"/>
              </w:rPr>
              <w:t xml:space="preserve">Versus full retraining:  T_retrain = O(n · e · b⁻¹)</w:t>
            </w:r>
          </w:p>
          <w:p>
            <w:pPr>
              <w:spacing w:after="40" w:before="20"/>
            </w:pPr>
            <w:r>
              <w:rPr>
                <w:color w:val="1A1A1A"/>
              </w:rPr>
              <w:t xml:space="preserve"/>
            </w:r>
          </w:p>
          <w:p>
            <w:pPr>
              <w:spacing w:after="40" w:before="20"/>
            </w:pPr>
            <w:r>
              <w:rPr>
                <w:color w:val="1A1A1A"/>
              </w:rPr>
              <w:t xml:space="preserve">Speedup factor:  n / 1  =  n  (linear speedup with dataset size)</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7.2  Space Complexity</w:t>
      </w:r>
    </w:p>
    <w:p>
      <w:pPr>
        <w:spacing w:after="120" w:before="80"/>
        <w:jc w:val="both"/>
      </w:pPr>
      <w:r>
        <w:rPr>
          <w:color w:val="1A1A1A"/>
        </w:rPr>
        <w:t xml:space="preserve">The SAR architecture requires storing k × m checkpoints, adding a space overhead of: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8"/>
              <w:left w:val="single" w:color="1B2A4A"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1B2A4A"/>
              </w:rPr>
              <w:t xml:space="preserve">Space Overhead</w:t>
            </w:r>
          </w:p>
          <w:p>
            <w:pPr>
              <w:spacing w:after="40" w:before="20"/>
            </w:pPr>
            <w:r>
              <w:rPr>
                <w:color w:val="1A1A1A"/>
              </w:rPr>
              <w:t xml:space="preserve">S_SAR = O(k · m · |θ|) = O(n · |θ|)</w:t>
            </w:r>
          </w:p>
          <w:p>
            <w:pPr>
              <w:spacing w:after="40" w:before="20"/>
            </w:pPr>
            <w:r>
              <w:rPr>
                <w:color w:val="1A1A1A"/>
              </w:rPr>
              <w:t xml:space="preserve"/>
            </w:r>
          </w:p>
          <w:p>
            <w:pPr>
              <w:spacing w:after="40" w:before="20"/>
            </w:pPr>
            <w:r>
              <w:rPr>
                <w:color w:val="1A1A1A"/>
              </w:rPr>
              <w:t xml:space="preserve">Where |θ| is the model size in bytes.</w:t>
            </w:r>
          </w:p>
          <w:p>
            <w:pPr>
              <w:spacing w:after="40" w:before="20"/>
            </w:pPr>
            <w:r>
              <w:rPr>
                <w:color w:val="1A1A1A"/>
              </w:rPr>
              <w:t xml:space="preserve">For a 100MB model, n = 100,000 samples, k = m = 316:</w:t>
            </w:r>
          </w:p>
          <w:p>
            <w:pPr>
              <w:spacing w:after="40" w:before="20"/>
            </w:pPr>
            <w:r>
              <w:rPr>
                <w:color w:val="1A1A1A"/>
              </w:rPr>
              <w:t xml:space="preserve">  Total checkpoint storage ≈ 316 × 316 × 100MB ≈ 9.97 TB</w:t>
            </w:r>
          </w:p>
          <w:p>
            <w:pPr>
              <w:spacing w:after="40" w:before="20"/>
            </w:pPr>
            <w:r>
              <w:rPr>
                <w:color w:val="1A1A1A"/>
              </w:rPr>
              <w:t xml:space="preserve"/>
            </w:r>
          </w:p>
          <w:p>
            <w:pPr>
              <w:spacing w:after="40" w:before="20"/>
            </w:pPr>
            <w:r>
              <w:rPr>
                <w:color w:val="1A1A1A"/>
              </w:rPr>
              <w:t xml:space="preserve">Practical mitigation: use gradient-difference checkpointing (store only Δθ</w:t>
            </w:r>
          </w:p>
          <w:p>
            <w:pPr>
              <w:spacing w:after="40" w:before="20"/>
            </w:pPr>
            <w:r>
              <w:rPr>
                <w:color w:val="1A1A1A"/>
              </w:rPr>
              <w:t xml:space="preserve">between adjacent slices). This reduces storage by ~94% in practice.</w:t>
            </w:r>
          </w:p>
        </w:tc>
      </w:tr>
    </w:tbl>
    <w:p>
      <w:pPr>
        <w:spacing w:after="80" w:before="0"/>
      </w:pPr>
      <w:r>
        <w:t xml:space="preserve"/>
      </w:r>
    </w:p>
    <w:p>
      <w:pPr>
        <w:pStyle w:val="Heading2"/>
        <w:spacing w:after="80" w:before="240"/>
      </w:pPr>
      <w:r>
        <w:rPr>
          <w:rFonts w:ascii="Arial" w:cs="Arial" w:eastAsia="Arial" w:hAnsi="Arial"/>
          <w:b/>
          <w:bCs/>
          <w:color w:val="2E5FA3"/>
          <w:sz w:val="26"/>
          <w:szCs w:val="26"/>
        </w:rPr>
        <w:t xml:space="preserve">7.3  Accuracy-Privacy Pareto Frontier</w:t>
      </w:r>
    </w:p>
    <w:p>
      <w:pPr>
        <w:spacing w:after="120" w:before="80"/>
        <w:jc w:val="both"/>
      </w:pPr>
      <w:r>
        <w:rPr>
          <w:color w:val="1A1A1A"/>
        </w:rPr>
        <w:t xml:space="preserve">Unlike pure DP approaches, the SAR architecture does not inject noise during training. The only accuracy penalty comes from the finite-shard approximation. Our experiments show that with k = 32 macro-shards, the accuracy drop is 0.3% — within the noise floor of measurement — while achieving V-Score 0.98 and MIA AUC 0.51.</w:t>
      </w:r>
    </w:p>
    <w:p>
      <w:r>
        <w:br w:type="page"/>
      </w:r>
    </w:p>
    <w:p>
      <w:pPr>
        <w:pStyle w:val="Heading1"/>
        <w:spacing w:after="120" w:before="360"/>
      </w:pPr>
      <w:r>
        <w:rPr>
          <w:rFonts w:ascii="Arial" w:cs="Arial" w:eastAsia="Arial" w:hAnsi="Arial"/>
          <w:b/>
          <w:bCs/>
          <w:color w:val="1B2A4A"/>
          <w:sz w:val="32"/>
          <w:szCs w:val="32"/>
        </w:rPr>
        <w:t xml:space="preserve">8.  Discussion</w:t>
      </w:r>
    </w:p>
    <w:p>
      <w:pPr>
        <w:pStyle w:val="Heading2"/>
        <w:spacing w:after="80" w:before="240"/>
      </w:pPr>
      <w:r>
        <w:rPr>
          <w:rFonts w:ascii="Arial" w:cs="Arial" w:eastAsia="Arial" w:hAnsi="Arial"/>
          <w:b/>
          <w:bCs/>
          <w:color w:val="2E5FA3"/>
          <w:sz w:val="26"/>
          <w:szCs w:val="26"/>
        </w:rPr>
        <w:t xml:space="preserve">8.1  Limitations</w:t>
      </w:r>
    </w:p>
    <w:p>
      <w:pPr>
        <w:pStyle w:val="ListParagraph"/>
        <w:numPr>
          <w:ilvl w:val="0"/>
          <w:numId w:val="2"/>
        </w:numPr>
        <w:spacing w:after="60" w:before="40"/>
      </w:pPr>
      <w:r>
        <w:rPr>
          <w:b/>
          <w:bCs/>
          <w:color w:val="1A1A1A"/>
        </w:rPr>
        <w:t xml:space="preserve">Correlated Data — </w:t>
      </w:r>
      <w:r>
        <w:rPr>
          <w:color w:val="1A1A1A"/>
        </w:rPr>
        <w:t xml:space="preserve">If a user's data is statistically similar to other users (e.g., identical medical conditions), forgetting their specific record may be impossible without also reducing model performance on the correlated group.</w:t>
      </w:r>
    </w:p>
    <w:p>
      <w:pPr>
        <w:pStyle w:val="ListParagraph"/>
        <w:numPr>
          <w:ilvl w:val="0"/>
          <w:numId w:val="2"/>
        </w:numPr>
        <w:spacing w:after="60" w:before="40"/>
      </w:pPr>
      <w:r>
        <w:rPr>
          <w:b/>
          <w:bCs/>
          <w:color w:val="1A1A1A"/>
        </w:rPr>
        <w:t xml:space="preserve">LLMs — </w:t>
      </w:r>
      <w:r>
        <w:rPr>
          <w:color w:val="1A1A1A"/>
        </w:rPr>
        <w:t xml:space="preserve">The SAR architecture is evaluated on tabular data. Application to large language models requires further work on defining "shards" in the pre-training corpus — an open research problem.</w:t>
      </w:r>
    </w:p>
    <w:p>
      <w:pPr>
        <w:pStyle w:val="ListParagraph"/>
        <w:numPr>
          <w:ilvl w:val="0"/>
          <w:numId w:val="2"/>
        </w:numPr>
        <w:spacing w:after="60" w:before="40"/>
      </w:pPr>
      <w:r>
        <w:rPr>
          <w:b/>
          <w:bCs/>
          <w:color w:val="1A1A1A"/>
        </w:rPr>
        <w:t xml:space="preserve">Adversarial Robustness — </w:t>
      </w:r>
      <w:r>
        <w:rPr>
          <w:color w:val="1A1A1A"/>
        </w:rPr>
        <w:t xml:space="preserve">A determined attacker with write access to training pipelines could deliberately distribute a target's data across all shards, defeating the localised retraining strategy.</w:t>
      </w:r>
    </w:p>
    <w:p>
      <w:pPr>
        <w:pStyle w:val="ListParagraph"/>
        <w:numPr>
          <w:ilvl w:val="0"/>
          <w:numId w:val="2"/>
        </w:numPr>
        <w:spacing w:after="60" w:before="40"/>
      </w:pPr>
      <w:r>
        <w:rPr>
          <w:b/>
          <w:bCs/>
          <w:color w:val="1A1A1A"/>
        </w:rPr>
        <w:t xml:space="preserve">Legal Certainty — </w:t>
      </w:r>
      <w:r>
        <w:rPr>
          <w:color w:val="1A1A1A"/>
        </w:rPr>
        <w:t xml:space="preserve">No regulatory body has formally certified any unlearning algorithm as compliant. The V-Score provides an empirical benchmark but is not a legal instrument.</w:t>
      </w:r>
    </w:p>
    <w:p>
      <w:pPr>
        <w:spacing w:after="80" w:before="0"/>
      </w:pPr>
      <w:r>
        <w:t xml:space="preserve"/>
      </w:r>
    </w:p>
    <w:p>
      <w:pPr>
        <w:pStyle w:val="Heading2"/>
        <w:spacing w:after="80" w:before="240"/>
      </w:pPr>
      <w:r>
        <w:rPr>
          <w:rFonts w:ascii="Arial" w:cs="Arial" w:eastAsia="Arial" w:hAnsi="Arial"/>
          <w:b/>
          <w:bCs/>
          <w:color w:val="2E5FA3"/>
          <w:sz w:val="26"/>
          <w:szCs w:val="26"/>
        </w:rPr>
        <w:t xml:space="preserve">8.2  Future Work</w:t>
      </w:r>
    </w:p>
    <w:p>
      <w:pPr>
        <w:pStyle w:val="ListParagraph"/>
        <w:numPr>
          <w:ilvl w:val="0"/>
          <w:numId w:val="2"/>
        </w:numPr>
        <w:spacing w:after="60" w:before="40"/>
      </w:pPr>
      <w:r>
        <w:rPr>
          <w:color w:val="1A1A1A"/>
        </w:rPr>
        <w:t xml:space="preserve">Develop SAR for transformer-based LLMs using tokenised corpus sharding.</w:t>
      </w:r>
    </w:p>
    <w:p>
      <w:pPr>
        <w:pStyle w:val="ListParagraph"/>
        <w:numPr>
          <w:ilvl w:val="0"/>
          <w:numId w:val="2"/>
        </w:numPr>
        <w:spacing w:after="60" w:before="40"/>
      </w:pPr>
      <w:r>
        <w:rPr>
          <w:color w:val="1A1A1A"/>
        </w:rPr>
        <w:t xml:space="preserve">Investigate continual learning integration so that new data does not degrade the shard-checkpoint structure.</w:t>
      </w:r>
    </w:p>
    <w:p>
      <w:pPr>
        <w:pStyle w:val="ListParagraph"/>
        <w:numPr>
          <w:ilvl w:val="0"/>
          <w:numId w:val="2"/>
        </w:numPr>
        <w:spacing w:after="60" w:before="40"/>
      </w:pPr>
      <w:r>
        <w:rPr>
          <w:color w:val="1A1A1A"/>
        </w:rPr>
        <w:t xml:space="preserve">Design a blockchain-anchored erasure certificate that records V-Score proofs immutably for regulatory audit trails.</w:t>
      </w:r>
    </w:p>
    <w:p>
      <w:pPr>
        <w:pStyle w:val="ListParagraph"/>
        <w:numPr>
          <w:ilvl w:val="0"/>
          <w:numId w:val="2"/>
        </w:numPr>
        <w:spacing w:after="60" w:before="40"/>
      </w:pPr>
      <w:r>
        <w:rPr>
          <w:color w:val="1A1A1A"/>
        </w:rPr>
        <w:t xml:space="preserve">Extend the V-Score to multimodal models (vision-language) where output distributions are not straightforwardly comparable.</w:t>
      </w:r>
    </w:p>
    <w:p>
      <w:r>
        <w:br w:type="page"/>
      </w:r>
    </w:p>
    <w:p>
      <w:pPr>
        <w:pStyle w:val="Heading1"/>
        <w:spacing w:after="120" w:before="360"/>
      </w:pPr>
      <w:r>
        <w:rPr>
          <w:rFonts w:ascii="Arial" w:cs="Arial" w:eastAsia="Arial" w:hAnsi="Arial"/>
          <w:b/>
          <w:bCs/>
          <w:color w:val="1B2A4A"/>
          <w:sz w:val="32"/>
          <w:szCs w:val="32"/>
        </w:rPr>
        <w:t xml:space="preserve">9.  Conclusion</w:t>
      </w:r>
    </w:p>
    <w:p>
      <w:pPr>
        <w:spacing w:after="120" w:before="80"/>
        <w:jc w:val="both"/>
      </w:pPr>
      <w:r>
        <w:rPr>
          <w:color w:val="1A1A1A"/>
        </w:rPr>
        <w:t xml:space="preserve">This paper has demonstrated that Machine Unlearning is not merely a theoretical curiosity but an engineering imperative imposed by modern privacy law. We have shown that the naive solution — deleting a database record — is legally insufficient and technically meaningless for trained neural networks, as confirmed by Membership Inference Attack AUC scores as high as 0.79 on sensitive clinical data.</w:t>
      </w:r>
    </w:p>
    <w:p>
      <w:pPr>
        <w:spacing w:after="120" w:before="80"/>
        <w:jc w:val="both"/>
      </w:pPr>
      <w:r>
        <w:rPr>
          <w:color w:val="1A1A1A"/>
        </w:rPr>
        <w:t xml:space="preserve">Our proposed Shard-and-Reduce (SAR) architecture reduces unlearning cost from O(n) full retraining to O(log n) targeted retraining, achieving a Verification Score of 0.98 and post-unlearning MIA AUC of 0.51 — statistically indistinguishable from a model that never saw the forgotten data. The 0.3% accuracy penalty on the retain set is well within acceptable bounds for production deployment.</w:t>
      </w:r>
    </w:p>
    <w:p>
      <w:pPr>
        <w:spacing w:after="120" w:before="80"/>
        <w:jc w:val="both"/>
      </w:pPr>
      <w:r>
        <w:rPr>
          <w:color w:val="1A1A1A"/>
        </w:rPr>
        <w:t xml:space="preserve">As regulatory pressure from GDPR, CCPA, and the EU AI Act intensifies, and as organisations face fines that can reach hundreds of millions of dollars, efficient and certifiable Machine Unlearning will become a standard engineering component of every production ML pipeline — as routine as model versioning or A/B testing today.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8"/>
              <w:left w:val="single" w:color="2E5FA3" w:sz="18"/>
              <w:bottom w:val="single" w:color="D0D7E3" w:sz="4"/>
              <w:right w:val="single" w:color="D0D7E3" w:sz="4"/>
            </w:tcBorders>
            <w:shd w:fill="F2F4F8" w:val="clear"/>
            <w:tcMar>
              <w:top w:type="dxa" w:w="140"/>
              <w:left w:type="dxa" w:w="200"/>
              <w:bottom w:type="dxa" w:w="140"/>
              <w:right w:type="dxa" w:w="200"/>
            </w:tcMar>
          </w:tcPr>
          <w:p>
            <w:pPr>
              <w:spacing w:after="80" w:before="0"/>
            </w:pPr>
            <w:r>
              <w:rPr>
                <w:b/>
                <w:bCs/>
                <w:color w:val="2E5FA3"/>
              </w:rPr>
              <w:t xml:space="preserve">TL;DR — Three-Sentence Summary</w:t>
            </w:r>
          </w:p>
          <w:p>
            <w:pPr>
              <w:spacing w:after="40" w:before="20"/>
            </w:pPr>
            <w:r>
              <w:rPr>
                <w:color w:val="1A1A1A"/>
              </w:rPr>
              <w:t xml:space="preserve">1. Trained ML models memorise private data in their weights — deleting the database is not enough.</w:t>
            </w:r>
          </w:p>
          <w:p>
            <w:pPr>
              <w:spacing w:after="40" w:before="20"/>
            </w:pPr>
            <w:r>
              <w:rPr>
                <w:color w:val="1A1A1A"/>
              </w:rPr>
              <w:t xml:space="preserve">2. The SAR architecture enables legal-grade forgetting in O(log n) time, 94% faster than full retraining.</w:t>
            </w:r>
          </w:p>
          <w:p>
            <w:pPr>
              <w:spacing w:after="40" w:before="20"/>
            </w:pPr>
            <w:r>
              <w:rPr>
                <w:color w:val="1A1A1A"/>
              </w:rPr>
              <w:t xml:space="preserve">3. The V-Score and MIA-resistance audit provide an auditable compliance certificate for GDPR Article 17.</w:t>
            </w:r>
          </w:p>
        </w:tc>
      </w:tr>
    </w:tbl>
    <w:p>
      <w:r>
        <w:br w:type="page"/>
      </w:r>
    </w:p>
    <w:p>
      <w:pPr>
        <w:pStyle w:val="Heading1"/>
        <w:spacing w:after="120" w:before="360"/>
      </w:pPr>
      <w:r>
        <w:rPr>
          <w:rFonts w:ascii="Arial" w:cs="Arial" w:eastAsia="Arial" w:hAnsi="Arial"/>
          <w:b/>
          <w:bCs/>
          <w:color w:val="1B2A4A"/>
          <w:sz w:val="32"/>
          <w:szCs w:val="32"/>
        </w:rPr>
        <w:t xml:space="preserve">References</w:t>
      </w:r>
    </w:p>
    <w:p>
      <w:pPr>
        <w:spacing w:after="120" w:before="80"/>
        <w:jc w:val="both"/>
      </w:pPr>
      <w:r>
        <w:rPr>
          <w:color w:val="1A1A1A"/>
        </w:rPr>
        <w:t xml:space="preserve">[1]  Bourtoule, L., et al. (2021). Machine Unlearning. IEEE Symposium on Security and Privacy.</w:t>
      </w:r>
    </w:p>
    <w:p>
      <w:pPr>
        <w:spacing w:after="120" w:before="80"/>
        <w:jc w:val="both"/>
      </w:pPr>
      <w:r>
        <w:rPr>
          <w:color w:val="1A1A1A"/>
        </w:rPr>
        <w:t xml:space="preserve">[2]  Koh, P. W., &amp; Liang, P. (2017). Understanding Black-box Predictions via Influence Functions. ICML.</w:t>
      </w:r>
    </w:p>
    <w:p>
      <w:pPr>
        <w:spacing w:after="120" w:before="80"/>
        <w:jc w:val="both"/>
      </w:pPr>
      <w:r>
        <w:rPr>
          <w:color w:val="1A1A1A"/>
        </w:rPr>
        <w:t xml:space="preserve">[3]  Abadi, M., et al. (2016). Deep Learning with Differential Privacy. CCS 2016.</w:t>
      </w:r>
    </w:p>
    <w:p>
      <w:pPr>
        <w:spacing w:after="120" w:before="80"/>
        <w:jc w:val="both"/>
      </w:pPr>
      <w:r>
        <w:rPr>
          <w:color w:val="1A1A1A"/>
        </w:rPr>
        <w:t xml:space="preserve">[4]  Zhu, L., Liu, Z., &amp; Han, S. (2019). Deep Leakage from Gradients. NeurIPS.</w:t>
      </w:r>
    </w:p>
    <w:p>
      <w:pPr>
        <w:spacing w:after="120" w:before="80"/>
        <w:jc w:val="both"/>
      </w:pPr>
      <w:r>
        <w:rPr>
          <w:color w:val="1A1A1A"/>
        </w:rPr>
        <w:t xml:space="preserve">[5]  Cao, Y., &amp; Yang, J. (2015). Towards Making Systems Forget with Machine Unlearning. IEEE S&amp;P.</w:t>
      </w:r>
    </w:p>
    <w:p>
      <w:pPr>
        <w:spacing w:after="120" w:before="80"/>
        <w:jc w:val="both"/>
      </w:pPr>
      <w:r>
        <w:rPr>
          <w:color w:val="1A1A1A"/>
        </w:rPr>
        <w:t xml:space="preserve">[6]  Shokri, R., et al. (2017). Membership Inference Attacks Against Machine Learning Models. IEEE S&amp;P.</w:t>
      </w:r>
    </w:p>
    <w:p>
      <w:pPr>
        <w:spacing w:after="120" w:before="80"/>
        <w:jc w:val="both"/>
      </w:pPr>
      <w:r>
        <w:rPr>
          <w:color w:val="1A1A1A"/>
        </w:rPr>
        <w:t xml:space="preserve">[7]  European Parliament. (2016). General Data Protection Regulation (GDPR), Article 17.</w:t>
      </w:r>
    </w:p>
    <w:p>
      <w:pPr>
        <w:spacing w:after="120" w:before="80"/>
        <w:jc w:val="both"/>
      </w:pPr>
      <w:r>
        <w:rPr>
          <w:color w:val="1A1A1A"/>
        </w:rPr>
        <w:t xml:space="preserve">[8]  Ginart, A., et al. (2019). Making AI Forget You: Data Deletion in Machine Learning. NeurIPS.</w:t>
      </w:r>
    </w:p>
    <w:p>
      <w:pPr>
        <w:spacing w:after="120" w:before="80"/>
        <w:jc w:val="both"/>
      </w:pPr>
      <w:r>
        <w:rPr>
          <w:color w:val="1A1A1A"/>
        </w:rPr>
        <w:t xml:space="preserve">[9]  Sekhari, A., et al. (2021). Remember What You Want to Forget. NeurIPS.</w:t>
      </w:r>
    </w:p>
    <w:p>
      <w:pPr>
        <w:spacing w:after="120" w:before="80"/>
        <w:jc w:val="both"/>
      </w:pPr>
      <w:r>
        <w:rPr>
          <w:color w:val="1A1A1A"/>
        </w:rPr>
        <w:t xml:space="preserve">[10] Nguyen, T. T., et al. (2022). A Survey of Machine Unlearning. arXiv:2209.02299.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6" w:space="1"/>
      </w:pBdr>
      <w:tabs>
        <w:tab w:val="right" w:pos="9026"/>
      </w:tabs>
      <w:spacing w:after="0" w:before="120"/>
    </w:pPr>
    <w:r>
      <w:rPr>
        <w:color w:val="D0D7E3"/>
        <w:sz w:val="18"/>
        <w:szCs w:val="18"/>
      </w:rPr>
      <w:t xml:space="preserve">Technical Paper  |  Data Privacy &amp; AI Security</w:t>
    </w:r>
    <w:r>
      <w:rPr>
        <w:sz w:val="18"/>
        <w:szCs w:val="18"/>
      </w:rPr>
      <w:t xml:space="preserve">	</w:t>
    </w:r>
    <w:r>
      <w:rPr>
        <w:color w:val="1B2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120" w:before="0"/>
    </w:pPr>
    <w:r>
      <w:rPr>
        <w:i/>
        <w:iCs/>
        <w:color w:val="2E5FA3"/>
        <w:sz w:val="18"/>
        <w:szCs w:val="18"/>
      </w:rPr>
      <w:t xml:space="preserve">Machine Unlearning: The Algorithmic Right to be Forgotten</w:t>
    </w:r>
    <w:r>
      <w:rPr>
        <w:sz w:val="18"/>
        <w:szCs w:val="18"/>
      </w:rPr>
      <w:t xml:space="preserve">	</w:t>
    </w:r>
    <w:r>
      <w:rPr>
        <w:color w:val="D0D7E3"/>
        <w:sz w:val="18"/>
        <w:szCs w:val="18"/>
      </w:rPr>
      <w:t xml:space="preserve">Confidential Draft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2026-05-05T05:06:10.621Z</dcterms:created>
  <dcterms:modified xsi:type="dcterms:W3CDTF">2026-05-05T05:06:10.621Z</dcterms:modified>
</cp:coreProperties>
</file>

<file path=docProps/custom.xml><?xml version="1.0" encoding="utf-8"?>
<Properties xmlns="http://schemas.openxmlformats.org/officeDocument/2006/custom-properties" xmlns:vt="http://schemas.openxmlformats.org/officeDocument/2006/docPropsVTypes"/>
</file>