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8BEAB1" w14:textId="77777777" w:rsidR="00815891" w:rsidRPr="00815891" w:rsidRDefault="00815891" w:rsidP="00815891">
      <w:pPr>
        <w:jc w:val="center"/>
        <w:rPr>
          <w:b/>
          <w:bCs/>
          <w:color w:val="FF0000"/>
          <w:sz w:val="48"/>
          <w:szCs w:val="48"/>
        </w:rPr>
      </w:pPr>
      <w:r w:rsidRPr="00815891">
        <w:rPr>
          <w:b/>
          <w:bCs/>
          <w:color w:val="FF0000"/>
          <w:sz w:val="48"/>
          <w:szCs w:val="48"/>
        </w:rPr>
        <w:t>SMILE CDR</w:t>
      </w:r>
    </w:p>
    <w:p w14:paraId="1993188E" w14:textId="2AF44F1E" w:rsidR="003A2E2C" w:rsidRPr="003A2E2C" w:rsidRDefault="003A2E2C" w:rsidP="003A2E2C">
      <w:pPr>
        <w:rPr>
          <w:b/>
          <w:bCs/>
        </w:rPr>
      </w:pPr>
      <w:r w:rsidRPr="003A2E2C">
        <w:rPr>
          <w:b/>
          <w:bCs/>
        </w:rPr>
        <w:t>2.0.1Basic Concepts</w:t>
      </w:r>
    </w:p>
    <w:p w14:paraId="3B21AF9E" w14:textId="77777777" w:rsidR="003A2E2C" w:rsidRPr="003A2E2C" w:rsidRDefault="003A2E2C" w:rsidP="003A2E2C">
      <w:hyperlink r:id="rId5" w:anchor="basic-concepts" w:history="1">
        <w:r w:rsidRPr="003A2E2C">
          <w:rPr>
            <w:rStyle w:val="Hyperlink"/>
          </w:rPr>
          <w:t> </w:t>
        </w:r>
      </w:hyperlink>
    </w:p>
    <w:p w14:paraId="165B0470" w14:textId="77777777" w:rsidR="003A2E2C" w:rsidRPr="003A2E2C" w:rsidRDefault="003A2E2C" w:rsidP="003A2E2C">
      <w:r w:rsidRPr="003A2E2C">
        <w:t>Welcome to Smile CDR! Before getting started, let's spend a few minutes going over the basic concepts of how the software works.</w:t>
      </w:r>
    </w:p>
    <w:p w14:paraId="3CC5ED77" w14:textId="77777777" w:rsidR="003A2E2C" w:rsidRPr="003A2E2C" w:rsidRDefault="003A2E2C" w:rsidP="003A2E2C">
      <w:pPr>
        <w:rPr>
          <w:b/>
          <w:bCs/>
        </w:rPr>
      </w:pPr>
      <w:bookmarkStart w:id="0" w:name="nodes-and-modules"/>
      <w:bookmarkEnd w:id="0"/>
      <w:r w:rsidRPr="003A2E2C">
        <w:rPr>
          <w:b/>
          <w:bCs/>
        </w:rPr>
        <w:t>2.0.2Nodes and Modules</w:t>
      </w:r>
    </w:p>
    <w:p w14:paraId="1033D197" w14:textId="77777777" w:rsidR="003A2E2C" w:rsidRPr="003A2E2C" w:rsidRDefault="003A2E2C" w:rsidP="003A2E2C">
      <w:hyperlink r:id="rId6" w:anchor="nodes-and-modules" w:history="1">
        <w:r w:rsidRPr="003A2E2C">
          <w:rPr>
            <w:rStyle w:val="Hyperlink"/>
          </w:rPr>
          <w:t> </w:t>
        </w:r>
      </w:hyperlink>
    </w:p>
    <w:p w14:paraId="2EFC3BCA" w14:textId="77777777" w:rsidR="003A2E2C" w:rsidRPr="003A2E2C" w:rsidRDefault="003A2E2C" w:rsidP="003A2E2C">
      <w:r w:rsidRPr="003A2E2C">
        <w:t>A Smile CDR deployment is divided into </w:t>
      </w:r>
      <w:r w:rsidRPr="003A2E2C">
        <w:rPr>
          <w:b/>
          <w:bCs/>
        </w:rPr>
        <w:t>nodes</w:t>
      </w:r>
      <w:r w:rsidRPr="003A2E2C">
        <w:t> and </w:t>
      </w:r>
      <w:r w:rsidRPr="003A2E2C">
        <w:rPr>
          <w:b/>
          <w:bCs/>
        </w:rPr>
        <w:t>modules</w:t>
      </w:r>
      <w:r w:rsidRPr="003A2E2C">
        <w:t>.</w:t>
      </w:r>
    </w:p>
    <w:p w14:paraId="1D8E7520" w14:textId="77777777" w:rsidR="003A2E2C" w:rsidRPr="003A2E2C" w:rsidRDefault="003A2E2C" w:rsidP="003A2E2C">
      <w:pPr>
        <w:numPr>
          <w:ilvl w:val="0"/>
          <w:numId w:val="1"/>
        </w:numPr>
      </w:pPr>
      <w:r w:rsidRPr="003A2E2C">
        <w:t>A node is a single server process that runs on a server, and is executing the Smile CDR service (e.g. as a Linux daemon or as a Docker container)</w:t>
      </w:r>
    </w:p>
    <w:p w14:paraId="7D2FFDB3" w14:textId="77777777" w:rsidR="003A2E2C" w:rsidRPr="003A2E2C" w:rsidRDefault="003A2E2C" w:rsidP="003A2E2C">
      <w:pPr>
        <w:numPr>
          <w:ilvl w:val="0"/>
          <w:numId w:val="1"/>
        </w:numPr>
      </w:pPr>
      <w:r w:rsidRPr="003A2E2C">
        <w:t>A module is a Smile CDR software module running within a node that handles a specific piece of functionality</w:t>
      </w:r>
    </w:p>
    <w:p w14:paraId="3524BB42" w14:textId="77777777" w:rsidR="003A2E2C" w:rsidRPr="003A2E2C" w:rsidRDefault="003A2E2C" w:rsidP="003A2E2C">
      <w:r w:rsidRPr="003A2E2C">
        <w:t>Each module in a node has its own configuration, and performs a specific function within the CDR. As an example, the simplest version of a FHIR server built with Smile CDR would consist of several modules, including:</w:t>
      </w:r>
    </w:p>
    <w:p w14:paraId="5D3096EF" w14:textId="77777777" w:rsidR="003A2E2C" w:rsidRPr="003A2E2C" w:rsidRDefault="003A2E2C" w:rsidP="003A2E2C">
      <w:pPr>
        <w:numPr>
          <w:ilvl w:val="0"/>
          <w:numId w:val="2"/>
        </w:numPr>
      </w:pPr>
      <w:r w:rsidRPr="003A2E2C">
        <w:t>A FHIR Listener module – that has been configured to listen on a given port, has TLS/HTTPS settings, security settings, etc.</w:t>
      </w:r>
    </w:p>
    <w:p w14:paraId="2C1B455D" w14:textId="77777777" w:rsidR="003A2E2C" w:rsidRPr="003A2E2C" w:rsidRDefault="003A2E2C" w:rsidP="003A2E2C">
      <w:pPr>
        <w:numPr>
          <w:ilvl w:val="0"/>
          <w:numId w:val="2"/>
        </w:numPr>
      </w:pPr>
      <w:r w:rsidRPr="003A2E2C">
        <w:t>A FHIR Storage module – that has been configured with database settings, that handles saving and retrieving resources, etc.</w:t>
      </w:r>
    </w:p>
    <w:p w14:paraId="2D40C1E6" w14:textId="77777777" w:rsidR="003A2E2C" w:rsidRPr="003A2E2C" w:rsidRDefault="003A2E2C" w:rsidP="003A2E2C">
      <w:pPr>
        <w:numPr>
          <w:ilvl w:val="0"/>
          <w:numId w:val="2"/>
        </w:numPr>
      </w:pPr>
      <w:r w:rsidRPr="003A2E2C">
        <w:t xml:space="preserve">An Inbound Security module – </w:t>
      </w:r>
      <w:proofErr w:type="gramStart"/>
      <w:r w:rsidRPr="003A2E2C">
        <w:t>that handles</w:t>
      </w:r>
      <w:proofErr w:type="gramEnd"/>
      <w:r w:rsidRPr="003A2E2C">
        <w:t xml:space="preserve"> authenticating incoming requests</w:t>
      </w:r>
    </w:p>
    <w:p w14:paraId="285B687A" w14:textId="77777777" w:rsidR="003A2E2C" w:rsidRDefault="003A2E2C" w:rsidP="003A2E2C">
      <w:r w:rsidRPr="003A2E2C">
        <w:t>The following diagram shows a simple example of a server with a single node containing several modules.</w:t>
      </w:r>
    </w:p>
    <w:p w14:paraId="3C5A09C6" w14:textId="6FA17A4E" w:rsidR="0001047F" w:rsidRDefault="0001047F" w:rsidP="003A2E2C">
      <w:r>
        <w:rPr>
          <w:noProof/>
        </w:rPr>
        <w:drawing>
          <wp:inline distT="0" distB="0" distL="0" distR="0" wp14:anchorId="20DE0397" wp14:editId="60A0B4CC">
            <wp:extent cx="4884420" cy="2505075"/>
            <wp:effectExtent l="0" t="0" r="0" b="9525"/>
            <wp:docPr id="199324821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248219" name=""/>
                    <pic:cNvPicPr/>
                  </pic:nvPicPr>
                  <pic:blipFill>
                    <a:blip r:embed="rId7">
                      <a:extLst>
                        <a:ext uri="{96DAC541-7B7A-43D3-8B79-37D633B846F1}">
                          <asvg:svgBlip xmlns:asvg="http://schemas.microsoft.com/office/drawing/2016/SVG/main" r:embed="rId8"/>
                        </a:ext>
                      </a:extLst>
                    </a:blip>
                    <a:stretch>
                      <a:fillRect/>
                    </a:stretch>
                  </pic:blipFill>
                  <pic:spPr>
                    <a:xfrm>
                      <a:off x="0" y="0"/>
                      <a:ext cx="4884420" cy="2505075"/>
                    </a:xfrm>
                    <a:prstGeom prst="rect">
                      <a:avLst/>
                    </a:prstGeom>
                  </pic:spPr>
                </pic:pic>
              </a:graphicData>
            </a:graphic>
          </wp:inline>
        </w:drawing>
      </w:r>
    </w:p>
    <w:p w14:paraId="45649BDC" w14:textId="05505865" w:rsidR="0001047F" w:rsidRPr="003A2E2C" w:rsidRDefault="0001047F" w:rsidP="003A2E2C">
      <w:r>
        <w:rPr>
          <w:noProof/>
        </w:rPr>
        <mc:AlternateContent>
          <mc:Choice Requires="wps">
            <w:drawing>
              <wp:inline distT="0" distB="0" distL="0" distR="0" wp14:anchorId="54A44DC9" wp14:editId="5C495BB7">
                <wp:extent cx="304800" cy="304800"/>
                <wp:effectExtent l="0" t="0" r="0" b="0"/>
                <wp:docPr id="2029762347" name="Rectangle 3" descr="Nodes and Modu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09A381" id="Rectangle 3" o:spid="_x0000_s1026" alt="Nodes and Modul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5C3D494" w14:textId="1F45E11A" w:rsidR="003A2E2C" w:rsidRDefault="003A2E2C" w:rsidP="003A2E2C">
      <w:r w:rsidRPr="003A2E2C">
        <w:lastRenderedPageBreak/>
        <mc:AlternateContent>
          <mc:Choice Requires="wps">
            <w:drawing>
              <wp:inline distT="0" distB="0" distL="0" distR="0" wp14:anchorId="41E56CFE" wp14:editId="7755525E">
                <wp:extent cx="304800" cy="304800"/>
                <wp:effectExtent l="0" t="0" r="0" b="0"/>
                <wp:docPr id="1088557287" name="Rectangle 2" descr="Nodes and Modu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8CAC68" id="Rectangle 2" o:spid="_x0000_s1026" alt="Nodes and Modul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bookmarkStart w:id="1" w:name="the-cluster-manager-module"/>
      <w:bookmarkEnd w:id="1"/>
    </w:p>
    <w:p w14:paraId="3CC1D9BE" w14:textId="77777777" w:rsidR="0001047F" w:rsidRPr="003A2E2C" w:rsidRDefault="0001047F" w:rsidP="003A2E2C"/>
    <w:p w14:paraId="54BF1DD0" w14:textId="77777777" w:rsidR="003A2E2C" w:rsidRPr="003A2E2C" w:rsidRDefault="003A2E2C" w:rsidP="003A2E2C">
      <w:pPr>
        <w:rPr>
          <w:b/>
          <w:bCs/>
        </w:rPr>
      </w:pPr>
      <w:r w:rsidRPr="003A2E2C">
        <w:rPr>
          <w:b/>
          <w:bCs/>
        </w:rPr>
        <w:t>2.0.3The Cluster Manager Module</w:t>
      </w:r>
    </w:p>
    <w:p w14:paraId="42E78B8E" w14:textId="77777777" w:rsidR="003A2E2C" w:rsidRPr="003A2E2C" w:rsidRDefault="003A2E2C" w:rsidP="003A2E2C">
      <w:hyperlink r:id="rId9" w:anchor="the-cluster-manager-module" w:history="1">
        <w:r w:rsidRPr="003A2E2C">
          <w:rPr>
            <w:rStyle w:val="Hyperlink"/>
          </w:rPr>
          <w:t> </w:t>
        </w:r>
      </w:hyperlink>
    </w:p>
    <w:p w14:paraId="50278499" w14:textId="77777777" w:rsidR="0001047F" w:rsidRDefault="003A2E2C" w:rsidP="003A2E2C">
      <w:r w:rsidRPr="003A2E2C">
        <w:t>Every node has at least one module: the </w:t>
      </w:r>
      <w:r w:rsidRPr="003A2E2C">
        <w:rPr>
          <w:b/>
          <w:bCs/>
        </w:rPr>
        <w:t>cluster manager</w:t>
      </w:r>
      <w:r w:rsidRPr="003A2E2C">
        <w:t xml:space="preserve">. The cluster manager module is present even if you only have a single node (non-clustered deployment). </w:t>
      </w:r>
    </w:p>
    <w:p w14:paraId="47E19C01" w14:textId="73CB0FBC" w:rsidR="003A2E2C" w:rsidRDefault="003A2E2C" w:rsidP="0001047F">
      <w:pPr>
        <w:pStyle w:val="ListParagraph"/>
        <w:numPr>
          <w:ilvl w:val="0"/>
          <w:numId w:val="4"/>
        </w:numPr>
      </w:pPr>
      <w:r w:rsidRPr="003A2E2C">
        <w:t>It handles most of the basic bootstrap functionality of the system, including loading and saving module configuration, starting and stopping other modules, performance metrics tracking, health checks, etc.</w:t>
      </w:r>
    </w:p>
    <w:p w14:paraId="5DDB5310" w14:textId="77777777" w:rsidR="0001047F" w:rsidRPr="003A2E2C" w:rsidRDefault="0001047F" w:rsidP="0001047F">
      <w:pPr>
        <w:pStyle w:val="ListParagraph"/>
      </w:pPr>
    </w:p>
    <w:p w14:paraId="352AAEE7" w14:textId="77777777" w:rsidR="003A2E2C" w:rsidRPr="003A2E2C" w:rsidRDefault="003A2E2C" w:rsidP="003A2E2C">
      <w:pPr>
        <w:rPr>
          <w:b/>
          <w:bCs/>
        </w:rPr>
      </w:pPr>
      <w:bookmarkStart w:id="2" w:name="module-dependencies"/>
      <w:bookmarkEnd w:id="2"/>
      <w:r w:rsidRPr="003A2E2C">
        <w:rPr>
          <w:b/>
          <w:bCs/>
        </w:rPr>
        <w:t>2.0.4Module Dependencies</w:t>
      </w:r>
    </w:p>
    <w:p w14:paraId="418493E8" w14:textId="77777777" w:rsidR="003A2E2C" w:rsidRPr="003A2E2C" w:rsidRDefault="003A2E2C" w:rsidP="003A2E2C">
      <w:hyperlink r:id="rId10" w:anchor="module-dependencies" w:history="1">
        <w:r w:rsidRPr="003A2E2C">
          <w:rPr>
            <w:rStyle w:val="Hyperlink"/>
          </w:rPr>
          <w:t> </w:t>
        </w:r>
      </w:hyperlink>
    </w:p>
    <w:p w14:paraId="162B09C5" w14:textId="77777777" w:rsidR="003A2E2C" w:rsidRPr="003A2E2C" w:rsidRDefault="003A2E2C" w:rsidP="003A2E2C">
      <w:r w:rsidRPr="003A2E2C">
        <w:t>Within a node, a module can depend on other modules for functionality it needs. For example, the FHIR Listener module – that exposes an HTTP REST endpoint to which clients can connect – needs:</w:t>
      </w:r>
    </w:p>
    <w:p w14:paraId="0C227FEB" w14:textId="77777777" w:rsidR="003A2E2C" w:rsidRPr="003A2E2C" w:rsidRDefault="003A2E2C" w:rsidP="003A2E2C">
      <w:pPr>
        <w:numPr>
          <w:ilvl w:val="0"/>
          <w:numId w:val="3"/>
        </w:numPr>
      </w:pPr>
      <w:r w:rsidRPr="003A2E2C">
        <w:t>A FHIR Storage module – that has been configured with database settings, that handles saving and retrieving resources, etc.</w:t>
      </w:r>
    </w:p>
    <w:p w14:paraId="22921A70" w14:textId="77777777" w:rsidR="003A2E2C" w:rsidRPr="003A2E2C" w:rsidRDefault="003A2E2C" w:rsidP="003A2E2C">
      <w:pPr>
        <w:numPr>
          <w:ilvl w:val="0"/>
          <w:numId w:val="3"/>
        </w:numPr>
      </w:pPr>
      <w:r w:rsidRPr="003A2E2C">
        <w:t xml:space="preserve">An Inbound Security module – </w:t>
      </w:r>
      <w:proofErr w:type="gramStart"/>
      <w:r w:rsidRPr="003A2E2C">
        <w:t>that handles</w:t>
      </w:r>
      <w:proofErr w:type="gramEnd"/>
      <w:r w:rsidRPr="003A2E2C">
        <w:t xml:space="preserve"> authenticating incoming requests</w:t>
      </w:r>
    </w:p>
    <w:p w14:paraId="5A0CF9C7" w14:textId="77777777" w:rsidR="003A2E2C" w:rsidRPr="003A2E2C" w:rsidRDefault="003A2E2C" w:rsidP="003A2E2C">
      <w:r w:rsidRPr="003A2E2C">
        <w:t>There are different types of modules that can satisfy dependencies between modules. For example, the required Inbound security module might be a Local Inbound Security module, which is a security module that saves user accounts in Smile CDR's own database (including salted password hashes) so that users can be authenticated without needing to connect to an external user database. On the other hand, it could also be an LDAP Inbound Security module, which delegates password checks to an external LDAP directory.</w:t>
      </w:r>
    </w:p>
    <w:p w14:paraId="016B3D7B" w14:textId="77777777" w:rsidR="00A00237" w:rsidRDefault="00A00237"/>
    <w:p w14:paraId="7CE62E2C" w14:textId="77777777" w:rsidR="00815891" w:rsidRDefault="00815891"/>
    <w:p w14:paraId="2BF9FD2C" w14:textId="77777777" w:rsidR="00815891" w:rsidRPr="00815891" w:rsidRDefault="00815891" w:rsidP="00815891">
      <w:pPr>
        <w:rPr>
          <w:b/>
          <w:bCs/>
        </w:rPr>
      </w:pPr>
      <w:r w:rsidRPr="00815891">
        <w:rPr>
          <w:b/>
          <w:bCs/>
        </w:rPr>
        <w:t>Platform Requirements</w:t>
      </w:r>
    </w:p>
    <w:p w14:paraId="30725355" w14:textId="77777777" w:rsidR="00815891" w:rsidRPr="00815891" w:rsidRDefault="00815891" w:rsidP="00815891">
      <w:hyperlink r:id="rId11" w:anchor="platform-requirements" w:history="1">
        <w:r w:rsidRPr="00815891">
          <w:rPr>
            <w:rStyle w:val="Hyperlink"/>
          </w:rPr>
          <w:t> </w:t>
        </w:r>
      </w:hyperlink>
    </w:p>
    <w:p w14:paraId="2CF3AF42" w14:textId="77777777" w:rsidR="00815891" w:rsidRPr="00815891" w:rsidRDefault="00815891" w:rsidP="00815891">
      <w:r w:rsidRPr="00815891">
        <w:t>This page lists requirements for installing Smile CDR. This applies only to self-hosted versions of Smile CDR. If you are using a cloud-hosted version then this page does not apply.</w:t>
      </w:r>
    </w:p>
    <w:p w14:paraId="1B97467A" w14:textId="77777777" w:rsidR="00815891" w:rsidRPr="00815891" w:rsidRDefault="00815891" w:rsidP="00815891">
      <w:r w:rsidRPr="00815891">
        <w:t>Note that these are the requirements that are known to work with Smile CDR. If you have other requirements in mind, they may work as well. Please </w:t>
      </w:r>
      <w:hyperlink r:id="rId12" w:tgtFrame="_blank" w:history="1">
        <w:r w:rsidRPr="00815891">
          <w:rPr>
            <w:rStyle w:val="Hyperlink"/>
          </w:rPr>
          <w:t>contact us</w:t>
        </w:r>
      </w:hyperlink>
      <w:r w:rsidRPr="00815891">
        <w:t> to discuss other options.</w:t>
      </w:r>
    </w:p>
    <w:p w14:paraId="15778573" w14:textId="77777777" w:rsidR="00815891" w:rsidRPr="00815891" w:rsidRDefault="00815891" w:rsidP="00815891">
      <w:pPr>
        <w:rPr>
          <w:b/>
          <w:bCs/>
        </w:rPr>
      </w:pPr>
      <w:bookmarkStart w:id="3" w:name="server-requirements"/>
      <w:bookmarkEnd w:id="3"/>
      <w:r w:rsidRPr="00815891">
        <w:rPr>
          <w:b/>
          <w:bCs/>
        </w:rPr>
        <w:t>2.1.2Server Requirements</w:t>
      </w:r>
    </w:p>
    <w:p w14:paraId="25473910" w14:textId="77777777" w:rsidR="00815891" w:rsidRPr="00815891" w:rsidRDefault="00815891" w:rsidP="00815891">
      <w:hyperlink r:id="rId13" w:anchor="server-requirements" w:history="1">
        <w:r w:rsidRPr="00815891">
          <w:rPr>
            <w:rStyle w:val="Hyperlink"/>
          </w:rPr>
          <w:t> </w:t>
        </w:r>
      </w:hyperlink>
    </w:p>
    <w:p w14:paraId="3864DBB4" w14:textId="77777777" w:rsidR="00815891" w:rsidRPr="00815891" w:rsidRDefault="00815891" w:rsidP="00815891">
      <w:r w:rsidRPr="00815891">
        <w:t>The following list defines the minimum server requirements for a server hosting Smile CDR. Smile CDR may be configured in a 1-node cluster if high availability is not needed, but 2+ nodes are recommended for better reliability.</w:t>
      </w:r>
    </w:p>
    <w:p w14:paraId="104D4769" w14:textId="77777777" w:rsidR="00815891" w:rsidRPr="00815891" w:rsidRDefault="00815891" w:rsidP="00815891">
      <w:pPr>
        <w:numPr>
          <w:ilvl w:val="0"/>
          <w:numId w:val="5"/>
        </w:numPr>
      </w:pPr>
      <w:r w:rsidRPr="00815891">
        <w:rPr>
          <w:b/>
          <w:bCs/>
        </w:rPr>
        <w:lastRenderedPageBreak/>
        <w:t>Environment</w:t>
      </w:r>
      <w:r w:rsidRPr="00815891">
        <w:t>: Smile CDR may be installed to physical or virtual servers, or to </w:t>
      </w:r>
      <w:hyperlink r:id="rId14" w:tgtFrame="_blank" w:history="1">
        <w:r w:rsidRPr="00815891">
          <w:rPr>
            <w:rStyle w:val="Hyperlink"/>
          </w:rPr>
          <w:t>Docker</w:t>
        </w:r>
      </w:hyperlink>
      <w:r w:rsidRPr="00815891">
        <w:t> containers.</w:t>
      </w:r>
    </w:p>
    <w:p w14:paraId="7FB93167" w14:textId="77777777" w:rsidR="00815891" w:rsidRPr="00815891" w:rsidRDefault="00815891" w:rsidP="00815891">
      <w:pPr>
        <w:numPr>
          <w:ilvl w:val="0"/>
          <w:numId w:val="5"/>
        </w:numPr>
      </w:pPr>
      <w:r w:rsidRPr="00815891">
        <w:rPr>
          <w:b/>
          <w:bCs/>
        </w:rPr>
        <w:t>CPU</w:t>
      </w:r>
      <w:r w:rsidRPr="00815891">
        <w:t>: A 2-core X86-64 CPU (required); 4-core X86-64 CPU (recommended).</w:t>
      </w:r>
    </w:p>
    <w:p w14:paraId="7EA92756" w14:textId="77777777" w:rsidR="00815891" w:rsidRPr="00815891" w:rsidRDefault="00815891" w:rsidP="00815891">
      <w:pPr>
        <w:numPr>
          <w:ilvl w:val="0"/>
          <w:numId w:val="5"/>
        </w:numPr>
      </w:pPr>
      <w:r w:rsidRPr="00815891">
        <w:rPr>
          <w:b/>
          <w:bCs/>
        </w:rPr>
        <w:t>Memory</w:t>
      </w:r>
      <w:r w:rsidRPr="00815891">
        <w:t>: At least 4 GB of available RAM is recommended.</w:t>
      </w:r>
    </w:p>
    <w:p w14:paraId="3A57163D" w14:textId="77777777" w:rsidR="00815891" w:rsidRPr="00815891" w:rsidRDefault="00815891" w:rsidP="00815891">
      <w:pPr>
        <w:numPr>
          <w:ilvl w:val="0"/>
          <w:numId w:val="5"/>
        </w:numPr>
      </w:pPr>
      <w:r w:rsidRPr="00815891">
        <w:rPr>
          <w:b/>
          <w:bCs/>
        </w:rPr>
        <w:t>Operating System</w:t>
      </w:r>
      <w:r w:rsidRPr="00815891">
        <w:t>: Deployment on GNU Linux is recommended. Ubuntu and RHEL/CentOS are both known to work, but other distributions are likely also fine. We do not currently support running Smile CDR on the Microsoft Windows operating system.</w:t>
      </w:r>
    </w:p>
    <w:p w14:paraId="39FCEFB6" w14:textId="77777777" w:rsidR="00815891" w:rsidRPr="00815891" w:rsidRDefault="00815891" w:rsidP="00815891">
      <w:pPr>
        <w:numPr>
          <w:ilvl w:val="0"/>
          <w:numId w:val="5"/>
        </w:numPr>
      </w:pPr>
      <w:r w:rsidRPr="00815891">
        <w:rPr>
          <w:b/>
          <w:bCs/>
        </w:rPr>
        <w:t>Disk Space</w:t>
      </w:r>
      <w:r w:rsidRPr="00815891">
        <w:t>: Smile CDR requires an environment with at least 10 GB of free disk space. Note that large installations may require significantly more.</w:t>
      </w:r>
    </w:p>
    <w:p w14:paraId="3784F2E2" w14:textId="77777777" w:rsidR="00815891" w:rsidRPr="00815891" w:rsidRDefault="00815891" w:rsidP="00815891">
      <w:pPr>
        <w:numPr>
          <w:ilvl w:val="0"/>
          <w:numId w:val="5"/>
        </w:numPr>
      </w:pPr>
      <w:r w:rsidRPr="00815891">
        <w:rPr>
          <w:b/>
          <w:bCs/>
        </w:rPr>
        <w:t>Database</w:t>
      </w:r>
      <w:r w:rsidRPr="00815891">
        <w:t>: Smile CDR can be used with any of the database platforms listed </w:t>
      </w:r>
      <w:hyperlink r:id="rId15" w:anchor="database-requirements" w:history="1">
        <w:r w:rsidRPr="00815891">
          <w:rPr>
            <w:rStyle w:val="Hyperlink"/>
          </w:rPr>
          <w:t>below</w:t>
        </w:r>
      </w:hyperlink>
      <w:r w:rsidRPr="00815891">
        <w:t>.</w:t>
      </w:r>
    </w:p>
    <w:p w14:paraId="026692CF" w14:textId="77777777" w:rsidR="00815891" w:rsidRPr="00815891" w:rsidRDefault="00815891" w:rsidP="00815891">
      <w:pPr>
        <w:rPr>
          <w:b/>
          <w:bCs/>
        </w:rPr>
      </w:pPr>
      <w:bookmarkStart w:id="4" w:name="java-requirements"/>
      <w:bookmarkEnd w:id="4"/>
      <w:r w:rsidRPr="00815891">
        <w:rPr>
          <w:b/>
          <w:bCs/>
        </w:rPr>
        <w:t>2.1.3Java Requirements</w:t>
      </w:r>
    </w:p>
    <w:p w14:paraId="341AC659" w14:textId="77777777" w:rsidR="00815891" w:rsidRPr="00815891" w:rsidRDefault="00815891" w:rsidP="00815891">
      <w:hyperlink r:id="rId16" w:anchor="java-requirements" w:history="1">
        <w:r w:rsidRPr="00815891">
          <w:rPr>
            <w:rStyle w:val="Hyperlink"/>
          </w:rPr>
          <w:t> </w:t>
        </w:r>
      </w:hyperlink>
    </w:p>
    <w:p w14:paraId="02381230" w14:textId="77777777" w:rsidR="00815891" w:rsidRPr="00815891" w:rsidRDefault="00815891" w:rsidP="00815891">
      <w:r w:rsidRPr="00815891">
        <w:t>Smile CDR is a Java application and requires a Java Virtual Machine (JVM) or Java Development Kit (JDK) installed. This is not required when using the Docker distribution of Smile CDR, since that distribution includes a JDK.</w:t>
      </w:r>
    </w:p>
    <w:p w14:paraId="3C1E7B5A" w14:textId="77777777" w:rsidR="00815891" w:rsidRPr="00815891" w:rsidRDefault="00815891" w:rsidP="00815891">
      <w:r w:rsidRPr="00815891">
        <w:t>Smile CDR is supported for use against one of the following distributions of Java:</w:t>
      </w:r>
    </w:p>
    <w:p w14:paraId="786F0336" w14:textId="77777777" w:rsidR="00815891" w:rsidRPr="00815891" w:rsidRDefault="00815891" w:rsidP="00815891">
      <w:pPr>
        <w:numPr>
          <w:ilvl w:val="0"/>
          <w:numId w:val="6"/>
        </w:numPr>
      </w:pPr>
      <w:r w:rsidRPr="00815891">
        <w:t>OpenJDK 21.0.1+ </w:t>
      </w:r>
      <w:r w:rsidRPr="00815891">
        <w:rPr>
          <w:b/>
          <w:bCs/>
        </w:rPr>
        <w:t>(Supported)</w:t>
      </w:r>
    </w:p>
    <w:p w14:paraId="55DB2574" w14:textId="77777777" w:rsidR="00815891" w:rsidRPr="00815891" w:rsidRDefault="00815891" w:rsidP="00815891">
      <w:pPr>
        <w:numPr>
          <w:ilvl w:val="0"/>
          <w:numId w:val="6"/>
        </w:numPr>
      </w:pPr>
      <w:r w:rsidRPr="00815891">
        <w:t>OpenJDK 17.0.1+ </w:t>
      </w:r>
      <w:r w:rsidRPr="00815891">
        <w:rPr>
          <w:b/>
          <w:bCs/>
        </w:rPr>
        <w:t>(Supported)</w:t>
      </w:r>
    </w:p>
    <w:p w14:paraId="5338B047" w14:textId="77777777" w:rsidR="00815891" w:rsidRPr="00815891" w:rsidRDefault="00815891" w:rsidP="00815891">
      <w:r w:rsidRPr="00815891">
        <w:t xml:space="preserve">Smile CDR will run against a simple JRE (compiler tools are not required in order to use Smile CDR) but the JDK comes with many tools which can be useful for troubleshooting issues (e.g. </w:t>
      </w:r>
      <w:proofErr w:type="spellStart"/>
      <w:r w:rsidRPr="00815891">
        <w:t>jstack</w:t>
      </w:r>
      <w:proofErr w:type="spellEnd"/>
      <w:r w:rsidRPr="00815891">
        <w:t xml:space="preserve">, </w:t>
      </w:r>
      <w:proofErr w:type="spellStart"/>
      <w:r w:rsidRPr="00815891">
        <w:t>jmap</w:t>
      </w:r>
      <w:proofErr w:type="spellEnd"/>
      <w:r w:rsidRPr="00815891">
        <w:t>, etc.)</w:t>
      </w:r>
    </w:p>
    <w:p w14:paraId="40CF652A" w14:textId="77777777" w:rsidR="00815891" w:rsidRPr="00815891" w:rsidRDefault="00815891" w:rsidP="00815891">
      <w:pPr>
        <w:rPr>
          <w:b/>
          <w:bCs/>
        </w:rPr>
      </w:pPr>
      <w:bookmarkStart w:id="5" w:name="openjdk-distributions"/>
      <w:r w:rsidRPr="00815891">
        <w:rPr>
          <w:b/>
          <w:bCs/>
        </w:rPr>
        <w:t>2.1.3.1OpenJDK Distributions</w:t>
      </w:r>
      <w:bookmarkEnd w:id="5"/>
    </w:p>
    <w:p w14:paraId="6F68E022" w14:textId="77777777" w:rsidR="00815891" w:rsidRPr="00815891" w:rsidRDefault="00815891" w:rsidP="00815891">
      <w:r w:rsidRPr="00815891">
        <w:t xml:space="preserve">There are many available distributions of the Java Virtual Machine (JVM) and Java Development Kit (JDK). These include </w:t>
      </w:r>
      <w:proofErr w:type="spellStart"/>
      <w:r w:rsidRPr="00815891">
        <w:t>AdoptOpenJDK</w:t>
      </w:r>
      <w:proofErr w:type="spellEnd"/>
      <w:r w:rsidRPr="00815891">
        <w:t xml:space="preserve">, Azul Zulu, Amazon </w:t>
      </w:r>
      <w:proofErr w:type="spellStart"/>
      <w:r w:rsidRPr="00815891">
        <w:t>Corretto</w:t>
      </w:r>
      <w:proofErr w:type="spellEnd"/>
      <w:r w:rsidRPr="00815891">
        <w:t>, and RedHat OpenJDK. These distributions are all based on the same core OpenJDK codebase, but each vendor may add additional patches and fixes.</w:t>
      </w:r>
    </w:p>
    <w:p w14:paraId="256B7D6D" w14:textId="77777777" w:rsidR="00815891" w:rsidRPr="00815891" w:rsidRDefault="00815891" w:rsidP="00815891">
      <w:r w:rsidRPr="00815891">
        <w:t>We recommend the </w:t>
      </w:r>
      <w:hyperlink r:id="rId17" w:tgtFrame="_blank" w:history="1">
        <w:r w:rsidRPr="00815891">
          <w:rPr>
            <w:rStyle w:val="Hyperlink"/>
          </w:rPr>
          <w:t xml:space="preserve">Amazon </w:t>
        </w:r>
        <w:proofErr w:type="spellStart"/>
        <w:r w:rsidRPr="00815891">
          <w:rPr>
            <w:rStyle w:val="Hyperlink"/>
          </w:rPr>
          <w:t>Corretto</w:t>
        </w:r>
        <w:proofErr w:type="spellEnd"/>
      </w:hyperlink>
      <w:r w:rsidRPr="00815891">
        <w:t> JDK.</w:t>
      </w:r>
    </w:p>
    <w:p w14:paraId="27B788DA" w14:textId="77777777" w:rsidR="00815891" w:rsidRPr="00815891" w:rsidRDefault="00815891" w:rsidP="00815891">
      <w:pPr>
        <w:rPr>
          <w:b/>
          <w:bCs/>
        </w:rPr>
      </w:pPr>
      <w:bookmarkStart w:id="6" w:name="non-openjdk-distributions"/>
      <w:r w:rsidRPr="00815891">
        <w:rPr>
          <w:b/>
          <w:bCs/>
        </w:rPr>
        <w:t>2.1.3.2Non-OpenJDK Distributions</w:t>
      </w:r>
      <w:bookmarkEnd w:id="6"/>
    </w:p>
    <w:p w14:paraId="4709ED42" w14:textId="77777777" w:rsidR="00815891" w:rsidRPr="00815891" w:rsidRDefault="00815891" w:rsidP="00815891">
      <w:r w:rsidRPr="00815891">
        <w:t>Smile CDR may also work correctly against non-OpenJDK distributions of Java (e.g. IBM J9 JDK) but these are not well-tested and are not recommended.</w:t>
      </w:r>
    </w:p>
    <w:p w14:paraId="62DFE38D" w14:textId="77777777" w:rsidR="00815891" w:rsidRPr="00815891" w:rsidRDefault="00815891" w:rsidP="00815891">
      <w:pPr>
        <w:rPr>
          <w:b/>
          <w:bCs/>
        </w:rPr>
      </w:pPr>
      <w:bookmarkStart w:id="7" w:name="forcing-an-unsupported-jdk"/>
      <w:r w:rsidRPr="00815891">
        <w:rPr>
          <w:b/>
          <w:bCs/>
        </w:rPr>
        <w:t>2.1.3.3Forcing an Unsupported JDK</w:t>
      </w:r>
      <w:bookmarkEnd w:id="7"/>
    </w:p>
    <w:p w14:paraId="42298B9D" w14:textId="77777777" w:rsidR="00815891" w:rsidRPr="00815891" w:rsidRDefault="00815891" w:rsidP="00815891">
      <w:r w:rsidRPr="00815891">
        <w:t>You can skip the Smile CDR minimum Java version check by adding the argument -</w:t>
      </w:r>
      <w:proofErr w:type="spellStart"/>
      <w:r w:rsidRPr="00815891">
        <w:t>Dskipjavaversioncheck</w:t>
      </w:r>
      <w:proofErr w:type="spellEnd"/>
      <w:r w:rsidRPr="00815891">
        <w:t>=true to your </w:t>
      </w:r>
      <w:proofErr w:type="spellStart"/>
      <w:r w:rsidRPr="00815891">
        <w:t>setenv</w:t>
      </w:r>
      <w:proofErr w:type="spellEnd"/>
      <w:r w:rsidRPr="00815891">
        <w:t> file.</w:t>
      </w:r>
    </w:p>
    <w:p w14:paraId="4EDDD562" w14:textId="77777777" w:rsidR="00815891" w:rsidRPr="00815891" w:rsidRDefault="00815891" w:rsidP="00815891">
      <w:pPr>
        <w:rPr>
          <w:b/>
          <w:bCs/>
        </w:rPr>
      </w:pPr>
      <w:bookmarkStart w:id="8" w:name="previous-supported-versions"/>
      <w:r w:rsidRPr="00815891">
        <w:rPr>
          <w:b/>
          <w:bCs/>
        </w:rPr>
        <w:t>2.1.3.4Previous supported versions</w:t>
      </w:r>
      <w:bookmarkEnd w:id="8"/>
    </w:p>
    <w:tbl>
      <w:tblPr>
        <w:tblW w:w="11586" w:type="dxa"/>
        <w:tblCellMar>
          <w:top w:w="15" w:type="dxa"/>
          <w:left w:w="15" w:type="dxa"/>
          <w:bottom w:w="15" w:type="dxa"/>
          <w:right w:w="15" w:type="dxa"/>
        </w:tblCellMar>
        <w:tblLook w:val="04A0" w:firstRow="1" w:lastRow="0" w:firstColumn="1" w:lastColumn="0" w:noHBand="0" w:noVBand="1"/>
      </w:tblPr>
      <w:tblGrid>
        <w:gridCol w:w="8202"/>
        <w:gridCol w:w="3384"/>
      </w:tblGrid>
      <w:tr w:rsidR="00815891" w:rsidRPr="00815891" w14:paraId="6F4DBE96" w14:textId="77777777" w:rsidTr="00815891">
        <w:trPr>
          <w:tblHeader/>
        </w:trPr>
        <w:tc>
          <w:tcPr>
            <w:tcW w:w="0" w:type="auto"/>
            <w:tcBorders>
              <w:top w:val="single" w:sz="6" w:space="0" w:color="DEE2E6"/>
              <w:bottom w:val="single" w:sz="12" w:space="0" w:color="DEE2E6"/>
            </w:tcBorders>
            <w:vAlign w:val="bottom"/>
            <w:hideMark/>
          </w:tcPr>
          <w:p w14:paraId="2F4FF827" w14:textId="77777777" w:rsidR="00815891" w:rsidRPr="00815891" w:rsidRDefault="00815891" w:rsidP="00815891">
            <w:pPr>
              <w:rPr>
                <w:b/>
                <w:bCs/>
              </w:rPr>
            </w:pPr>
            <w:r w:rsidRPr="00815891">
              <w:rPr>
                <w:b/>
                <w:bCs/>
              </w:rPr>
              <w:lastRenderedPageBreak/>
              <w:t>Supported Java Versions</w:t>
            </w:r>
          </w:p>
        </w:tc>
        <w:tc>
          <w:tcPr>
            <w:tcW w:w="0" w:type="auto"/>
            <w:tcBorders>
              <w:top w:val="single" w:sz="6" w:space="0" w:color="DEE2E6"/>
              <w:bottom w:val="single" w:sz="12" w:space="0" w:color="DEE2E6"/>
            </w:tcBorders>
            <w:vAlign w:val="bottom"/>
            <w:hideMark/>
          </w:tcPr>
          <w:p w14:paraId="29EFCB0F" w14:textId="77777777" w:rsidR="00815891" w:rsidRPr="00815891" w:rsidRDefault="00815891" w:rsidP="00815891">
            <w:pPr>
              <w:rPr>
                <w:b/>
                <w:bCs/>
              </w:rPr>
            </w:pPr>
            <w:r w:rsidRPr="00815891">
              <w:rPr>
                <w:b/>
                <w:bCs/>
              </w:rPr>
              <w:t>Smile Version</w:t>
            </w:r>
          </w:p>
        </w:tc>
      </w:tr>
      <w:tr w:rsidR="00815891" w:rsidRPr="00815891" w14:paraId="256DAF5F" w14:textId="77777777" w:rsidTr="00815891">
        <w:tc>
          <w:tcPr>
            <w:tcW w:w="0" w:type="auto"/>
            <w:tcBorders>
              <w:top w:val="single" w:sz="6" w:space="0" w:color="DEE2E6"/>
            </w:tcBorders>
            <w:hideMark/>
          </w:tcPr>
          <w:p w14:paraId="14956CEB" w14:textId="77777777" w:rsidR="00815891" w:rsidRPr="00815891" w:rsidRDefault="00815891" w:rsidP="00815891">
            <w:r w:rsidRPr="00815891">
              <w:t>21.0.1+ / 17.0.1+</w:t>
            </w:r>
          </w:p>
        </w:tc>
        <w:tc>
          <w:tcPr>
            <w:tcW w:w="0" w:type="auto"/>
            <w:tcBorders>
              <w:top w:val="single" w:sz="6" w:space="0" w:color="DEE2E6"/>
            </w:tcBorders>
            <w:hideMark/>
          </w:tcPr>
          <w:p w14:paraId="4380208E" w14:textId="77777777" w:rsidR="00815891" w:rsidRPr="00815891" w:rsidRDefault="00815891" w:rsidP="00815891">
            <w:r w:rsidRPr="00815891">
              <w:t>2024.02 - Later</w:t>
            </w:r>
          </w:p>
        </w:tc>
      </w:tr>
      <w:tr w:rsidR="00815891" w:rsidRPr="00815891" w14:paraId="3E6EA9DD" w14:textId="77777777" w:rsidTr="00815891">
        <w:tc>
          <w:tcPr>
            <w:tcW w:w="0" w:type="auto"/>
            <w:tcBorders>
              <w:top w:val="single" w:sz="6" w:space="0" w:color="DEE2E6"/>
            </w:tcBorders>
            <w:hideMark/>
          </w:tcPr>
          <w:p w14:paraId="7BED836F" w14:textId="77777777" w:rsidR="00815891" w:rsidRPr="00815891" w:rsidRDefault="00815891" w:rsidP="00815891">
            <w:r w:rsidRPr="00815891">
              <w:t>17.0.1+ / 11.0.1+</w:t>
            </w:r>
          </w:p>
        </w:tc>
        <w:tc>
          <w:tcPr>
            <w:tcW w:w="0" w:type="auto"/>
            <w:tcBorders>
              <w:top w:val="single" w:sz="6" w:space="0" w:color="DEE2E6"/>
            </w:tcBorders>
            <w:hideMark/>
          </w:tcPr>
          <w:p w14:paraId="61D834CE" w14:textId="77777777" w:rsidR="00815891" w:rsidRPr="00815891" w:rsidRDefault="00815891" w:rsidP="00815891">
            <w:r w:rsidRPr="00815891">
              <w:t>2022.05 - 2023.11</w:t>
            </w:r>
          </w:p>
        </w:tc>
      </w:tr>
      <w:tr w:rsidR="00815891" w:rsidRPr="00815891" w14:paraId="7BCB96AA" w14:textId="77777777" w:rsidTr="00815891">
        <w:tc>
          <w:tcPr>
            <w:tcW w:w="0" w:type="auto"/>
            <w:tcBorders>
              <w:top w:val="single" w:sz="6" w:space="0" w:color="DEE2E6"/>
            </w:tcBorders>
            <w:hideMark/>
          </w:tcPr>
          <w:p w14:paraId="367753C2" w14:textId="77777777" w:rsidR="00815891" w:rsidRPr="00815891" w:rsidRDefault="00815891" w:rsidP="00815891">
            <w:r w:rsidRPr="00815891">
              <w:t>17.0.1+ / 16.0.1+ / 11.0.1+ / 10.0.1+ / 1.8.0+</w:t>
            </w:r>
          </w:p>
        </w:tc>
        <w:tc>
          <w:tcPr>
            <w:tcW w:w="0" w:type="auto"/>
            <w:tcBorders>
              <w:top w:val="single" w:sz="6" w:space="0" w:color="DEE2E6"/>
            </w:tcBorders>
            <w:hideMark/>
          </w:tcPr>
          <w:p w14:paraId="1AD51677" w14:textId="77777777" w:rsidR="00815891" w:rsidRPr="00815891" w:rsidRDefault="00815891" w:rsidP="00815891">
            <w:r w:rsidRPr="00815891">
              <w:t>2022.02</w:t>
            </w:r>
          </w:p>
        </w:tc>
      </w:tr>
      <w:tr w:rsidR="00815891" w:rsidRPr="00815891" w14:paraId="0414E033" w14:textId="77777777" w:rsidTr="00815891">
        <w:tc>
          <w:tcPr>
            <w:tcW w:w="0" w:type="auto"/>
            <w:tcBorders>
              <w:top w:val="single" w:sz="6" w:space="0" w:color="DEE2E6"/>
            </w:tcBorders>
            <w:hideMark/>
          </w:tcPr>
          <w:p w14:paraId="4C5FE3E1" w14:textId="77777777" w:rsidR="00815891" w:rsidRPr="00815891" w:rsidRDefault="00815891" w:rsidP="00815891">
            <w:r w:rsidRPr="00815891">
              <w:t>16.0.1+ / 11.0.1+ / 10.0.1+ / 1.8.0+</w:t>
            </w:r>
          </w:p>
        </w:tc>
        <w:tc>
          <w:tcPr>
            <w:tcW w:w="0" w:type="auto"/>
            <w:tcBorders>
              <w:top w:val="single" w:sz="6" w:space="0" w:color="DEE2E6"/>
            </w:tcBorders>
            <w:hideMark/>
          </w:tcPr>
          <w:p w14:paraId="15B60CC7" w14:textId="77777777" w:rsidR="00815891" w:rsidRPr="00815891" w:rsidRDefault="00815891" w:rsidP="00815891">
            <w:r w:rsidRPr="00815891">
              <w:t>2021.08 - 2021.11</w:t>
            </w:r>
          </w:p>
        </w:tc>
      </w:tr>
      <w:tr w:rsidR="00815891" w:rsidRPr="00815891" w14:paraId="4713F831" w14:textId="77777777" w:rsidTr="00815891">
        <w:tc>
          <w:tcPr>
            <w:tcW w:w="0" w:type="auto"/>
            <w:tcBorders>
              <w:top w:val="single" w:sz="6" w:space="0" w:color="DEE2E6"/>
            </w:tcBorders>
            <w:hideMark/>
          </w:tcPr>
          <w:p w14:paraId="2FE9B6F5" w14:textId="77777777" w:rsidR="00815891" w:rsidRPr="00815891" w:rsidRDefault="00815891" w:rsidP="00815891">
            <w:r w:rsidRPr="00815891">
              <w:t>11.0.1+ (recommended) / 10.0.1+ / 1.8.0+</w:t>
            </w:r>
          </w:p>
        </w:tc>
        <w:tc>
          <w:tcPr>
            <w:tcW w:w="0" w:type="auto"/>
            <w:tcBorders>
              <w:top w:val="single" w:sz="6" w:space="0" w:color="DEE2E6"/>
            </w:tcBorders>
            <w:hideMark/>
          </w:tcPr>
          <w:p w14:paraId="341C91D9" w14:textId="77777777" w:rsidR="00815891" w:rsidRPr="00815891" w:rsidRDefault="00815891" w:rsidP="00815891">
            <w:r w:rsidRPr="00815891">
              <w:t>2019.05 - 2021.05</w:t>
            </w:r>
          </w:p>
        </w:tc>
      </w:tr>
      <w:tr w:rsidR="00815891" w:rsidRPr="00815891" w14:paraId="37F2613E" w14:textId="77777777" w:rsidTr="00815891">
        <w:tc>
          <w:tcPr>
            <w:tcW w:w="0" w:type="auto"/>
            <w:tcBorders>
              <w:top w:val="single" w:sz="6" w:space="0" w:color="DEE2E6"/>
            </w:tcBorders>
            <w:hideMark/>
          </w:tcPr>
          <w:p w14:paraId="642538C7" w14:textId="77777777" w:rsidR="00815891" w:rsidRPr="00815891" w:rsidRDefault="00815891" w:rsidP="00815891">
            <w:r w:rsidRPr="00815891">
              <w:t>11.0.1+ (recommended) / 1.8.0 (supported)</w:t>
            </w:r>
          </w:p>
        </w:tc>
        <w:tc>
          <w:tcPr>
            <w:tcW w:w="0" w:type="auto"/>
            <w:tcBorders>
              <w:top w:val="single" w:sz="6" w:space="0" w:color="DEE2E6"/>
            </w:tcBorders>
            <w:hideMark/>
          </w:tcPr>
          <w:p w14:paraId="0300275A" w14:textId="77777777" w:rsidR="00815891" w:rsidRPr="00815891" w:rsidRDefault="00815891" w:rsidP="00815891">
            <w:r w:rsidRPr="00815891">
              <w:t>1 - 2019.02</w:t>
            </w:r>
          </w:p>
        </w:tc>
      </w:tr>
    </w:tbl>
    <w:p w14:paraId="68894E2E" w14:textId="77777777" w:rsidR="00815891" w:rsidRPr="00815891" w:rsidRDefault="00815891" w:rsidP="00815891">
      <w:pPr>
        <w:rPr>
          <w:b/>
          <w:bCs/>
        </w:rPr>
      </w:pPr>
      <w:bookmarkStart w:id="9" w:name="database-requirements"/>
      <w:bookmarkEnd w:id="9"/>
      <w:r w:rsidRPr="00815891">
        <w:rPr>
          <w:b/>
          <w:bCs/>
        </w:rPr>
        <w:t>2.1.4Database Requirements</w:t>
      </w:r>
    </w:p>
    <w:p w14:paraId="76893690" w14:textId="77777777" w:rsidR="00815891" w:rsidRPr="00815891" w:rsidRDefault="00815891" w:rsidP="00815891">
      <w:hyperlink r:id="rId18" w:anchor="database-requirements" w:history="1">
        <w:r w:rsidRPr="00815891">
          <w:rPr>
            <w:rStyle w:val="Hyperlink"/>
          </w:rPr>
          <w:t> </w:t>
        </w:r>
      </w:hyperlink>
    </w:p>
    <w:p w14:paraId="08FF3C2F" w14:textId="77777777" w:rsidR="00815891" w:rsidRPr="00815891" w:rsidRDefault="00815891" w:rsidP="00815891">
      <w:r w:rsidRPr="00815891">
        <w:t>Smile CDR requires a </w:t>
      </w:r>
      <w:r w:rsidRPr="00815891">
        <w:rPr>
          <w:b/>
          <w:bCs/>
        </w:rPr>
        <w:t>relational</w:t>
      </w:r>
      <w:r w:rsidRPr="00815891">
        <w:t> database to use as a store for </w:t>
      </w:r>
      <w:r w:rsidRPr="00815891">
        <w:rPr>
          <w:b/>
          <w:bCs/>
          <w:i/>
          <w:iCs/>
        </w:rPr>
        <w:t>system data</w:t>
      </w:r>
      <w:r w:rsidRPr="00815891">
        <w:t>, such as configuration. A </w:t>
      </w:r>
      <w:r w:rsidRPr="00815891">
        <w:rPr>
          <w:b/>
          <w:bCs/>
        </w:rPr>
        <w:t>relational</w:t>
      </w:r>
      <w:r w:rsidRPr="00815891">
        <w:t> database or </w:t>
      </w:r>
      <w:r w:rsidRPr="00815891">
        <w:rPr>
          <w:b/>
          <w:bCs/>
        </w:rPr>
        <w:t>non-relational</w:t>
      </w:r>
      <w:r w:rsidRPr="00815891">
        <w:t> database can be used to store </w:t>
      </w:r>
      <w:r w:rsidRPr="00815891">
        <w:rPr>
          <w:b/>
          <w:bCs/>
          <w:i/>
          <w:iCs/>
        </w:rPr>
        <w:t>FHIR resource information</w:t>
      </w:r>
      <w:r w:rsidRPr="00815891">
        <w:t> and should be setup using the </w:t>
      </w:r>
      <w:r w:rsidRPr="00815891">
        <w:rPr>
          <w:b/>
          <w:bCs/>
        </w:rPr>
        <w:t>UTF-</w:t>
      </w:r>
      <w:proofErr w:type="gramStart"/>
      <w:r w:rsidRPr="00815891">
        <w:rPr>
          <w:b/>
          <w:bCs/>
        </w:rPr>
        <w:t>8</w:t>
      </w:r>
      <w:r w:rsidRPr="00815891">
        <w:t> character</w:t>
      </w:r>
      <w:proofErr w:type="gramEnd"/>
      <w:r w:rsidRPr="00815891">
        <w:t xml:space="preserve"> set, case-sensitive, and the standard 'C' locale.</w:t>
      </w:r>
    </w:p>
    <w:p w14:paraId="1393FCD1" w14:textId="23629E11" w:rsidR="00900F4E" w:rsidRPr="00900F4E" w:rsidRDefault="00900F4E" w:rsidP="00900F4E">
      <w:r w:rsidRPr="00900F4E">
        <w:drawing>
          <wp:inline distT="0" distB="0" distL="0" distR="0" wp14:anchorId="48D44CD2" wp14:editId="39E86475">
            <wp:extent cx="5731510" cy="2804160"/>
            <wp:effectExtent l="0" t="0" r="2540" b="0"/>
            <wp:docPr id="21171419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804160"/>
                    </a:xfrm>
                    <a:prstGeom prst="rect">
                      <a:avLst/>
                    </a:prstGeom>
                    <a:noFill/>
                    <a:ln>
                      <a:noFill/>
                    </a:ln>
                  </pic:spPr>
                </pic:pic>
              </a:graphicData>
            </a:graphic>
          </wp:inline>
        </w:drawing>
      </w:r>
    </w:p>
    <w:p w14:paraId="4F8846DD" w14:textId="77777777" w:rsidR="00900F4E" w:rsidRPr="00900F4E" w:rsidRDefault="00900F4E" w:rsidP="00900F4E"/>
    <w:p w14:paraId="44F5F0F7" w14:textId="77777777" w:rsidR="00900F4E" w:rsidRPr="00900F4E" w:rsidRDefault="00900F4E" w:rsidP="00900F4E">
      <w:hyperlink r:id="rId20" w:anchor="preparing-your-instance" w:history="1">
        <w:r w:rsidRPr="00900F4E">
          <w:rPr>
            <w:rStyle w:val="Hyperlink"/>
          </w:rPr>
          <w:t> </w:t>
        </w:r>
      </w:hyperlink>
    </w:p>
    <w:p w14:paraId="51AF3CFE" w14:textId="36A0C107" w:rsidR="00900F4E" w:rsidRPr="00900F4E" w:rsidRDefault="00900F4E" w:rsidP="00900F4E">
      <w:r w:rsidRPr="00900F4E">
        <w:lastRenderedPageBreak/>
        <w:drawing>
          <wp:inline distT="0" distB="0" distL="0" distR="0" wp14:anchorId="7E099BE9" wp14:editId="1C2E4884">
            <wp:extent cx="5731510" cy="2589530"/>
            <wp:effectExtent l="0" t="0" r="2540" b="1270"/>
            <wp:docPr id="17969327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589530"/>
                    </a:xfrm>
                    <a:prstGeom prst="rect">
                      <a:avLst/>
                    </a:prstGeom>
                    <a:noFill/>
                    <a:ln>
                      <a:noFill/>
                    </a:ln>
                  </pic:spPr>
                </pic:pic>
              </a:graphicData>
            </a:graphic>
          </wp:inline>
        </w:drawing>
      </w:r>
    </w:p>
    <w:p w14:paraId="2DD6C926" w14:textId="77777777" w:rsidR="00815891" w:rsidRDefault="00815891"/>
    <w:sectPr w:rsidR="008158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AB351D"/>
    <w:multiLevelType w:val="multilevel"/>
    <w:tmpl w:val="D496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F955A4"/>
    <w:multiLevelType w:val="hybridMultilevel"/>
    <w:tmpl w:val="8D1E2A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F2021E"/>
    <w:multiLevelType w:val="multilevel"/>
    <w:tmpl w:val="DCE8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847704"/>
    <w:multiLevelType w:val="multilevel"/>
    <w:tmpl w:val="4818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486FE9"/>
    <w:multiLevelType w:val="multilevel"/>
    <w:tmpl w:val="F9C2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F9225F"/>
    <w:multiLevelType w:val="multilevel"/>
    <w:tmpl w:val="B884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9211181">
    <w:abstractNumId w:val="5"/>
  </w:num>
  <w:num w:numId="2" w16cid:durableId="1794010436">
    <w:abstractNumId w:val="3"/>
  </w:num>
  <w:num w:numId="3" w16cid:durableId="899681049">
    <w:abstractNumId w:val="0"/>
  </w:num>
  <w:num w:numId="4" w16cid:durableId="1370447936">
    <w:abstractNumId w:val="1"/>
  </w:num>
  <w:num w:numId="5" w16cid:durableId="332218997">
    <w:abstractNumId w:val="4"/>
  </w:num>
  <w:num w:numId="6" w16cid:durableId="18534943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E2C"/>
    <w:rsid w:val="0001047F"/>
    <w:rsid w:val="00071185"/>
    <w:rsid w:val="003A2E2C"/>
    <w:rsid w:val="00815891"/>
    <w:rsid w:val="00900F4E"/>
    <w:rsid w:val="0098216B"/>
    <w:rsid w:val="009C44F2"/>
    <w:rsid w:val="00A00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D1BE6"/>
  <w15:chartTrackingRefBased/>
  <w15:docId w15:val="{FC67890F-30D3-4BB9-8654-14B306A8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2E2C"/>
    <w:rPr>
      <w:color w:val="0563C1" w:themeColor="hyperlink"/>
      <w:u w:val="single"/>
    </w:rPr>
  </w:style>
  <w:style w:type="character" w:styleId="UnresolvedMention">
    <w:name w:val="Unresolved Mention"/>
    <w:basedOn w:val="DefaultParagraphFont"/>
    <w:uiPriority w:val="99"/>
    <w:semiHidden/>
    <w:unhideWhenUsed/>
    <w:rsid w:val="003A2E2C"/>
    <w:rPr>
      <w:color w:val="605E5C"/>
      <w:shd w:val="clear" w:color="auto" w:fill="E1DFDD"/>
    </w:rPr>
  </w:style>
  <w:style w:type="paragraph" w:styleId="ListParagraph">
    <w:name w:val="List Paragraph"/>
    <w:basedOn w:val="Normal"/>
    <w:uiPriority w:val="34"/>
    <w:qFormat/>
    <w:rsid w:val="00010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750190">
      <w:bodyDiv w:val="1"/>
      <w:marLeft w:val="0"/>
      <w:marRight w:val="0"/>
      <w:marTop w:val="0"/>
      <w:marBottom w:val="0"/>
      <w:divBdr>
        <w:top w:val="none" w:sz="0" w:space="0" w:color="auto"/>
        <w:left w:val="none" w:sz="0" w:space="0" w:color="auto"/>
        <w:bottom w:val="none" w:sz="0" w:space="0" w:color="auto"/>
        <w:right w:val="none" w:sz="0" w:space="0" w:color="auto"/>
      </w:divBdr>
    </w:div>
    <w:div w:id="151410819">
      <w:bodyDiv w:val="1"/>
      <w:marLeft w:val="0"/>
      <w:marRight w:val="0"/>
      <w:marTop w:val="0"/>
      <w:marBottom w:val="0"/>
      <w:divBdr>
        <w:top w:val="none" w:sz="0" w:space="0" w:color="auto"/>
        <w:left w:val="none" w:sz="0" w:space="0" w:color="auto"/>
        <w:bottom w:val="none" w:sz="0" w:space="0" w:color="auto"/>
        <w:right w:val="none" w:sz="0" w:space="0" w:color="auto"/>
      </w:divBdr>
    </w:div>
    <w:div w:id="370343956">
      <w:bodyDiv w:val="1"/>
      <w:marLeft w:val="0"/>
      <w:marRight w:val="0"/>
      <w:marTop w:val="0"/>
      <w:marBottom w:val="0"/>
      <w:divBdr>
        <w:top w:val="none" w:sz="0" w:space="0" w:color="auto"/>
        <w:left w:val="none" w:sz="0" w:space="0" w:color="auto"/>
        <w:bottom w:val="none" w:sz="0" w:space="0" w:color="auto"/>
        <w:right w:val="none" w:sz="0" w:space="0" w:color="auto"/>
      </w:divBdr>
    </w:div>
    <w:div w:id="1125123880">
      <w:bodyDiv w:val="1"/>
      <w:marLeft w:val="0"/>
      <w:marRight w:val="0"/>
      <w:marTop w:val="0"/>
      <w:marBottom w:val="0"/>
      <w:divBdr>
        <w:top w:val="none" w:sz="0" w:space="0" w:color="auto"/>
        <w:left w:val="none" w:sz="0" w:space="0" w:color="auto"/>
        <w:bottom w:val="none" w:sz="0" w:space="0" w:color="auto"/>
        <w:right w:val="none" w:sz="0" w:space="0" w:color="auto"/>
      </w:divBdr>
    </w:div>
    <w:div w:id="1237740707">
      <w:bodyDiv w:val="1"/>
      <w:marLeft w:val="0"/>
      <w:marRight w:val="0"/>
      <w:marTop w:val="0"/>
      <w:marBottom w:val="0"/>
      <w:divBdr>
        <w:top w:val="none" w:sz="0" w:space="0" w:color="auto"/>
        <w:left w:val="none" w:sz="0" w:space="0" w:color="auto"/>
        <w:bottom w:val="none" w:sz="0" w:space="0" w:color="auto"/>
        <w:right w:val="none" w:sz="0" w:space="0" w:color="auto"/>
      </w:divBdr>
    </w:div>
    <w:div w:id="1479494038">
      <w:bodyDiv w:val="1"/>
      <w:marLeft w:val="0"/>
      <w:marRight w:val="0"/>
      <w:marTop w:val="0"/>
      <w:marBottom w:val="0"/>
      <w:divBdr>
        <w:top w:val="none" w:sz="0" w:space="0" w:color="auto"/>
        <w:left w:val="none" w:sz="0" w:space="0" w:color="auto"/>
        <w:bottom w:val="none" w:sz="0" w:space="0" w:color="auto"/>
        <w:right w:val="none" w:sz="0" w:space="0" w:color="auto"/>
      </w:divBdr>
    </w:div>
    <w:div w:id="1524442037">
      <w:bodyDiv w:val="1"/>
      <w:marLeft w:val="0"/>
      <w:marRight w:val="0"/>
      <w:marTop w:val="0"/>
      <w:marBottom w:val="0"/>
      <w:divBdr>
        <w:top w:val="none" w:sz="0" w:space="0" w:color="auto"/>
        <w:left w:val="none" w:sz="0" w:space="0" w:color="auto"/>
        <w:bottom w:val="none" w:sz="0" w:space="0" w:color="auto"/>
        <w:right w:val="none" w:sz="0" w:space="0" w:color="auto"/>
      </w:divBdr>
    </w:div>
    <w:div w:id="1712921953">
      <w:bodyDiv w:val="1"/>
      <w:marLeft w:val="0"/>
      <w:marRight w:val="0"/>
      <w:marTop w:val="0"/>
      <w:marBottom w:val="0"/>
      <w:divBdr>
        <w:top w:val="none" w:sz="0" w:space="0" w:color="auto"/>
        <w:left w:val="none" w:sz="0" w:space="0" w:color="auto"/>
        <w:bottom w:val="none" w:sz="0" w:space="0" w:color="auto"/>
        <w:right w:val="none" w:sz="0" w:space="0" w:color="auto"/>
      </w:divBdr>
    </w:div>
    <w:div w:id="1900627014">
      <w:bodyDiv w:val="1"/>
      <w:marLeft w:val="0"/>
      <w:marRight w:val="0"/>
      <w:marTop w:val="0"/>
      <w:marBottom w:val="0"/>
      <w:divBdr>
        <w:top w:val="none" w:sz="0" w:space="0" w:color="auto"/>
        <w:left w:val="none" w:sz="0" w:space="0" w:color="auto"/>
        <w:bottom w:val="none" w:sz="0" w:space="0" w:color="auto"/>
        <w:right w:val="none" w:sz="0" w:space="0" w:color="auto"/>
      </w:divBdr>
    </w:div>
    <w:div w:id="214041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https://smilecdr.com/docs/getting_started/platform_requirements.html" TargetMode="External"/><Relationship Id="rId18" Type="http://schemas.openxmlformats.org/officeDocument/2006/relationships/hyperlink" Target="https://smilecdr.com/docs/getting_started/platform_requirements.html"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https://smiledigitalhealth.com/get-started" TargetMode="External"/><Relationship Id="rId17" Type="http://schemas.openxmlformats.org/officeDocument/2006/relationships/hyperlink" Target="https://aws.amazon.com/corretto/" TargetMode="External"/><Relationship Id="rId2" Type="http://schemas.openxmlformats.org/officeDocument/2006/relationships/styles" Target="styles.xml"/><Relationship Id="rId16" Type="http://schemas.openxmlformats.org/officeDocument/2006/relationships/hyperlink" Target="https://smilecdr.com/docs/getting_started/platform_requirements.html" TargetMode="External"/><Relationship Id="rId20" Type="http://schemas.openxmlformats.org/officeDocument/2006/relationships/hyperlink" Target="https://smilecdr.com/docs/tutorial_and_tour/preamble_and_setup.html" TargetMode="External"/><Relationship Id="rId1" Type="http://schemas.openxmlformats.org/officeDocument/2006/relationships/numbering" Target="numbering.xml"/><Relationship Id="rId6" Type="http://schemas.openxmlformats.org/officeDocument/2006/relationships/hyperlink" Target="https://smilecdr.com/docs/getting_started/basic_concepts.html" TargetMode="External"/><Relationship Id="rId11" Type="http://schemas.openxmlformats.org/officeDocument/2006/relationships/hyperlink" Target="https://smilecdr.com/docs/getting_started/platform_requirements.html" TargetMode="External"/><Relationship Id="rId5" Type="http://schemas.openxmlformats.org/officeDocument/2006/relationships/hyperlink" Target="https://smilecdr.com/docs/getting_started/basic_concepts.html" TargetMode="External"/><Relationship Id="rId15" Type="http://schemas.openxmlformats.org/officeDocument/2006/relationships/hyperlink" Target="https://smilecdr.com/docs/getting_started/platform_requirements.html" TargetMode="External"/><Relationship Id="rId23" Type="http://schemas.openxmlformats.org/officeDocument/2006/relationships/theme" Target="theme/theme1.xml"/><Relationship Id="rId10" Type="http://schemas.openxmlformats.org/officeDocument/2006/relationships/hyperlink" Target="https://smilecdr.com/docs/getting_started/basic_concepts.html"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milecdr.com/docs/getting_started/basic_concepts.html" TargetMode="External"/><Relationship Id="rId14" Type="http://schemas.openxmlformats.org/officeDocument/2006/relationships/hyperlink" Target="https://www.docker.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k</dc:creator>
  <cp:keywords/>
  <dc:description/>
  <cp:lastModifiedBy>bhavani k</cp:lastModifiedBy>
  <cp:revision>3</cp:revision>
  <dcterms:created xsi:type="dcterms:W3CDTF">2024-10-08T09:59:00Z</dcterms:created>
  <dcterms:modified xsi:type="dcterms:W3CDTF">2024-10-08T10:47:00Z</dcterms:modified>
</cp:coreProperties>
</file>