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A192F"/>
          <w:sz w:val="44"/>
        </w:rPr>
        <w:t>TASK 3: VIDEO AD PRODUCTION SCRIPTING</w:t>
      </w:r>
    </w:p>
    <w:p>
      <w:pPr>
        <w:jc w:val="center"/>
      </w:pPr>
      <w:r>
        <w:rPr>
          <w:rFonts w:ascii="Arial" w:hAnsi="Arial"/>
          <w:i/>
          <w:color w:val="646E78"/>
          <w:sz w:val="24"/>
        </w:rPr>
        <w:t>High-Conversion Direct Response Commercial Framework &amp; Multi-Format Master Script</w:t>
      </w:r>
    </w:p>
    <w:p>
      <w:r>
        <w:br/>
      </w:r>
    </w:p>
    <w:p>
      <w:pPr>
        <w:pStyle w:val="Heading1"/>
      </w:pPr>
      <w:r>
        <w:rPr>
          <w:rFonts w:ascii="Arial" w:hAnsi="Arial"/>
          <w:b/>
          <w:color w:val="0A192F"/>
          <w:sz w:val="28"/>
        </w:rPr>
        <w:t>1. Executive Summary</w:t>
      </w:r>
    </w:p>
    <w:p>
      <w:r>
        <w:t>This strategic document functions as the core narrative architecture and cinematic blueprint for a 60-second commercial. The primary objective is to target enterprise operational inefficiencies, grab user attention within a strict 3-second mobile scrolling window, establish an empathetic problem-solution dynamic, and provide an optimized conversion path toward our digital product acquisition funnel.</w:t>
      </w:r>
    </w:p>
    <w:p>
      <w:pPr>
        <w:pStyle w:val="Heading1"/>
      </w:pPr>
      <w:r>
        <w:rPr>
          <w:rFonts w:ascii="Arial" w:hAnsi="Arial"/>
          <w:b/>
          <w:color w:val="0A192F"/>
          <w:sz w:val="28"/>
        </w:rPr>
        <w:t>2. Retention Architecture &amp; Emotional Pacing Timeline</w:t>
      </w:r>
    </w:p>
    <w:p>
      <w:r>
        <w:t>To stabilize audience retention drop-off common in paid acquisition funnels, our content strategy enforces five separate psychological phases:</w:t>
      </w:r>
    </w:p>
    <w:p>
      <w:pPr>
        <w:pStyle w:val="ListBullet"/>
      </w:pPr>
      <w:r>
        <w:t>• 0:00 - 0:03 | Phase 1: Pattern Interrupt &amp; Disruptive Hook – Induce immediate visual friction to halt cognitive scrolling via high-contrast movement paired with a challenging, contrarian statement.</w:t>
      </w:r>
    </w:p>
    <w:p>
      <w:pPr>
        <w:pStyle w:val="ListBullet"/>
      </w:pPr>
      <w:r>
        <w:t>• 0:03 - 0:15 | Phase 2: Systemic Agitation of Pain Point – Bring internal operational friction to light and magnify user frustration by highlighting real real-world metrics and hidden resource leakage.</w:t>
      </w:r>
    </w:p>
    <w:p>
      <w:pPr>
        <w:pStyle w:val="ListBullet"/>
      </w:pPr>
      <w:r>
        <w:t>• 0:15 - 0:35 | Phase 3: The Solution Realization – Introduce relief and position our product as the ultimate logical path forward using crisp, responsive UI interaction animations.</w:t>
      </w:r>
    </w:p>
    <w:p>
      <w:pPr>
        <w:pStyle w:val="ListBullet"/>
      </w:pPr>
      <w:r>
        <w:t>• 0:35 - 0:50 | Phase 4: Risk Mitigation &amp; Social Proof Validation – Dismantle active cognitive skepticism and eliminate purchasing friction by displaying authenticated multi-user star ratings.</w:t>
      </w:r>
    </w:p>
    <w:p>
      <w:pPr>
        <w:pStyle w:val="ListBullet"/>
      </w:pPr>
      <w:r>
        <w:t>• 0:50 - 1:00 | Phase 5: Frictionless Call to Action (CTA) – Capitalize on peak engagement to prompt immediate, high-intent conversions using an exclusive, time-restricted value incentive.</w:t>
      </w:r>
    </w:p>
    <w:p>
      <w:pPr>
        <w:pStyle w:val="Heading1"/>
      </w:pPr>
      <w:r>
        <w:rPr>
          <w:rFonts w:ascii="Arial" w:hAnsi="Arial"/>
          <w:b/>
          <w:color w:val="0A192F"/>
          <w:sz w:val="28"/>
        </w:rPr>
        <w:t>3. High-Definition Two-Column A/V Script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A192F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Timeline &amp; Phase</w:t>
            </w:r>
          </w:p>
        </w:tc>
        <w:tc>
          <w:tcPr>
            <w:tcW w:type="dxa" w:w="3120"/>
            <w:shd w:val="clear" w:color="auto" w:fill="0A192F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Visual Execution (Video Track)</w:t>
            </w:r>
          </w:p>
        </w:tc>
        <w:tc>
          <w:tcPr>
            <w:tcW w:type="dxa" w:w="3120"/>
            <w:shd w:val="clear" w:color="auto" w:fill="0A192F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Audio Narrative &amp; Sound Design (Audio Track)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0:00 - 0:03</w:t>
              <w:br/>
              <w:t>The Pattern Interrupt</w:t>
            </w:r>
          </w:p>
        </w:tc>
        <w:tc>
          <w:tcPr>
            <w:tcW w:type="dxa" w:w="3120"/>
          </w:tcPr>
          <w:p>
            <w:r>
              <w:t>Framing: Macro close-up on an overwhelmed professional rubbing their temples, then cutting sharply to a notebook slamming shut in slow motion.</w:t>
              <w:br/>
              <w:br/>
              <w:t>On-Screen Text Graphics: Bold, high-contrast typography overlays across the lower third: STOP WASTING HOURS.</w:t>
            </w:r>
          </w:p>
        </w:tc>
        <w:tc>
          <w:tcPr>
            <w:tcW w:type="dxa" w:w="3120"/>
          </w:tcPr>
          <w:p>
            <w:r>
              <w:t>Sound Effects (SFX): Deep cinematic sub-bass impact drop that vibrates instantly, followed by a sudden ambient mute.</w:t>
              <w:br/>
              <w:br/>
              <w:t>Voiceover (VO): "Are you still burning billable hours on tasks that should take seconds?"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0:03 - 0:15</w:t>
              <w:br/>
              <w:t>The Problem Agitation</w:t>
            </w:r>
          </w:p>
        </w:tc>
        <w:tc>
          <w:tcPr>
            <w:tcW w:type="dxa" w:w="3120"/>
          </w:tcPr>
          <w:p>
            <w:r>
              <w:t>Framing: Fast-paced split-screen arrangement. Left side displays an chaotic maze of desktop browser tabs; right side tracks a calendar clock spinning quickly forward.</w:t>
              <w:br/>
              <w:br/>
              <w:t>On-Screen Text Graphics: Data visualization text floats in: Crawl Budget &amp; Resource Drain.</w:t>
            </w:r>
          </w:p>
        </w:tc>
        <w:tc>
          <w:tcPr>
            <w:tcW w:type="dxa" w:w="3120"/>
          </w:tcPr>
          <w:p>
            <w:r>
              <w:t>SFX: Mechanical ticking clock that builds in volume and tempo, creating subtle psychological urgency.</w:t>
              <w:br/>
              <w:br/>
              <w:t>VO: "Every single manual workaround is costing your business core operational momentum, leaking revenue, and stalling scalable growth."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0:15 - 0:35</w:t>
              <w:br/>
              <w:t>The Solution Reveal</w:t>
            </w:r>
          </w:p>
        </w:tc>
        <w:tc>
          <w:tcPr>
            <w:tcW w:type="dxa" w:w="3120"/>
          </w:tcPr>
          <w:p>
            <w:r>
              <w:t>Framing: Smooth, bright whip-pan transition into a ultra-clean UI dashboard environment. A single mouse click triggers an automated processes that updates data fields smoothly.</w:t>
              <w:br/>
              <w:br/>
              <w:t>On-Screen Text Graphics: Clean product interface text reads: Operational Hub v4.0.</w:t>
            </w:r>
          </w:p>
        </w:tc>
        <w:tc>
          <w:tcPr>
            <w:tcW w:type="dxa" w:w="3120"/>
          </w:tcPr>
          <w:p>
            <w:r>
              <w:t>SFX: The ticking noise stops abruptly. A warm, driving, syncopated electronic bassline kicks in to shift the mood to focus and productivity.</w:t>
              <w:br/>
              <w:br/>
              <w:t>VO: "Meet our centralized automation hub. A single unified ecosystem designed to clear your bottlenecks and streamline workflows with one tap."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0:35 - 0:50</w:t>
              <w:br/>
              <w:t>The Trust Validation</w:t>
            </w:r>
          </w:p>
        </w:tc>
        <w:tc>
          <w:tcPr>
            <w:tcW w:type="dxa" w:w="3120"/>
          </w:tcPr>
          <w:p>
            <w:r>
              <w:t>Framing: A smooth montage tracking satisfied team members collaborating in a modern office layout. The view cuts to an animated infographic charting: +40% Proven Team Efficiency Increase.</w:t>
              <w:br/>
              <w:br/>
              <w:t>On-Screen Text Graphics: Displays verified user avatars and five-star rating emblems.</w:t>
            </w:r>
          </w:p>
        </w:tc>
        <w:tc>
          <w:tcPr>
            <w:tcW w:type="dxa" w:w="3120"/>
          </w:tcPr>
          <w:p>
            <w:r>
              <w:t>SFX: Music drops slightly into the background to prioritize clear spoken vocals.</w:t>
              <w:br/>
              <w:br/>
              <w:t>VO: "Join over ten thousand engineering and creative professionals who recovered their creative focus and eliminated administrative friction this quarter."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0:50 - 1:00</w:t>
              <w:br/>
              <w:t>The Conversion CTA</w:t>
            </w:r>
          </w:p>
        </w:tc>
        <w:tc>
          <w:tcPr>
            <w:tcW w:type="dxa" w:w="3120"/>
          </w:tcPr>
          <w:p>
            <w:r>
              <w:t>Framing: Clean minimalist landing page splash frame. Features a sharp brand asset logo centerpiece alongside a highly visible interactive button rendering: Start Free Trial Now.</w:t>
              <w:br/>
              <w:br/>
              <w:t>On-Screen Text Graphics: Primary domain destination link displayed clearly.</w:t>
            </w:r>
          </w:p>
        </w:tc>
        <w:tc>
          <w:tcPr>
            <w:tcW w:type="dxa" w:w="3120"/>
          </w:tcPr>
          <w:p>
            <w:r>
              <w:t>SFX: Bright, uplifting musical resolution chord with a clean chiptune notification ding.</w:t>
              <w:br/>
              <w:br/>
              <w:t>VO: "Stop fighting your software stack. Click the link below to deploy your free workspace instance right now."</w:t>
            </w:r>
          </w:p>
        </w:tc>
      </w:tr>
    </w:tbl>
    <w:p>
      <w:r>
        <w:br/>
      </w:r>
    </w:p>
    <w:p>
      <w:pPr>
        <w:pStyle w:val="Heading1"/>
      </w:pPr>
      <w:r>
        <w:rPr>
          <w:rFonts w:ascii="Arial" w:hAnsi="Arial"/>
          <w:b/>
          <w:color w:val="0A192F"/>
          <w:sz w:val="28"/>
        </w:rPr>
        <w:t>4. Technical Production &amp; Distribution Guidelines</w:t>
      </w:r>
    </w:p>
    <w:p>
      <w:pPr>
        <w:pStyle w:val="ListBullet"/>
      </w:pPr>
      <w:r>
        <w:t>• Multi-Platform Aspect Ratio Strategy: All raw video footage must be captured using wide-angle lenses at high resolutions (4K or 6K). This provides safe margin areas to crop content cleanly into both vertical formats (9:16 for Shorts/Reels/TikTok) and standard widescreen layouts (16:9 for YouTube environments).</w:t>
      </w:r>
    </w:p>
    <w:p>
      <w:pPr>
        <w:pStyle w:val="ListBullet"/>
      </w:pPr>
      <w:r>
        <w:t>• Editing Pacing Rules: Enforce dynamic visual updates or perspective shift hard cuts every 2 to 3 seconds to retain user focus on fast-scrolling social feeds.</w:t>
      </w:r>
    </w:p>
    <w:p>
      <w:pPr>
        <w:pStyle w:val="ListBullet"/>
      </w:pPr>
      <w:r>
        <w:t>• Muted-Viewing Accessibility Pipeline: High-contrast open captions featuring clean text containers must be integrated into the lower thirds of all final export renders to capture the 75%+ of mobile users viewing without audio.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