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A192F"/>
          <w:sz w:val="44"/>
        </w:rPr>
        <w:t>TASK 4: AI IN MARKETING AUTOMATION</w:t>
      </w:r>
    </w:p>
    <w:p>
      <w:pPr>
        <w:jc w:val="center"/>
      </w:pPr>
      <w:r>
        <w:rPr>
          <w:rFonts w:ascii="Arial" w:hAnsi="Arial"/>
          <w:i/>
          <w:color w:val="646E78"/>
          <w:sz w:val="24"/>
        </w:rPr>
        <w:t>Enterprise Integration Blueprint for Predictive Scoring, Generative Creative Scales &amp; Multi-Channel Orchestration</w:t>
      </w:r>
    </w:p>
    <w:p>
      <w:r>
        <w:br/>
      </w:r>
    </w:p>
    <w:p>
      <w:pPr>
        <w:pStyle w:val="Heading1"/>
      </w:pPr>
      <w:r>
        <w:rPr>
          <w:rFonts w:ascii="Arial" w:hAnsi="Arial"/>
          <w:b/>
          <w:color w:val="0A192F"/>
          <w:sz w:val="28"/>
        </w:rPr>
        <w:t>1. Executive Summary</w:t>
      </w:r>
    </w:p>
    <w:p>
      <w:r>
        <w:t>This systemic architecture blueprint details the deployment of Artificial Intelligence (AI) and Machine Learning (ML) models across our omni-channel marketing automation engine. The objective is to transition from traditional static rule-based scheduling into a fully dynamic, self-optimizing ecosystem. By integrating predictive lead tracking, automated dynamic creative generation, and machine-learned send-time analytics, this framework aims to optimize customer acquisition costs (CAC), increase lifetime value (LTV), and maximize overall marketing conversion performance.</w:t>
      </w:r>
    </w:p>
    <w:p>
      <w:pPr>
        <w:pStyle w:val="Heading1"/>
      </w:pPr>
      <w:r>
        <w:rPr>
          <w:rFonts w:ascii="Arial" w:hAnsi="Arial"/>
          <w:b/>
          <w:color w:val="0A192F"/>
          <w:sz w:val="28"/>
        </w:rPr>
        <w:t>2. Structural AI Marketing Framework &amp; Operational Pillars</w:t>
      </w:r>
    </w:p>
    <w:p>
      <w:r>
        <w:t>Our automated architecture relies on three primary intellectual pillars to handle high-volume audience segments efficiently without needing manual, continuous split testing:</w:t>
      </w:r>
    </w:p>
    <w:p>
      <w:pPr>
        <w:pStyle w:val="ListBullet"/>
      </w:pPr>
      <w:r>
        <w:t>• Pillar 1: Predictive Behavioral Scoring Matrix – Continuously analyzes real-time user touchpoints across web, mobile apps, and ad channels. Deep neural networks monitor session duration and historical shopping behaviors to predict conversion likelihood scores instantly. High-value profiles route directly to accelerated bottom-of-funnel promotions.</w:t>
      </w:r>
    </w:p>
    <w:p>
      <w:pPr>
        <w:pStyle w:val="ListBullet"/>
      </w:pPr>
      <w:r>
        <w:t>• Pillar 2: Real-Time Dynamic Creative Optimization (DCO) – Adjusts displayed visual creatives and messaging hooks on the fly based on user demographic profiling and past behaviors. Generative language and visual models automatically assemble variations of ad headlines, imagery, background schemes, and promotional offers.</w:t>
      </w:r>
    </w:p>
    <w:p>
      <w:pPr>
        <w:pStyle w:val="ListBullet"/>
      </w:pPr>
      <w:r>
        <w:t>• Pillar 3: Algorithmic Attribution &amp; Send-Time Harmonization – Evaluates data to discover the exact channels and delivery windows that drive action for individual users by deploying messages precisely when a specific user is statistically most active online.</w:t>
      </w:r>
    </w:p>
    <w:p>
      <w:pPr>
        <w:pStyle w:val="Heading1"/>
      </w:pPr>
      <w:r>
        <w:rPr>
          <w:rFonts w:ascii="Arial" w:hAnsi="Arial"/>
          <w:b/>
          <w:color w:val="0A192F"/>
          <w:sz w:val="28"/>
        </w:rPr>
        <w:t>3. Comprehensive Automation Flow &amp; Lifecycle Strategy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A192F"/>
          </w:tcPr>
          <w:p>
            <w:r>
              <w:rPr>
                <w:rFonts w:ascii="Arial" w:hAnsi="Arial"/>
                <w:b/>
                <w:color w:val="FFFFFF"/>
                <w:sz w:val="19"/>
              </w:rPr>
              <w:t>Lifecycle Phase</w:t>
            </w:r>
          </w:p>
        </w:tc>
        <w:tc>
          <w:tcPr>
            <w:tcW w:type="dxa" w:w="2340"/>
            <w:shd w:val="clear" w:color="auto" w:fill="0A192F"/>
          </w:tcPr>
          <w:p>
            <w:r>
              <w:rPr>
                <w:rFonts w:ascii="Arial" w:hAnsi="Arial"/>
                <w:b/>
                <w:color w:val="FFFFFF"/>
                <w:sz w:val="19"/>
              </w:rPr>
              <w:t>Traditional Automation Setup</w:t>
            </w:r>
          </w:p>
        </w:tc>
        <w:tc>
          <w:tcPr>
            <w:tcW w:type="dxa" w:w="2340"/>
            <w:shd w:val="clear" w:color="auto" w:fill="0A192F"/>
          </w:tcPr>
          <w:p>
            <w:r>
              <w:rPr>
                <w:rFonts w:ascii="Arial" w:hAnsi="Arial"/>
                <w:b/>
                <w:color w:val="FFFFFF"/>
                <w:sz w:val="19"/>
              </w:rPr>
              <w:t>AI-Augmented Automation Setup</w:t>
            </w:r>
          </w:p>
        </w:tc>
        <w:tc>
          <w:tcPr>
            <w:tcW w:type="dxa" w:w="2340"/>
            <w:shd w:val="clear" w:color="auto" w:fill="0A192F"/>
          </w:tcPr>
          <w:p>
            <w:r>
              <w:rPr>
                <w:rFonts w:ascii="Arial" w:hAnsi="Arial"/>
                <w:b/>
                <w:color w:val="FFFFFF"/>
                <w:sz w:val="19"/>
              </w:rPr>
              <w:t>Machine Learning Model &amp; KPIs</w:t>
            </w:r>
          </w:p>
        </w:tc>
      </w:tr>
      <w:tr>
        <w:tc>
          <w:tcPr>
            <w:tcW w:type="dxa" w:w="2340"/>
          </w:tcPr>
          <w:p>
            <w:r>
              <w:rPr>
                <w:b/>
              </w:rPr>
              <w:t>User Acquisition &amp; Discovery</w:t>
            </w:r>
          </w:p>
        </w:tc>
        <w:tc>
          <w:tcPr>
            <w:tcW w:type="dxa" w:w="2340"/>
          </w:tcPr>
          <w:p>
            <w:r>
              <w:t>Broad demographic filtering on ad platforms with manually coordinated budget caps.</w:t>
            </w:r>
          </w:p>
        </w:tc>
        <w:tc>
          <w:tcPr>
            <w:tcW w:type="dxa" w:w="2340"/>
          </w:tcPr>
          <w:p>
            <w:r>
              <w:t>Dynamic Creative Optimization matching contextual search intent with user web profiles.</w:t>
            </w:r>
          </w:p>
        </w:tc>
        <w:tc>
          <w:tcPr>
            <w:tcW w:type="dxa" w:w="2340"/>
          </w:tcPr>
          <w:p>
            <w:r>
              <w:t>Model: Multi-Armed Bandit Reinforcement Learning.</w:t>
              <w:br/>
              <w:t>KPI: Click-Through Rate (CTR) Optimization.</w:t>
            </w:r>
          </w:p>
        </w:tc>
      </w:tr>
      <w:tr>
        <w:tc>
          <w:tcPr>
            <w:tcW w:type="dxa" w:w="2340"/>
          </w:tcPr>
          <w:p>
            <w:r>
              <w:rPr>
                <w:b/>
              </w:rPr>
              <w:t>Lead Nurturing &amp; Engagement</w:t>
            </w:r>
          </w:p>
        </w:tc>
        <w:tc>
          <w:tcPr>
            <w:tcW w:type="dxa" w:w="2340"/>
          </w:tcPr>
          <w:p>
            <w:r>
              <w:t>Time-based email drip campaigns (generic follow-ups sent after fixed periods).</w:t>
            </w:r>
          </w:p>
        </w:tc>
        <w:tc>
          <w:tcPr>
            <w:tcW w:type="dxa" w:w="2340"/>
          </w:tcPr>
          <w:p>
            <w:r>
              <w:t>Predictive scoring triggers personalized communication flows based on real-time browsing behaviors.</w:t>
            </w:r>
          </w:p>
        </w:tc>
        <w:tc>
          <w:tcPr>
            <w:tcW w:type="dxa" w:w="2340"/>
          </w:tcPr>
          <w:p>
            <w:r>
              <w:t>Model: XGBoost Classifier for Conversion Scoring.</w:t>
              <w:br/>
              <w:t>KPI: User Engagement Score &amp; Email Click-To-Open Rates.</w:t>
            </w:r>
          </w:p>
        </w:tc>
      </w:tr>
      <w:tr>
        <w:tc>
          <w:tcPr>
            <w:tcW w:type="dxa" w:w="2340"/>
          </w:tcPr>
          <w:p>
            <w:r>
              <w:rPr>
                <w:b/>
              </w:rPr>
              <w:t>Abandonment &amp; Cart Recovery</w:t>
            </w:r>
          </w:p>
        </w:tc>
        <w:tc>
          <w:tcPr>
            <w:tcW w:type="dxa" w:w="2340"/>
          </w:tcPr>
          <w:p>
            <w:r>
              <w:t>Standard generic coupon pop-up or email notification sent after a fixed 2-hour delay.</w:t>
            </w:r>
          </w:p>
        </w:tc>
        <w:tc>
          <w:tcPr>
            <w:tcW w:type="dxa" w:w="2340"/>
          </w:tcPr>
          <w:p>
            <w:r>
              <w:t>Dynamic pricing optimization matches discount margins to intent indicators, preventing unnecessary revenue loss.</w:t>
            </w:r>
          </w:p>
        </w:tc>
        <w:tc>
          <w:tcPr>
            <w:tcW w:type="dxa" w:w="2340"/>
          </w:tcPr>
          <w:p>
            <w:r>
              <w:t>Model: Propensity Modeling Networks.</w:t>
              <w:br/>
              <w:t>KPI: Shopping Cart Recovery &amp; Customer Lifetime Value.</w:t>
            </w:r>
          </w:p>
        </w:tc>
      </w:tr>
      <w:tr>
        <w:tc>
          <w:tcPr>
            <w:tcW w:type="dxa" w:w="2340"/>
          </w:tcPr>
          <w:p>
            <w:r>
              <w:rPr>
                <w:b/>
              </w:rPr>
              <w:t>Retention &amp; Retention Scaling</w:t>
            </w:r>
          </w:p>
        </w:tc>
        <w:tc>
          <w:tcPr>
            <w:tcW w:type="dxa" w:w="2340"/>
          </w:tcPr>
          <w:p>
            <w:r>
              <w:t>Bulk churn newsletters or generic customer surveys sent on rigid quarterly schedules.</w:t>
            </w:r>
          </w:p>
        </w:tc>
        <w:tc>
          <w:tcPr>
            <w:tcW w:type="dxa" w:w="2340"/>
          </w:tcPr>
          <w:p>
            <w:r>
              <w:t>Proactive churn risk models detect dipping behavior patterns and deploy win-back offers before the user slips away completely.</w:t>
            </w:r>
          </w:p>
        </w:tc>
        <w:tc>
          <w:tcPr>
            <w:tcW w:type="dxa" w:w="2340"/>
          </w:tcPr>
          <w:p>
            <w:r>
              <w:t>Model: Random Forest Churn Likelihood.</w:t>
              <w:br/>
              <w:t>KPI: Churn Deflection Rates &amp; Monthly Recurring Revenue (MRR).</w:t>
            </w:r>
          </w:p>
        </w:tc>
      </w:tr>
    </w:tbl>
    <w:p>
      <w:r>
        <w:br/>
      </w:r>
    </w:p>
    <w:p>
      <w:pPr>
        <w:pStyle w:val="Heading1"/>
      </w:pPr>
      <w:r>
        <w:rPr>
          <w:rFonts w:ascii="Arial" w:hAnsi="Arial"/>
          <w:b/>
          <w:color w:val="0A192F"/>
          <w:sz w:val="28"/>
        </w:rPr>
        <w:t>4. Advanced Technical Implementation &amp; Core Tool Stack</w:t>
      </w:r>
    </w:p>
    <w:p>
      <w:pPr>
        <w:pStyle w:val="ListBullet"/>
      </w:pPr>
      <w:r>
        <w:t>• Data Aggregation Layer (Customer Data Platform): Integrates distributed first-party user data into a centralized, anonymized profile lake. This acts as the baseline feature vector training pool for predictive ML networks.</w:t>
      </w:r>
    </w:p>
    <w:p>
      <w:pPr>
        <w:pStyle w:val="ListBullet"/>
      </w:pPr>
      <w:r>
        <w:t>• LLM Creative Execution Engines: Hooks into enterprise-grade text and image generation APIs via secure webhook middleware. This enables programmatic micro-copy generation across landing pages, ad assets, and notification payloads at scale.</w:t>
      </w:r>
    </w:p>
    <w:p>
      <w:pPr>
        <w:pStyle w:val="ListBullet"/>
      </w:pPr>
      <w:r>
        <w:t>• Real-time Decision &amp; Trigger Routers: Utilizes edge-computed workflow logic streams to process user signals instantaneously, avoiding database call delays and keeping the user journey seamless.</w:t>
      </w:r>
    </w:p>
    <w:p>
      <w:pPr>
        <w:pStyle w:val="Heading1"/>
      </w:pPr>
      <w:r>
        <w:rPr>
          <w:rFonts w:ascii="Arial" w:hAnsi="Arial"/>
          <w:b/>
          <w:color w:val="0A192F"/>
          <w:sz w:val="28"/>
        </w:rPr>
        <w:t>5. Security Protocols &amp; Operational Governance</w:t>
      </w:r>
    </w:p>
    <w:p>
      <w:r>
        <w:t>1. Ethical PII Shielding: Strict user compliance protocols (GDPR, CCPA) must be strictly maintained. Personal Identifiable Information (PII) must be thoroughly anonymized via secure hash routing before being piped into external third-party processing models.</w:t>
      </w:r>
    </w:p>
    <w:p>
      <w:r>
        <w:t>2. Model Bias Auditing: Data training sets are subjected to monthly cross-validation audits to ensure predictive classification scores remain balanced and uncorrupted by skewed seasonal data spikes.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