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192F"/>
          <w:sz w:val="44"/>
        </w:rPr>
        <w:t>TASK 1: YOUTUBE CHANNEL STRATEGY</w:t>
      </w:r>
    </w:p>
    <w:p>
      <w:pPr>
        <w:jc w:val="center"/>
      </w:pPr>
      <w:r>
        <w:rPr>
          <w:rFonts w:ascii="Arial" w:hAnsi="Arial"/>
          <w:i/>
          <w:color w:val="646E78"/>
          <w:sz w:val="26"/>
        </w:rPr>
        <w:t>Comprehensive Blueprint for Channel Growth &amp; Engagement</w:t>
      </w:r>
    </w:p>
    <w:p>
      <w:r>
        <w:br/>
      </w:r>
    </w:p>
    <w:p>
      <w:pPr>
        <w:pStyle w:val="Heading1"/>
      </w:pPr>
      <w:r>
        <w:rPr>
          <w:rFonts w:ascii="Arial" w:hAnsi="Arial"/>
          <w:b/>
          <w:color w:val="0A192F"/>
          <w:sz w:val="28"/>
        </w:rPr>
        <w:t>1. Executive Summary</w:t>
      </w:r>
    </w:p>
    <w:p>
      <w:r>
        <w:t>This strategic blueprint outlines the foundational architecture required to build, scale, and effectively monetize a brand identity on YouTube. The overarching mission is to cultivate high-intent viewer communities, maximize algorithmic reach across diverse formats, and optimize operational workflow to convert views into sustainable business growth assets.</w:t>
      </w:r>
    </w:p>
    <w:p>
      <w:pPr>
        <w:pStyle w:val="Heading1"/>
      </w:pPr>
      <w:r>
        <w:rPr>
          <w:rFonts w:ascii="Arial" w:hAnsi="Arial"/>
          <w:b/>
          <w:color w:val="0A192F"/>
          <w:sz w:val="28"/>
        </w:rPr>
        <w:t>2. Target Audience &amp; Niche Definition</w:t>
      </w:r>
    </w:p>
    <w:p>
      <w:pPr/>
      <w:r>
        <w:t>To build high retention and brand trust, all creative assets will tailor explicitly to the following cross-sections:</w:t>
      </w:r>
    </w:p>
    <w:p>
      <w:pPr>
        <w:pStyle w:val="ListBullet"/>
      </w:pPr>
      <w:r>
        <w:t>• Primary Audience: Aspiring professionals, creators, and students (Ages 18–34) seeking premium, actionable skill instruction.</w:t>
      </w:r>
    </w:p>
    <w:p>
      <w:pPr>
        <w:pStyle w:val="ListBullet"/>
      </w:pPr>
      <w:r>
        <w:t>• Core Niche Focus: Modern technology masterclasses, data analytics tools, and automated digital marketing workflows.</w:t>
      </w:r>
    </w:p>
    <w:p>
      <w:pPr>
        <w:pStyle w:val="ListBullet"/>
      </w:pPr>
      <w:r>
        <w:t>• Pillars of Content: Step-by-step technical guides, enterprise case studies, and tool comparative reviews.</w:t>
      </w:r>
    </w:p>
    <w:p>
      <w:pPr>
        <w:pStyle w:val="Heading1"/>
      </w:pPr>
      <w:r>
        <w:rPr>
          <w:rFonts w:ascii="Arial" w:hAnsi="Arial"/>
          <w:b/>
          <w:color w:val="0A192F"/>
          <w:sz w:val="28"/>
        </w:rPr>
        <w:t>3. Content Framework &amp; Deployment Cadence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192F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Content Format</w:t>
            </w:r>
          </w:p>
        </w:tc>
        <w:tc>
          <w:tcPr>
            <w:tcW w:type="dxa" w:w="3120"/>
            <w:shd w:val="clear" w:color="auto" w:fill="0A192F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3120"/>
            <w:shd w:val="clear" w:color="auto" w:fill="0A192F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Primary Objective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YouTube Shorts</w:t>
            </w:r>
          </w:p>
        </w:tc>
        <w:tc>
          <w:tcPr>
            <w:tcW w:type="dxa" w:w="3120"/>
          </w:tcPr>
          <w:p>
            <w:r>
              <w:t>3x per Week</w:t>
            </w:r>
          </w:p>
        </w:tc>
        <w:tc>
          <w:tcPr>
            <w:tcW w:type="dxa" w:w="3120"/>
          </w:tcPr>
          <w:p>
            <w:r>
              <w:t>Maximize cold algorithmic impressions, trend hijacking, and explosive subscriber discovery.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Long-Form Video Essays</w:t>
            </w:r>
          </w:p>
        </w:tc>
        <w:tc>
          <w:tcPr>
            <w:tcW w:type="dxa" w:w="3120"/>
          </w:tcPr>
          <w:p>
            <w:r>
              <w:t>1x per Week (Thursday)</w:t>
            </w:r>
          </w:p>
        </w:tc>
        <w:tc>
          <w:tcPr>
            <w:tcW w:type="dxa" w:w="3120"/>
          </w:tcPr>
          <w:p>
            <w:r>
              <w:t>Deep systemic authority building, organic monetization scaling, and continuous multi-year YouTube Search SEO compounding.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Community Tab / Polls</w:t>
            </w:r>
          </w:p>
        </w:tc>
        <w:tc>
          <w:tcPr>
            <w:tcW w:type="dxa" w:w="3120"/>
          </w:tcPr>
          <w:p>
            <w:r>
              <w:t>2x per Week</w:t>
            </w:r>
          </w:p>
        </w:tc>
        <w:tc>
          <w:tcPr>
            <w:tcW w:type="dxa" w:w="3120"/>
          </w:tcPr>
          <w:p>
            <w:r>
              <w:t>Audience sentiment analysis, direct viewer feedback validation, and active retention stabilization between major uploads.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Arial" w:hAnsi="Arial"/>
          <w:b/>
          <w:color w:val="0A192F"/>
          <w:sz w:val="28"/>
        </w:rPr>
        <w:t>4. Optimization &amp; Growth Checklist</w:t>
      </w:r>
    </w:p>
    <w:p>
      <w:pPr>
        <w:pStyle w:val="ListBullet"/>
      </w:pPr>
      <w:r>
        <w:t>• Thumbnail Visual Polish: High-contrast split grading with a single expressive human focus point or extreme bold UI screenshot element. Maximum of 4 text words overlayed for readability.</w:t>
      </w:r>
    </w:p>
    <w:p>
      <w:pPr>
        <w:pStyle w:val="ListBullet"/>
      </w:pPr>
      <w:r>
        <w:t>• Psychological Titles: Front-loading vital search keywords within the first 40 characters while maintaining an open curiosity loop to drive click-through-rates (CTR).</w:t>
      </w:r>
    </w:p>
    <w:p>
      <w:pPr>
        <w:pStyle w:val="ListBullet"/>
      </w:pPr>
      <w:r>
        <w:t>• Strategic Retention Hooks: Delivering immediate verification of value within the opening 15 seconds. Eradicating introductory filler text, stating clear stakes, and outlining visual payoffs explicitly.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