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发布看板：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Powerbi网页版，文件菜单—嵌入报表—发布到web（公共）</w:t>
      </w:r>
    </w:p>
    <w:p>
      <w:p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如果无法发布。使用管理员账号去到设置—管理门户—租户设置—发布到WEB启用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ax.yaxis.set_major_formatter(xmax=100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ax.yaxis.set_major_formatter(ticker.PercentFormatter(xmax=1,decimals=0))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  <w:bookmarkStart w:id="0" w:name="_GoBack"/>
      <w:bookmarkEnd w:id="0"/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rFonts w:hint="eastAsia"/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rFonts w:hint="default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用snapshot截取图片比组件下降图片更清晰。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#make_snapshot(snapshot,page.render(), "bar0.png",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>
      <w:pPr>
        <w:rPr>
          <w:rFonts w:hint="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注意事项：1.</w:t>
      </w:r>
      <w:r>
        <w:rPr>
          <w:rFonts w:hint="eastAsia"/>
          <w:bCs/>
          <w:color w:val="FF0000"/>
          <w:szCs w:val="21"/>
        </w:rPr>
        <w:t>按要求安装了pip install snapshot-phantomjs--&gt;下载并解压phantomjs--&gt;将phantomjs.exe路径添加到环境变量中。</w:t>
      </w:r>
      <w:r>
        <w:rPr>
          <w:rFonts w:hint="eastAsia"/>
          <w:bCs/>
          <w:color w:val="FF0000"/>
          <w:szCs w:val="21"/>
          <w:lang w:val="en-US" w:eastAsia="zh-CN"/>
        </w:rPr>
        <w:t>如果python提示找不到程序，则把phantomjs.exe复制到了c:/windows根目录中</w:t>
      </w:r>
    </w:p>
    <w:p>
      <w:pPr>
        <w:rPr>
          <w:rFonts w:hint="default" w:eastAsiaTheme="minor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2.运行</w:t>
      </w:r>
      <w:r>
        <w:rPr>
          <w:rFonts w:hint="eastAsia"/>
          <w:bCs/>
          <w:color w:val="FF0000"/>
          <w:szCs w:val="21"/>
        </w:rPr>
        <w:t>make_snapshot</w:t>
      </w:r>
      <w:r>
        <w:rPr>
          <w:rFonts w:hint="eastAsia"/>
          <w:bCs/>
          <w:color w:val="FF0000"/>
          <w:szCs w:val="21"/>
          <w:lang w:val="en-US" w:eastAsia="zh-CN"/>
        </w:rPr>
        <w:t>的程序文件必须纯英文的目录下。不然会报Can’t find variable: echarts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F1C2C06"/>
    <w:rsid w:val="3F9913BF"/>
    <w:rsid w:val="41A63AB0"/>
    <w:rsid w:val="42E84A78"/>
    <w:rsid w:val="43A766C4"/>
    <w:rsid w:val="43B64763"/>
    <w:rsid w:val="43C9308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4C2256"/>
    <w:rsid w:val="6EDC3118"/>
    <w:rsid w:val="72B46A62"/>
    <w:rsid w:val="73965C2A"/>
    <w:rsid w:val="73BA0114"/>
    <w:rsid w:val="749A736B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6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2021-10-29T04:21:16Z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