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April 6, 2009, 12 noon,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Shirley Daniel, Bob McHenry, David Duffy, David Chin, Matt McGranaghan, Judith Inazu, Dave Sanders, CN Lee and Mary Tiles UHM Faculty Senate liaison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Tricia Wright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Cutshaw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12:05 p.m.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the March 2 meeting were approved as corrected.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PBRC:  The committee reviewed the PBRC faculty response to VC Ostrander’s proposal to reorganize or disband PBRC.  The committee noted that there remain many differences of opinion between PBRC faculty and the administration regarding the facts and issues.  CAB suggests that a memo be sent to PBRC, recommending that they share their memo to CAB with VC Ostrander to inform a more clear discussion of the issues with PBRC, and to inform his preparation of the formal reorganization proposal in accordance with university procedure.  The CAB reiterated its prior recommendation to VC Ostrander to develop his formal reorganization proposal to be considered in the normal process.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Reorganization procedure:  The committee reviewed and discussed the draft reorganization procedure and memo prepared by Drs. Duffy and Inazu.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entered the meeting.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provided a diagram that summarized the funding sources for UHM, and highlighting the carry forward balances by general funds, tuition funds, RTRF, Revenue generating funds, special and revolving funds.  The committee discussed the schedules and noted that the excess carryover funds not allocated for special projects were relatively small.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also provided a bar chart detailing projected tuition revenues and expenditures for the next 3 years.  The chart assumes flat enrollments but with increased tuition rates as already approved.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provided an update of the budget workgroup.  Deans and directors requested an idea of the budget projections so they could plan for fall semester.  The budget workgroup was able to determine the cuts needed and provided a memo to the Deans.  $11 million or a 4% base budget cut is needed from the units.  Total cuts are $33 million, $22 million of which will be absorbed by the central UHM administration through use of RTRF (especially for research compliance costs) and other savings.  Other savings may come from administrative adjustments in budgets such as the UH Press, Outreach college, shortened hours for student services and the library, elimination of early incentive retirement (due to IRS ruling).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regard to the stimulus package money, the UH and State DOE are negotiating, but the governor has announced that she is going to use the money to make up the state budget shortfall.   Congressional representatives are not happy with this, but the governor still has to ask the US administration for the funds.  Nothing is settled yet.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some discussion of freezing sabbaticals, but UHPA has recommended Deans to have control over this.  She provided a list of items for discussion in detail in the future, which may provide budget savings including: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Outreach College</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Study abroad structure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Sabbaticals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Position control numbers and budgets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Post-tenure review</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Workload of faculty</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RTRF bank accounts</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Athletics</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International office</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Distance learning</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Writing intensive caps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Non-resident caps</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Electronic/paperwork reduction</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Tuition waivers</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day class schedules and workweeks.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governor is pushing for salary cuts, the unions are pushing back.  There is talk of furloughs.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Hernandez entered the room.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discussed the issue of a centralized grants office.  Other members of the committee recounted earlier discussions prompting the invitation of the VCs to the meeting.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Hernandez indicated he has had some experience with centralized grants offices for partnership grants in Santa Cruz.  One central office coordinated grant space and faculty buy out.  They also provided coordinating functions for working with public schools and  provided services for faculty NSF grants to do the outreach components to public schools.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actions were made by the committee at this time, and the matter will be discussed at the next meeting.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1:58 p.m.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