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Mānoa Faculty Senate Committee on Administration and Budget Minutes of November 10, 2009</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Approved: Nov 24,2009</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w:t>
      </w:r>
      <w:r w:rsidDel="00000000" w:rsidR="00000000" w:rsidRPr="00000000">
        <w:rPr>
          <w:u w:val="single"/>
          <w:rtl w:val="0"/>
        </w:rPr>
        <w:t xml:space="preserve">members</w:t>
      </w:r>
      <w:r w:rsidDel="00000000" w:rsidR="00000000" w:rsidRPr="00000000">
        <w:rPr>
          <w:rtl w:val="0"/>
        </w:rPr>
        <w:t xml:space="preserve">: Betsy Fisher, Shirley Daniel(SEC liaison), David Ericson, Robert Bley-Vroman, Robert Cowie, Denise Antolini, David Duffy, David chin (Chair), Doug Vincent, Torben Nielsen, Weilin Qu, John Casken(Sec).  </w:t>
      </w:r>
      <w:r w:rsidDel="00000000" w:rsidR="00000000" w:rsidRPr="00000000">
        <w:rPr>
          <w:u w:val="single"/>
          <w:rtl w:val="0"/>
        </w:rPr>
        <w:t xml:space="preserve">Guests</w:t>
      </w:r>
      <w:r w:rsidDel="00000000" w:rsidR="00000000" w:rsidRPr="00000000">
        <w:rPr>
          <w:rtl w:val="0"/>
        </w:rPr>
        <w:t xml:space="preserve">: Sarita Rai, Dick Chadwick, John Wendell, VCAA Reed Dasenbrock.</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opened at 1:30 pm.</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VCAA Dasenbrock’s Enrollment Plan</w:t>
      </w:r>
      <w:r w:rsidDel="00000000" w:rsidR="00000000" w:rsidRPr="00000000">
        <w:rPr>
          <w:rtl w:val="0"/>
        </w:rPr>
        <w:t xml:space="preserve">:</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VCAA Reed Dasenbrock informally presented his enrollment plans as a means of dealing with the budgetary issues of the campus as well as improving the campus and making it a more exciting place for local students. He noted that he would prefer to increase class sizes by a small amount rather than see faculty reduced in number. He commented that we do some incredibly “stupid” things in our recruitment efforts; indeed it seems we almost discourage enrollment of students. He feels that we are not competing with the Community Colleges and should see them as partners. He suggested items such as reverse transfer and automatic admission as a way of demonstrating this partnership.</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reply to a question about tuition the VCAA suggested that we need to set up a model so that units have an incentive to enroll. He wondered whether the CAB would be able to do the work of sorting out how tuition could be distributed as he feels that he and VC Cutshaw are too busy. He noted that we really need to understand the relationship between tuition and enrollment. He wondered aloud whether would be possible to get rid of the things that “drive faculty crazy” and suggested other items for consideration such as more online classes; tap into faculty's knowledge to support enrollment goals; see the Honors Program as a way to attract talented students; use the Study Abroad program to demonstrate to potential students that UHM could give them a taste of the world. He also felt that we should have a firm idea of the real capacity of the campus.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topic of international issues the VCAA said he would like somebody reporting to him who had international in his title. But he was still unclear exactly how that would be arranged especially in light of the budgetary issues. The VCAA noted that he did not feel that the international efforts should necessarily be major global efforts but rather could consist of smaller efforts -- and even if some of these fail that is not a major problem.</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Chin raised the issue that though VC Cutshaw was transparent with the UHM budgets many deans   were not transparent. The VCAA invited the chair to consider addressing a meeting of the deans to explain faculty's concerns in this area. He felt it might also help to have a standardized form.</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VCAA had left it was proposed that there should be a resolution from the CAB indicating approval in principle of the VCAA’s enrollment initiative. “After meeting with the VCAA, the CAB expressed general approval of his enrollment plans subject to an endorsement from the CAP.” The motion moved by Duffy and seconded by Antolini passed unanimously.</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Senate Budget Task Force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was considerable discussion on this topic after all the guests had left. Key issues were still the composition of the Task Force, its charge and its relationship to the CAB. Major concerns were the need for budgetary expertise in the task force members, making sure that the Task Force dealt only with issues with which it had competence and the timeliness of reporting back to the main body.</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it was agreed that Nielsen would undertake to write a preamble that set out the reality of the State’s  budgetary crisis  -- trying to make this as neutral as possible. It was also agreed that the composition of the Task Force would be the kuleana of the SEC and the SEC would also determine the charge to the Task Force.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meeting ended at 4 PM.</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submitted by John Casken</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caroly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