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Meeting Date:  </w:t>
        <w:tab/>
      </w:r>
      <w:r w:rsidDel="00000000" w:rsidR="00000000" w:rsidRPr="00000000">
        <w:rPr>
          <w:sz w:val="22"/>
          <w:szCs w:val="22"/>
          <w:rtl w:val="0"/>
        </w:rPr>
        <w:t xml:space="preserve">30 August 2012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528"/>
        <w:gridCol w:w="360"/>
        <w:gridCol w:w="3780"/>
        <w:gridCol w:w="360"/>
        <w:gridCol w:w="3240"/>
        <w:gridCol w:w="360"/>
        <w:gridCol w:w="2070"/>
        <w:gridCol w:w="900"/>
        <w:tblGridChange w:id="0">
          <w:tblGrid>
            <w:gridCol w:w="3528"/>
            <w:gridCol w:w="360"/>
            <w:gridCol w:w="3780"/>
            <w:gridCol w:w="360"/>
            <w:gridCol w:w="3240"/>
            <w:gridCol w:w="360"/>
            <w:gridCol w:w="2070"/>
            <w:gridCol w:w="90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jc w:val="center"/>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jc w:val="center"/>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John Casken started the meeting at 1:00PM</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First meeting of the year, so minutes were not read</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OVERVIEW</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JC started the meeting by giving an overview of the obligations of faculty senate members, the role of the CAB, and general procedures.  Members were referred to the faculty senate web site for more details.  This was followed by a round of self-introductions.</w:t>
            </w:r>
          </w:p>
        </w:tc>
        <w:tc>
          <w:tcPr/>
          <w:p w:rsidR="00000000" w:rsidDel="00000000" w:rsidP="00000000" w:rsidRDefault="00000000" w:rsidRPr="00000000" w14:paraId="00000047">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LOGISTICS AND SCHEDULING</w:t>
            </w:r>
          </w:p>
        </w:tc>
        <w:tc>
          <w:tcPr/>
          <w:p w:rsidR="00000000" w:rsidDel="00000000" w:rsidP="00000000" w:rsidRDefault="00000000" w:rsidRPr="00000000" w14:paraId="00000049">
            <w:pPr>
              <w:pageBreakBefore w:val="0"/>
              <w:rPr>
                <w:color w:val="000000"/>
                <w:sz w:val="22"/>
                <w:szCs w:val="22"/>
              </w:rPr>
            </w:pPr>
            <w:r w:rsidDel="00000000" w:rsidR="00000000" w:rsidRPr="00000000">
              <w:rPr>
                <w:color w:val="000000"/>
                <w:sz w:val="22"/>
                <w:szCs w:val="22"/>
                <w:rtl w:val="0"/>
              </w:rPr>
              <w:t xml:space="preserve">There was a suggestion by TN to elect the CAB chair, vice-chair and secretary, with the following recommendations: DV (Chair), DC (vice-Chair) and JP (secretary).  All were approved and all accepted.  DV led the meeting from this point.  DV proposed holding CAB meetings the first and third Thursdays from 1:00 to 2:30 in HH-208; all agreed.</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Future CAB meetings will be held the first and third Thursdays from 1:00 to 2:30 in HH-208.</w:t>
            </w:r>
          </w:p>
        </w:tc>
      </w:tr>
      <w:tr>
        <w:trPr>
          <w:cantSplit w:val="0"/>
          <w:trHeight w:val="4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PBRC ISSUES (CARRY-OVER FROM LAST YEAR)</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RC gave a summary of the issues regarding PBRC over the past year.  In short, now outgoing VCRGE Ostrander had proposed to close the PBRC.  The faculty rejected this proposal via a statement sent to the BOR.  This was kicked back to the UH president. Ten months passed until president Greenwood met with the PBRC faculty in March 2012, at which time she pledged to stop the discord between PBRC and VCRGE Ostrander within a few weeks. However, nothing substantive happened  Since then things have changed, including the resignation of Ostrander and key PBRC personnel from the UH.  RC continued to describe the situation at PBRC including several potential outcomes, e.g., moving to Natural Sciences or some other school, although retaining its current status as an independent ORU remains PBRC’s preferred option.   </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RC concluded by saying a meeting has been </w:t>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scheduled with Chancellor Apple in Sept.</w:t>
            </w:r>
          </w:p>
          <w:p w:rsidR="00000000" w:rsidDel="00000000" w:rsidP="00000000" w:rsidRDefault="00000000" w:rsidRPr="00000000" w14:paraId="0000004F">
            <w:pPr>
              <w:pageBreakBefore w:val="0"/>
              <w:rPr>
                <w:sz w:val="22"/>
                <w:szCs w:val="22"/>
              </w:rPr>
            </w:pPr>
            <w:r w:rsidDel="00000000" w:rsidR="00000000" w:rsidRPr="00000000">
              <w:rPr>
                <w:rtl w:val="0"/>
              </w:rPr>
            </w:r>
          </w:p>
        </w:tc>
        <w:tc>
          <w:tcPr/>
          <w:p w:rsidR="00000000" w:rsidDel="00000000" w:rsidP="00000000" w:rsidRDefault="00000000" w:rsidRPr="00000000" w14:paraId="00000050">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1">
            <w:pPr>
              <w:pageBreakBefore w:val="0"/>
              <w:rPr>
                <w:b w:val="1"/>
                <w:sz w:val="22"/>
                <w:szCs w:val="22"/>
              </w:rPr>
            </w:pPr>
            <w:r w:rsidDel="00000000" w:rsidR="00000000" w:rsidRPr="00000000">
              <w:rPr>
                <w:b w:val="1"/>
                <w:sz w:val="22"/>
                <w:szCs w:val="22"/>
                <w:rtl w:val="0"/>
              </w:rPr>
              <w:t xml:space="preserve">CURRENT AND PENDING ISSUES FOR CAB</w:t>
            </w:r>
          </w:p>
        </w:tc>
        <w:tc>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gave a summary of issues taken up by the CAB over the past year, including:</w:t>
            </w:r>
          </w:p>
          <w:p w:rsidR="00000000" w:rsidDel="00000000" w:rsidP="00000000" w:rsidRDefault="00000000" w:rsidRPr="00000000" w14:paraId="0000005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On-campus parking</w:t>
            </w:r>
          </w:p>
          <w:p w:rsidR="00000000" w:rsidDel="00000000" w:rsidP="00000000" w:rsidRDefault="00000000" w:rsidRPr="00000000" w14:paraId="0000005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Faculty housing</w:t>
            </w:r>
          </w:p>
          <w:p w:rsidR="00000000" w:rsidDel="00000000" w:rsidP="00000000" w:rsidRDefault="00000000" w:rsidRPr="00000000" w14:paraId="0000005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Review/revision of by-laws</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potential new issues for the coming year:</w:t>
            </w:r>
          </w:p>
          <w:p w:rsidR="00000000" w:rsidDel="00000000" w:rsidP="00000000" w:rsidRDefault="00000000" w:rsidRPr="00000000" w14:paraId="0000005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KFS/MyGrants</w:t>
            </w:r>
          </w:p>
          <w:p w:rsidR="00000000" w:rsidDel="00000000" w:rsidP="00000000" w:rsidRDefault="00000000" w:rsidRPr="00000000" w14:paraId="0000005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Facilities</w:t>
            </w:r>
          </w:p>
          <w:p w:rsidR="00000000" w:rsidDel="00000000" w:rsidP="00000000" w:rsidRDefault="00000000" w:rsidRPr="00000000" w14:paraId="0000005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administrators and salaries</w:t>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general discussions about these with a suggestion by TN for the CAB to think carefully about all the issues but to then focus on two to four for the year, otherwise there is the risk of not accomplishing anything.  BN proposed setting up a web-based poll for the CAB members to identify which issues to pursue in the coming year.</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also general agreement that having VCAFO Cutshaw attend portions of future CAB meetings would be desirable.</w:t>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will look into setting up a web-based poll for CAB members to prioritize issues before it with the goal of identifying 2-4 key ones to focus on in 2012/13.</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will approach VCAFO Cutshaw about attending portions of future CAB meetings.</w:t>
            </w:r>
          </w:p>
        </w:tc>
      </w:tr>
      <w:tr>
        <w:trPr>
          <w:cantSplit w:val="0"/>
          <w:trHeight w:val="460" w:hRule="atLeast"/>
          <w:tblHeader w:val="0"/>
        </w:trPr>
        <w:tc>
          <w:tcPr/>
          <w:p w:rsidR="00000000" w:rsidDel="00000000" w:rsidP="00000000" w:rsidRDefault="00000000" w:rsidRPr="00000000" w14:paraId="0000005F">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60">
            <w:pPr>
              <w:pageBreakBefore w:val="0"/>
              <w:rPr>
                <w:b w:val="1"/>
                <w:sz w:val="22"/>
                <w:szCs w:val="22"/>
              </w:rPr>
            </w:pPr>
            <w:r w:rsidDel="00000000" w:rsidR="00000000" w:rsidRPr="00000000">
              <w:rPr>
                <w:rtl w:val="0"/>
              </w:rPr>
            </w:r>
          </w:p>
        </w:tc>
        <w:tc>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adjourned the meeting at 2:45</w:t>
            </w:r>
          </w:p>
        </w:tc>
        <w:tc>
          <w:tcPr/>
          <w:p w:rsidR="00000000" w:rsidDel="00000000" w:rsidP="00000000" w:rsidRDefault="00000000" w:rsidRPr="00000000" w14:paraId="000000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pageBreakBefore w:val="0"/>
        <w:rPr>
          <w:sz w:val="22"/>
          <w:szCs w:val="22"/>
        </w:rPr>
      </w:pPr>
      <w:r w:rsidDel="00000000" w:rsidR="00000000" w:rsidRPr="00000000">
        <w:rPr>
          <w:rtl w:val="0"/>
        </w:rPr>
      </w:r>
    </w:p>
    <w:p w:rsidR="00000000" w:rsidDel="00000000" w:rsidP="00000000" w:rsidRDefault="00000000" w:rsidRPr="00000000" w14:paraId="00000064">
      <w:pPr>
        <w:pageBreakBefore w:val="0"/>
        <w:rPr>
          <w:sz w:val="22"/>
          <w:szCs w:val="22"/>
        </w:rPr>
      </w:pPr>
      <w:bookmarkStart w:colFirst="0" w:colLast="0" w:name="_gjdgxs" w:id="0"/>
      <w:bookmarkEnd w:id="0"/>
      <w:r w:rsidDel="00000000" w:rsidR="00000000" w:rsidRPr="00000000">
        <w:rPr>
          <w:sz w:val="22"/>
          <w:szCs w:val="22"/>
          <w:rtl w:val="0"/>
        </w:rPr>
        <w:t xml:space="preserve">Approved on September 6, 2012 with 11 votes in favor of approval and none against. Respectfully submitted by James T.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